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涞水县统计局</w:t>
      </w:r>
      <w:r>
        <w:rPr>
          <w:rFonts w:hint="eastAsia" w:ascii="黑体" w:hAnsi="黑体" w:eastAsia="黑体" w:cs="黑体"/>
          <w:b/>
          <w:color w:val="000000"/>
          <w:sz w:val="30"/>
        </w:rPr>
        <w:t>单位预算</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涞水县统计</w:t>
      </w:r>
      <w:r>
        <w:rPr>
          <w:rFonts w:hint="eastAsia"/>
        </w:rPr>
        <w:t>局收支预算</w:t>
      </w:r>
      <w:r>
        <w:tab/>
      </w:r>
      <w:r>
        <w:fldChar w:fldCharType="begin"/>
      </w:r>
      <w:r>
        <w:instrText xml:space="preserve">PAGEREF _Toc_4_4_0000000019 \h</w:instrText>
      </w:r>
      <w:r>
        <w:fldChar w:fldCharType="separate"/>
      </w:r>
      <w:r>
        <w:t>1</w:t>
      </w:r>
      <w:r>
        <w:fldChar w:fldCharType="end"/>
      </w:r>
      <w:r>
        <w:fldChar w:fldCharType="end"/>
      </w:r>
      <w:r>
        <w:rPr>
          <w:rFonts w:hint="eastAsia"/>
          <w:lang w:val="en-US" w:eastAsia="zh-CN"/>
        </w:rPr>
        <w:t>-25</w:t>
      </w:r>
    </w:p>
    <w:p>
      <w:pPr>
        <w:sectPr>
          <w:headerReference r:id="rId3" w:type="even"/>
          <w:pgSz w:w="16840" w:h="11900" w:orient="landscape"/>
          <w:pgMar w:top="1587" w:right="1134" w:bottom="1361" w:left="1134" w:header="720" w:footer="720" w:gutter="0"/>
          <w:pgBorders>
            <w:top w:val="none" w:sz="0" w:space="0"/>
            <w:left w:val="none" w:sz="0" w:space="0"/>
            <w:bottom w:val="none" w:sz="0" w:space="0"/>
            <w:right w:val="none" w:sz="0" w:space="0"/>
          </w:pgBorders>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涞水县统计</w:t>
      </w:r>
      <w:r>
        <w:rPr>
          <w:rFonts w:hint="eastAsia" w:ascii="方正小标宋_GBK" w:hAnsi="方正小标宋_GBK" w:eastAsia="方正小标宋_GBK" w:cs="方正小标宋_GBK"/>
          <w:color w:val="000000"/>
          <w:sz w:val="44"/>
        </w:rPr>
        <w:t>局收支预算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410001</w:t>
            </w:r>
            <w:r>
              <w:rPr>
                <w:rFonts w:hint="eastAsia"/>
                <w:lang w:eastAsia="zh-CN"/>
              </w:rPr>
              <w:t>涞水县统计</w:t>
            </w:r>
            <w:r>
              <w:rPr>
                <w:rFonts w:hint="eastAsia"/>
              </w:rPr>
              <w:t>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t>39</w:t>
            </w:r>
            <w:r>
              <w:rPr>
                <w:rFonts w:hint="eastAsia"/>
                <w:lang w:val="en-US" w:eastAsia="zh-CN"/>
              </w:rPr>
              <w:t>4.74</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366.06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t>394.74</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t>394.74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t>394.74</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t>394.74</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start="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9"/>
        <w:gridCol w:w="2760"/>
        <w:gridCol w:w="1095"/>
        <w:gridCol w:w="1155"/>
        <w:gridCol w:w="1290"/>
        <w:gridCol w:w="1185"/>
        <w:gridCol w:w="780"/>
        <w:gridCol w:w="795"/>
        <w:gridCol w:w="1095"/>
        <w:gridCol w:w="1080"/>
        <w:gridCol w:w="750"/>
        <w:gridCol w:w="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w:t>
            </w:r>
            <w:r>
              <w:rPr>
                <w:rFonts w:hint="eastAsia"/>
              </w:rPr>
              <w:t>县</w:t>
            </w:r>
            <w:r>
              <w:rPr>
                <w:rFonts w:hint="eastAsia"/>
                <w:lang w:eastAsia="zh-CN"/>
              </w:rPr>
              <w:t>统计</w:t>
            </w:r>
            <w:r>
              <w:rPr>
                <w:rFonts w:hint="eastAsia"/>
              </w:rPr>
              <w:t>局</w:t>
            </w:r>
          </w:p>
        </w:tc>
        <w:tc>
          <w:tcPr>
            <w:tcW w:w="325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4487"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3899" w:type="dxa"/>
            <w:gridSpan w:val="2"/>
            <w:vAlign w:val="center"/>
          </w:tcPr>
          <w:p>
            <w:pPr>
              <w:pStyle w:val="15"/>
            </w:pPr>
            <w:r>
              <w:rPr>
                <w:rFonts w:hint="eastAsia"/>
              </w:rPr>
              <w:t>功能分类科目</w:t>
            </w:r>
          </w:p>
        </w:tc>
        <w:tc>
          <w:tcPr>
            <w:tcW w:w="1095" w:type="dxa"/>
            <w:vMerge w:val="restart"/>
            <w:vAlign w:val="center"/>
          </w:tcPr>
          <w:p>
            <w:pPr>
              <w:pStyle w:val="15"/>
            </w:pPr>
            <w:r>
              <w:rPr>
                <w:rFonts w:hint="eastAsia"/>
              </w:rPr>
              <w:t>合计</w:t>
            </w:r>
          </w:p>
        </w:tc>
        <w:tc>
          <w:tcPr>
            <w:tcW w:w="8130" w:type="dxa"/>
            <w:gridSpan w:val="8"/>
            <w:vAlign w:val="center"/>
          </w:tcPr>
          <w:p>
            <w:pPr>
              <w:pStyle w:val="15"/>
            </w:pPr>
            <w:r>
              <w:rPr>
                <w:rFonts w:hint="eastAsia"/>
              </w:rPr>
              <w:t>本年收入</w:t>
            </w:r>
          </w:p>
        </w:tc>
        <w:tc>
          <w:tcPr>
            <w:tcW w:w="767"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9" w:type="dxa"/>
            <w:vAlign w:val="center"/>
          </w:tcPr>
          <w:p>
            <w:pPr>
              <w:pStyle w:val="15"/>
            </w:pPr>
            <w:r>
              <w:rPr>
                <w:rFonts w:hint="eastAsia"/>
              </w:rPr>
              <w:t>科目</w:t>
            </w:r>
            <w:r>
              <w:t xml:space="preserve">    </w:t>
            </w:r>
            <w:r>
              <w:rPr>
                <w:rFonts w:hint="eastAsia"/>
              </w:rPr>
              <w:t>编码</w:t>
            </w:r>
          </w:p>
        </w:tc>
        <w:tc>
          <w:tcPr>
            <w:tcW w:w="2760" w:type="dxa"/>
            <w:vAlign w:val="center"/>
          </w:tcPr>
          <w:p>
            <w:pPr>
              <w:pStyle w:val="15"/>
            </w:pPr>
            <w:r>
              <w:rPr>
                <w:rFonts w:hint="eastAsia"/>
              </w:rPr>
              <w:t>科目名称</w:t>
            </w:r>
          </w:p>
        </w:tc>
        <w:tc>
          <w:tcPr>
            <w:tcW w:w="1095" w:type="dxa"/>
            <w:vMerge w:val="continue"/>
          </w:tcPr>
          <w:p/>
        </w:tc>
        <w:tc>
          <w:tcPr>
            <w:tcW w:w="1155" w:type="dxa"/>
            <w:vAlign w:val="center"/>
          </w:tcPr>
          <w:p>
            <w:pPr>
              <w:pStyle w:val="15"/>
            </w:pPr>
            <w:r>
              <w:rPr>
                <w:rFonts w:hint="eastAsia"/>
              </w:rPr>
              <w:t>小计</w:t>
            </w:r>
          </w:p>
        </w:tc>
        <w:tc>
          <w:tcPr>
            <w:tcW w:w="1290" w:type="dxa"/>
            <w:vAlign w:val="center"/>
          </w:tcPr>
          <w:p>
            <w:pPr>
              <w:pStyle w:val="15"/>
            </w:pPr>
            <w:r>
              <w:rPr>
                <w:rFonts w:hint="eastAsia"/>
              </w:rPr>
              <w:t>财政拨款</w:t>
            </w:r>
            <w:r>
              <w:t xml:space="preserve"> </w:t>
            </w:r>
            <w:r>
              <w:rPr>
                <w:rFonts w:hint="eastAsia"/>
              </w:rPr>
              <w:t>收入</w:t>
            </w:r>
          </w:p>
        </w:tc>
        <w:tc>
          <w:tcPr>
            <w:tcW w:w="1185" w:type="dxa"/>
            <w:vAlign w:val="center"/>
          </w:tcPr>
          <w:p>
            <w:pPr>
              <w:pStyle w:val="15"/>
            </w:pPr>
            <w:r>
              <w:rPr>
                <w:rFonts w:hint="eastAsia"/>
              </w:rPr>
              <w:t>财政专户</w:t>
            </w:r>
            <w:r>
              <w:t xml:space="preserve"> </w:t>
            </w:r>
            <w:r>
              <w:rPr>
                <w:rFonts w:hint="eastAsia"/>
              </w:rPr>
              <w:t>收入</w:t>
            </w:r>
          </w:p>
        </w:tc>
        <w:tc>
          <w:tcPr>
            <w:tcW w:w="780" w:type="dxa"/>
            <w:vAlign w:val="center"/>
          </w:tcPr>
          <w:p>
            <w:pPr>
              <w:pStyle w:val="15"/>
            </w:pPr>
            <w:r>
              <w:rPr>
                <w:rFonts w:hint="eastAsia"/>
              </w:rPr>
              <w:t>事业收入</w:t>
            </w:r>
          </w:p>
        </w:tc>
        <w:tc>
          <w:tcPr>
            <w:tcW w:w="795" w:type="dxa"/>
            <w:vAlign w:val="center"/>
          </w:tcPr>
          <w:p>
            <w:pPr>
              <w:pStyle w:val="15"/>
            </w:pPr>
            <w:r>
              <w:rPr>
                <w:rFonts w:hint="eastAsia"/>
              </w:rPr>
              <w:t>经营收入</w:t>
            </w:r>
          </w:p>
        </w:tc>
        <w:tc>
          <w:tcPr>
            <w:tcW w:w="1095" w:type="dxa"/>
            <w:vAlign w:val="center"/>
          </w:tcPr>
          <w:p>
            <w:pPr>
              <w:pStyle w:val="15"/>
            </w:pPr>
            <w:r>
              <w:rPr>
                <w:rFonts w:hint="eastAsia"/>
              </w:rPr>
              <w:t>上级补助收入</w:t>
            </w:r>
          </w:p>
        </w:tc>
        <w:tc>
          <w:tcPr>
            <w:tcW w:w="1080" w:type="dxa"/>
            <w:vAlign w:val="center"/>
          </w:tcPr>
          <w:p>
            <w:pPr>
              <w:pStyle w:val="15"/>
            </w:pPr>
            <w:r>
              <w:rPr>
                <w:rFonts w:hint="eastAsia"/>
              </w:rPr>
              <w:t>附属单位上缴收入</w:t>
            </w:r>
          </w:p>
        </w:tc>
        <w:tc>
          <w:tcPr>
            <w:tcW w:w="750" w:type="dxa"/>
            <w:vAlign w:val="center"/>
          </w:tcPr>
          <w:p>
            <w:pPr>
              <w:pStyle w:val="15"/>
            </w:pPr>
            <w:r>
              <w:rPr>
                <w:rFonts w:hint="eastAsia"/>
              </w:rPr>
              <w:t>其他收入</w:t>
            </w:r>
          </w:p>
        </w:tc>
        <w:tc>
          <w:tcPr>
            <w:tcW w:w="7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139" w:type="dxa"/>
            <w:vAlign w:val="center"/>
          </w:tcPr>
          <w:p>
            <w:pPr>
              <w:pStyle w:val="15"/>
            </w:pPr>
            <w:r>
              <w:t>1</w:t>
            </w:r>
          </w:p>
        </w:tc>
        <w:tc>
          <w:tcPr>
            <w:tcW w:w="2760" w:type="dxa"/>
            <w:vAlign w:val="center"/>
          </w:tcPr>
          <w:p>
            <w:pPr>
              <w:pStyle w:val="15"/>
            </w:pPr>
            <w:r>
              <w:t>2</w:t>
            </w:r>
          </w:p>
        </w:tc>
        <w:tc>
          <w:tcPr>
            <w:tcW w:w="1095" w:type="dxa"/>
            <w:vAlign w:val="center"/>
          </w:tcPr>
          <w:p>
            <w:pPr>
              <w:pStyle w:val="15"/>
            </w:pPr>
            <w:r>
              <w:t>3</w:t>
            </w:r>
          </w:p>
        </w:tc>
        <w:tc>
          <w:tcPr>
            <w:tcW w:w="1155" w:type="dxa"/>
            <w:vAlign w:val="center"/>
          </w:tcPr>
          <w:p>
            <w:pPr>
              <w:pStyle w:val="15"/>
            </w:pPr>
            <w:r>
              <w:t>4</w:t>
            </w:r>
          </w:p>
        </w:tc>
        <w:tc>
          <w:tcPr>
            <w:tcW w:w="1290" w:type="dxa"/>
            <w:vAlign w:val="center"/>
          </w:tcPr>
          <w:p>
            <w:pPr>
              <w:pStyle w:val="15"/>
            </w:pPr>
            <w:r>
              <w:t>5</w:t>
            </w:r>
          </w:p>
        </w:tc>
        <w:tc>
          <w:tcPr>
            <w:tcW w:w="1185" w:type="dxa"/>
            <w:vAlign w:val="center"/>
          </w:tcPr>
          <w:p>
            <w:pPr>
              <w:pStyle w:val="15"/>
            </w:pPr>
            <w:r>
              <w:t>6</w:t>
            </w:r>
          </w:p>
        </w:tc>
        <w:tc>
          <w:tcPr>
            <w:tcW w:w="780" w:type="dxa"/>
            <w:vAlign w:val="center"/>
          </w:tcPr>
          <w:p>
            <w:pPr>
              <w:pStyle w:val="15"/>
            </w:pPr>
            <w:r>
              <w:t>7</w:t>
            </w:r>
          </w:p>
        </w:tc>
        <w:tc>
          <w:tcPr>
            <w:tcW w:w="795" w:type="dxa"/>
            <w:vAlign w:val="center"/>
          </w:tcPr>
          <w:p>
            <w:pPr>
              <w:pStyle w:val="15"/>
            </w:pPr>
            <w:r>
              <w:t>8</w:t>
            </w:r>
          </w:p>
        </w:tc>
        <w:tc>
          <w:tcPr>
            <w:tcW w:w="1095" w:type="dxa"/>
            <w:vAlign w:val="center"/>
          </w:tcPr>
          <w:p>
            <w:pPr>
              <w:pStyle w:val="15"/>
            </w:pPr>
            <w:r>
              <w:t>9</w:t>
            </w:r>
          </w:p>
        </w:tc>
        <w:tc>
          <w:tcPr>
            <w:tcW w:w="1080" w:type="dxa"/>
            <w:vAlign w:val="center"/>
          </w:tcPr>
          <w:p>
            <w:pPr>
              <w:pStyle w:val="15"/>
            </w:pPr>
            <w:r>
              <w:t>10</w:t>
            </w:r>
          </w:p>
        </w:tc>
        <w:tc>
          <w:tcPr>
            <w:tcW w:w="750" w:type="dxa"/>
            <w:vAlign w:val="center"/>
          </w:tcPr>
          <w:p>
            <w:pPr>
              <w:pStyle w:val="15"/>
            </w:pPr>
            <w:r>
              <w:t>11</w:t>
            </w:r>
          </w:p>
        </w:tc>
        <w:tc>
          <w:tcPr>
            <w:tcW w:w="767"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w:t>
            </w:r>
          </w:p>
        </w:tc>
        <w:tc>
          <w:tcPr>
            <w:tcW w:w="1139" w:type="dxa"/>
            <w:vAlign w:val="center"/>
          </w:tcPr>
          <w:p>
            <w:pPr>
              <w:pStyle w:val="21"/>
              <w:rPr>
                <w:rFonts w:hint="eastAsia" w:ascii="宋体" w:hAnsi="宋体" w:eastAsia="宋体" w:cs="宋体"/>
                <w:sz w:val="21"/>
                <w:szCs w:val="21"/>
              </w:rPr>
            </w:pPr>
          </w:p>
        </w:tc>
        <w:tc>
          <w:tcPr>
            <w:tcW w:w="276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合计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394.74</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394.74</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394.74</w:t>
            </w:r>
          </w:p>
        </w:tc>
        <w:tc>
          <w:tcPr>
            <w:tcW w:w="1185" w:type="dxa"/>
            <w:vAlign w:val="center"/>
          </w:tcPr>
          <w:p>
            <w:pPr>
              <w:pStyle w:val="20"/>
              <w:rPr>
                <w:rFonts w:hint="eastAsia" w:ascii="宋体" w:hAnsi="宋体" w:eastAsia="宋体" w:cs="宋体"/>
                <w:sz w:val="21"/>
                <w:szCs w:val="21"/>
              </w:rPr>
            </w:pPr>
          </w:p>
        </w:tc>
        <w:tc>
          <w:tcPr>
            <w:tcW w:w="780" w:type="dxa"/>
            <w:vAlign w:val="center"/>
          </w:tcPr>
          <w:p>
            <w:pPr>
              <w:pStyle w:val="20"/>
              <w:rPr>
                <w:rFonts w:hint="eastAsia" w:ascii="宋体" w:hAnsi="宋体" w:eastAsia="宋体" w:cs="宋体"/>
                <w:sz w:val="21"/>
                <w:szCs w:val="21"/>
              </w:rPr>
            </w:pPr>
          </w:p>
        </w:tc>
        <w:tc>
          <w:tcPr>
            <w:tcW w:w="795" w:type="dxa"/>
            <w:vAlign w:val="center"/>
          </w:tcPr>
          <w:p>
            <w:pPr>
              <w:pStyle w:val="20"/>
              <w:rPr>
                <w:rFonts w:hint="eastAsia" w:ascii="宋体" w:hAnsi="宋体" w:eastAsia="宋体" w:cs="宋体"/>
                <w:sz w:val="21"/>
                <w:szCs w:val="21"/>
              </w:rPr>
            </w:pPr>
          </w:p>
        </w:tc>
        <w:tc>
          <w:tcPr>
            <w:tcW w:w="1095" w:type="dxa"/>
            <w:vAlign w:val="center"/>
          </w:tcPr>
          <w:p>
            <w:pPr>
              <w:pStyle w:val="20"/>
              <w:rPr>
                <w:rFonts w:hint="eastAsia" w:ascii="宋体" w:hAnsi="宋体" w:eastAsia="宋体" w:cs="宋体"/>
                <w:sz w:val="21"/>
                <w:szCs w:val="21"/>
              </w:rPr>
            </w:pPr>
          </w:p>
        </w:tc>
        <w:tc>
          <w:tcPr>
            <w:tcW w:w="1080" w:type="dxa"/>
            <w:vAlign w:val="center"/>
          </w:tcPr>
          <w:p>
            <w:pPr>
              <w:pStyle w:val="20"/>
              <w:rPr>
                <w:rFonts w:hint="eastAsia" w:ascii="宋体" w:hAnsi="宋体" w:eastAsia="宋体" w:cs="宋体"/>
                <w:sz w:val="21"/>
                <w:szCs w:val="21"/>
              </w:rPr>
            </w:pPr>
          </w:p>
        </w:tc>
        <w:tc>
          <w:tcPr>
            <w:tcW w:w="750" w:type="dxa"/>
            <w:vAlign w:val="center"/>
          </w:tcPr>
          <w:p>
            <w:pPr>
              <w:pStyle w:val="20"/>
              <w:rPr>
                <w:rFonts w:hint="eastAsia" w:ascii="宋体" w:hAnsi="宋体" w:eastAsia="宋体" w:cs="宋体"/>
                <w:sz w:val="21"/>
                <w:szCs w:val="21"/>
              </w:rPr>
            </w:pPr>
          </w:p>
        </w:tc>
        <w:tc>
          <w:tcPr>
            <w:tcW w:w="767" w:type="dxa"/>
            <w:vAlign w:val="center"/>
          </w:tcPr>
          <w:p>
            <w:pPr>
              <w:pStyle w:val="20"/>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一般公共服务支出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366.06</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366.06</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366.06</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统计信息事务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265.64</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265.64</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265.64</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行政运行</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一般行政管理事务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2010507</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专项普查活动</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7</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统计抽样调查</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8</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9</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10</w:t>
            </w:r>
          </w:p>
        </w:tc>
        <w:tc>
          <w:tcPr>
            <w:tcW w:w="1139"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2080505</w:t>
            </w:r>
          </w:p>
        </w:tc>
        <w:tc>
          <w:tcPr>
            <w:tcW w:w="2760"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95"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155"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290"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185" w:type="dxa"/>
            <w:tcBorders>
              <w:bottom w:val="single" w:color="auto" w:sz="4" w:space="0"/>
            </w:tcBorders>
            <w:vAlign w:val="center"/>
          </w:tcPr>
          <w:p>
            <w:pPr>
              <w:pStyle w:val="16"/>
              <w:rPr>
                <w:rFonts w:hint="eastAsia" w:ascii="宋体" w:hAnsi="宋体" w:eastAsia="宋体" w:cs="宋体"/>
                <w:sz w:val="21"/>
                <w:szCs w:val="21"/>
              </w:rPr>
            </w:pPr>
          </w:p>
        </w:tc>
        <w:tc>
          <w:tcPr>
            <w:tcW w:w="780" w:type="dxa"/>
            <w:tcBorders>
              <w:bottom w:val="single" w:color="auto" w:sz="4" w:space="0"/>
            </w:tcBorders>
            <w:vAlign w:val="center"/>
          </w:tcPr>
          <w:p>
            <w:pPr>
              <w:pStyle w:val="16"/>
              <w:rPr>
                <w:rFonts w:hint="eastAsia" w:ascii="宋体" w:hAnsi="宋体" w:eastAsia="宋体" w:cs="宋体"/>
                <w:sz w:val="21"/>
                <w:szCs w:val="21"/>
              </w:rPr>
            </w:pPr>
          </w:p>
        </w:tc>
        <w:tc>
          <w:tcPr>
            <w:tcW w:w="795" w:type="dxa"/>
            <w:tcBorders>
              <w:bottom w:val="single" w:color="auto" w:sz="4" w:space="0"/>
            </w:tcBorders>
            <w:vAlign w:val="center"/>
          </w:tcPr>
          <w:p>
            <w:pPr>
              <w:pStyle w:val="16"/>
              <w:rPr>
                <w:rFonts w:hint="eastAsia" w:ascii="宋体" w:hAnsi="宋体" w:eastAsia="宋体" w:cs="宋体"/>
                <w:sz w:val="21"/>
                <w:szCs w:val="21"/>
              </w:rPr>
            </w:pPr>
          </w:p>
        </w:tc>
        <w:tc>
          <w:tcPr>
            <w:tcW w:w="1095" w:type="dxa"/>
            <w:tcBorders>
              <w:bottom w:val="single" w:color="auto" w:sz="4" w:space="0"/>
            </w:tcBorders>
            <w:vAlign w:val="center"/>
          </w:tcPr>
          <w:p>
            <w:pPr>
              <w:pStyle w:val="16"/>
              <w:rPr>
                <w:rFonts w:hint="eastAsia" w:ascii="宋体" w:hAnsi="宋体" w:eastAsia="宋体" w:cs="宋体"/>
                <w:sz w:val="21"/>
                <w:szCs w:val="21"/>
              </w:rPr>
            </w:pPr>
          </w:p>
        </w:tc>
        <w:tc>
          <w:tcPr>
            <w:tcW w:w="1080" w:type="dxa"/>
            <w:tcBorders>
              <w:bottom w:val="single" w:color="auto" w:sz="4" w:space="0"/>
            </w:tcBorders>
            <w:vAlign w:val="center"/>
          </w:tcPr>
          <w:p>
            <w:pPr>
              <w:pStyle w:val="16"/>
              <w:rPr>
                <w:rFonts w:hint="eastAsia" w:ascii="宋体" w:hAnsi="宋体" w:eastAsia="宋体" w:cs="宋体"/>
                <w:sz w:val="21"/>
                <w:szCs w:val="21"/>
              </w:rPr>
            </w:pPr>
          </w:p>
        </w:tc>
        <w:tc>
          <w:tcPr>
            <w:tcW w:w="750" w:type="dxa"/>
            <w:tcBorders>
              <w:bottom w:val="single" w:color="auto" w:sz="4" w:space="0"/>
            </w:tcBorders>
            <w:vAlign w:val="center"/>
          </w:tcPr>
          <w:p>
            <w:pPr>
              <w:pStyle w:val="16"/>
              <w:rPr>
                <w:rFonts w:hint="eastAsia" w:ascii="宋体" w:hAnsi="宋体" w:eastAsia="宋体" w:cs="宋体"/>
                <w:sz w:val="21"/>
                <w:szCs w:val="21"/>
              </w:rPr>
            </w:pPr>
          </w:p>
        </w:tc>
        <w:tc>
          <w:tcPr>
            <w:tcW w:w="767" w:type="dxa"/>
            <w:tcBorders>
              <w:bottom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left w:val="single" w:color="auto" w:sz="4" w:space="0"/>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11</w:t>
            </w:r>
          </w:p>
        </w:tc>
        <w:tc>
          <w:tcPr>
            <w:tcW w:w="1139"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2760"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卫生健康支出</w:t>
            </w:r>
          </w:p>
        </w:tc>
        <w:tc>
          <w:tcPr>
            <w:tcW w:w="1095"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155"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290"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18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bottom w:val="single" w:color="auto" w:sz="4" w:space="0"/>
              <w:right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12</w:t>
            </w:r>
          </w:p>
        </w:tc>
        <w:tc>
          <w:tcPr>
            <w:tcW w:w="1139"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w:t>
            </w:r>
          </w:p>
        </w:tc>
        <w:tc>
          <w:tcPr>
            <w:tcW w:w="2760"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行政事业单位医疗</w:t>
            </w:r>
          </w:p>
        </w:tc>
        <w:tc>
          <w:tcPr>
            <w:tcW w:w="1095"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5.31</w:t>
            </w:r>
          </w:p>
        </w:tc>
        <w:tc>
          <w:tcPr>
            <w:tcW w:w="1155"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5.31</w:t>
            </w:r>
          </w:p>
        </w:tc>
        <w:tc>
          <w:tcPr>
            <w:tcW w:w="1290"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5.31</w:t>
            </w:r>
          </w:p>
        </w:tc>
        <w:tc>
          <w:tcPr>
            <w:tcW w:w="1185" w:type="dxa"/>
            <w:tcBorders>
              <w:top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行政单位医疗</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住房保障支出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住房改革支出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住房公积金</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bl>
    <w:p>
      <w:pPr>
        <w:rPr>
          <w:rFonts w:hint="eastAsia" w:ascii="宋体" w:hAnsi="宋体" w:eastAsia="宋体" w:cs="宋体"/>
          <w:sz w:val="21"/>
          <w:szCs w:val="21"/>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hint="eastAsia" w:ascii="宋体" w:hAnsi="宋体" w:eastAsia="宋体" w:cs="宋体"/>
          <w:color w:val="000000"/>
          <w:sz w:val="21"/>
          <w:szCs w:val="21"/>
          <w:lang w:eastAsia="zh-CN"/>
        </w:rPr>
      </w:pPr>
    </w:p>
    <w:p>
      <w:pPr>
        <w:jc w:val="center"/>
        <w:outlineLvl w:val="4"/>
        <w:rPr>
          <w:rFonts w:hint="eastAsia" w:ascii="宋体" w:hAnsi="宋体" w:eastAsia="宋体" w:cs="宋体"/>
          <w:color w:val="000000"/>
          <w:sz w:val="21"/>
          <w:szCs w:val="21"/>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1"/>
                <w:szCs w:val="21"/>
                <w:u w:val="none"/>
                <w:lang w:val="en-US" w:eastAsia="zh-CN" w:bidi="ar"/>
              </w:rPr>
              <w:t>394.74</w:t>
            </w:r>
          </w:p>
        </w:tc>
        <w:tc>
          <w:tcPr>
            <w:tcW w:w="1361" w:type="dxa"/>
            <w:vAlign w:val="center"/>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1"/>
                <w:szCs w:val="21"/>
                <w:u w:val="none"/>
                <w:lang w:val="en-US" w:eastAsia="zh-CN" w:bidi="ar"/>
              </w:rPr>
              <w:t>268.16</w:t>
            </w:r>
          </w:p>
        </w:tc>
        <w:tc>
          <w:tcPr>
            <w:tcW w:w="1361" w:type="dxa"/>
            <w:vAlign w:val="center"/>
          </w:tcPr>
          <w:p>
            <w:pPr>
              <w:keepNext w:val="0"/>
              <w:keepLines w:val="0"/>
              <w:widowControl/>
              <w:suppressLineNumbers w:val="0"/>
              <w:jc w:val="right"/>
              <w:textAlignment w:val="top"/>
              <w:rPr>
                <w:rFonts w:hint="eastAsia" w:ascii="宋体" w:hAnsi="宋体" w:eastAsia="宋体" w:cs="宋体"/>
                <w:b/>
                <w:bCs/>
                <w:i w:val="0"/>
                <w:iCs w:val="0"/>
                <w:color w:val="000000"/>
                <w:sz w:val="20"/>
                <w:szCs w:val="20"/>
                <w:u w:val="none"/>
                <w:lang w:val="en-US" w:eastAsia="uk-UA" w:bidi="ar-SA"/>
              </w:rPr>
            </w:pPr>
            <w:r>
              <w:rPr>
                <w:rFonts w:hint="eastAsia" w:ascii="宋体" w:hAnsi="宋体" w:eastAsia="宋体" w:cs="宋体"/>
                <w:b/>
                <w:bCs/>
                <w:i w:val="0"/>
                <w:iCs w:val="0"/>
                <w:color w:val="000000"/>
                <w:kern w:val="0"/>
                <w:sz w:val="21"/>
                <w:szCs w:val="21"/>
                <w:u w:val="none"/>
                <w:lang w:val="en-US" w:eastAsia="zh-CN" w:bidi="ar"/>
              </w:rPr>
              <w:t>126.58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366.06</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239.48</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126.58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265.64</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239.48</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5.5</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52</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5.31</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5.31</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1.72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1.72</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0"/>
                <w:szCs w:val="22"/>
              </w:rPr>
            </w:pPr>
            <w:r>
              <w:rPr>
                <w:rFonts w:hint="eastAsia"/>
                <w:sz w:val="20"/>
                <w:szCs w:val="22"/>
                <w:lang w:val="en-US" w:eastAsia="zh-CN"/>
              </w:rPr>
              <w:t>16</w:t>
            </w:r>
          </w:p>
        </w:tc>
        <w:tc>
          <w:tcPr>
            <w:tcW w:w="99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4536"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hint="default" w:ascii="宋体" w:hAnsi="宋体" w:eastAsia="宋体" w:cs="宋体"/>
                <w:i w:val="0"/>
                <w:iCs w:val="0"/>
                <w:color w:val="000000"/>
                <w:sz w:val="21"/>
                <w:szCs w:val="21"/>
                <w:u w:val="none"/>
                <w:lang w:val="en-US" w:eastAsia="uk-UA" w:bidi="ar-SA"/>
              </w:rPr>
            </w:pPr>
            <w:r>
              <w:rPr>
                <w:rFonts w:hint="eastAsia" w:ascii="宋体" w:hAnsi="宋体" w:cs="宋体"/>
                <w:i w:val="0"/>
                <w:iCs w:val="0"/>
                <w:color w:val="000000"/>
                <w:kern w:val="0"/>
                <w:sz w:val="21"/>
                <w:szCs w:val="21"/>
                <w:u w:val="none"/>
                <w:lang w:val="en-US" w:eastAsia="zh-CN" w:bidi="ar"/>
              </w:rPr>
              <w:t>394.74</w:t>
            </w:r>
          </w:p>
        </w:tc>
        <w:tc>
          <w:tcPr>
            <w:tcW w:w="3402" w:type="dxa"/>
            <w:vAlign w:val="center"/>
          </w:tcPr>
          <w:p>
            <w:pPr>
              <w:pStyle w:val="17"/>
            </w:pPr>
            <w:r>
              <w:rPr>
                <w:rFonts w:hint="eastAsia"/>
              </w:rPr>
              <w:t>一、一般公共服务支出</w:t>
            </w:r>
          </w:p>
        </w:tc>
        <w:tc>
          <w:tcPr>
            <w:tcW w:w="1474" w:type="dxa"/>
            <w:vAlign w:val="center"/>
          </w:tcPr>
          <w:p>
            <w:pPr>
              <w:pStyle w:val="16"/>
              <w:rPr>
                <w:rFonts w:hint="eastAsia" w:ascii="宋体" w:hAnsi="宋体" w:eastAsia="宋体" w:cs="宋体"/>
                <w:sz w:val="21"/>
                <w:szCs w:val="21"/>
              </w:rPr>
            </w:pPr>
            <w:r>
              <w:rPr>
                <w:rFonts w:hint="eastAsia"/>
                <w:lang w:val="en-US" w:eastAsia="zh-CN"/>
              </w:rPr>
              <w:t>366.06</w:t>
            </w:r>
          </w:p>
        </w:tc>
        <w:tc>
          <w:tcPr>
            <w:tcW w:w="1474" w:type="dxa"/>
            <w:vAlign w:val="center"/>
          </w:tcPr>
          <w:p>
            <w:pPr>
              <w:pStyle w:val="16"/>
              <w:rPr>
                <w:rFonts w:hint="eastAsia" w:ascii="宋体" w:hAnsi="宋体" w:eastAsia="宋体" w:cs="宋体"/>
                <w:sz w:val="21"/>
                <w:szCs w:val="21"/>
              </w:rPr>
            </w:pPr>
            <w:r>
              <w:rPr>
                <w:rFonts w:hint="eastAsia"/>
                <w:lang w:val="en-US" w:eastAsia="zh-CN"/>
              </w:rPr>
              <w:t>366.06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eastAsia" w:ascii="宋体" w:hAnsi="宋体" w:eastAsia="宋体" w:cs="宋体"/>
                <w:sz w:val="21"/>
                <w:szCs w:val="21"/>
              </w:rPr>
            </w:pPr>
          </w:p>
        </w:tc>
        <w:tc>
          <w:tcPr>
            <w:tcW w:w="3402" w:type="dxa"/>
            <w:vAlign w:val="center"/>
          </w:tcPr>
          <w:p>
            <w:pPr>
              <w:pStyle w:val="17"/>
            </w:pPr>
            <w:r>
              <w:rPr>
                <w:rFonts w:hint="eastAsia"/>
              </w:rPr>
              <w:t>二、外交支出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eastAsia" w:ascii="宋体" w:hAnsi="宋体" w:eastAsia="宋体" w:cs="宋体"/>
                <w:sz w:val="21"/>
                <w:szCs w:val="21"/>
              </w:rPr>
            </w:pPr>
            <w:r>
              <w:rPr>
                <w:rFonts w:hint="eastAsia"/>
                <w:lang w:val="en-US" w:eastAsia="zh-CN"/>
              </w:rPr>
              <w:t>13.82</w:t>
            </w:r>
          </w:p>
        </w:tc>
        <w:tc>
          <w:tcPr>
            <w:tcW w:w="1474" w:type="dxa"/>
            <w:vAlign w:val="center"/>
          </w:tcPr>
          <w:p>
            <w:pPr>
              <w:pStyle w:val="16"/>
              <w:rPr>
                <w:rFonts w:hint="eastAsia" w:ascii="宋体" w:hAnsi="宋体" w:eastAsia="宋体" w:cs="宋体"/>
                <w:sz w:val="21"/>
                <w:szCs w:val="21"/>
              </w:rPr>
            </w:pPr>
            <w:r>
              <w:rPr>
                <w:rFonts w:hint="eastAsia"/>
                <w:lang w:val="en-US" w:eastAsia="zh-CN"/>
              </w:rPr>
              <w:t>13.82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eastAsia" w:ascii="宋体" w:hAnsi="宋体" w:eastAsia="宋体" w:cs="宋体"/>
                <w:sz w:val="21"/>
                <w:szCs w:val="21"/>
              </w:rPr>
            </w:pPr>
            <w:r>
              <w:rPr>
                <w:rFonts w:hint="eastAsia"/>
                <w:lang w:val="en-US" w:eastAsia="zh-CN"/>
              </w:rPr>
              <w:t>7.03</w:t>
            </w:r>
          </w:p>
        </w:tc>
        <w:tc>
          <w:tcPr>
            <w:tcW w:w="1474" w:type="dxa"/>
            <w:vAlign w:val="center"/>
          </w:tcPr>
          <w:p>
            <w:pPr>
              <w:pStyle w:val="16"/>
              <w:rPr>
                <w:rFonts w:hint="eastAsia" w:ascii="宋体" w:hAnsi="宋体" w:eastAsia="宋体" w:cs="宋体"/>
                <w:sz w:val="21"/>
                <w:szCs w:val="21"/>
              </w:rPr>
            </w:pPr>
            <w:r>
              <w:rPr>
                <w:rFonts w:hint="eastAsia"/>
                <w:lang w:val="en-US" w:eastAsia="zh-CN"/>
              </w:rPr>
              <w:t>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7.83</w:t>
            </w:r>
          </w:p>
        </w:tc>
        <w:tc>
          <w:tcPr>
            <w:tcW w:w="1474"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83</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keepNext w:val="0"/>
              <w:keepLines w:val="0"/>
              <w:widowControl/>
              <w:suppressLineNumbers w:val="0"/>
              <w:jc w:val="right"/>
              <w:textAlignment w:val="top"/>
              <w:rPr>
                <w:rFonts w:hint="default" w:ascii="宋体" w:hAnsi="宋体" w:eastAsia="宋体" w:cs="宋体"/>
                <w:b/>
                <w:bCs/>
                <w:sz w:val="21"/>
                <w:szCs w:val="21"/>
                <w:lang w:val="en-US"/>
              </w:rPr>
            </w:pPr>
            <w:r>
              <w:rPr>
                <w:rFonts w:hint="eastAsia" w:ascii="宋体" w:hAnsi="宋体" w:cs="宋体"/>
                <w:b/>
                <w:bCs/>
                <w:i w:val="0"/>
                <w:iCs w:val="0"/>
                <w:color w:val="000000"/>
                <w:kern w:val="0"/>
                <w:sz w:val="21"/>
                <w:szCs w:val="21"/>
                <w:u w:val="none"/>
                <w:lang w:val="en-US" w:eastAsia="zh-CN" w:bidi="ar"/>
              </w:rPr>
              <w:t>394.74</w:t>
            </w:r>
          </w:p>
        </w:tc>
        <w:tc>
          <w:tcPr>
            <w:tcW w:w="3402" w:type="dxa"/>
            <w:vAlign w:val="center"/>
          </w:tcPr>
          <w:p>
            <w:pPr>
              <w:pStyle w:val="19"/>
            </w:pPr>
            <w:r>
              <w:rPr>
                <w:rFonts w:hint="eastAsia"/>
              </w:rPr>
              <w:t>本年支出合计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394.74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394.74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r>
              <w:rPr>
                <w:rFonts w:hint="eastAsia"/>
              </w:rPr>
              <w:t>年末财政拨款结转和结余</w:t>
            </w: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394.74</w:t>
            </w:r>
          </w:p>
        </w:tc>
        <w:tc>
          <w:tcPr>
            <w:tcW w:w="3402" w:type="dxa"/>
            <w:vAlign w:val="center"/>
          </w:tcPr>
          <w:p>
            <w:pPr>
              <w:pStyle w:val="19"/>
            </w:pPr>
            <w:r>
              <w:rPr>
                <w:rFonts w:hint="eastAsia"/>
              </w:rPr>
              <w:t>支出总计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394.74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394.74</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1"/>
                <w:szCs w:val="21"/>
                <w:u w:val="none"/>
                <w:lang w:val="en-US" w:eastAsia="zh-CN" w:bidi="ar"/>
              </w:rPr>
              <w:t>394.74</w:t>
            </w:r>
          </w:p>
        </w:tc>
        <w:tc>
          <w:tcPr>
            <w:tcW w:w="2551" w:type="dxa"/>
            <w:vAlign w:val="center"/>
          </w:tcPr>
          <w:p>
            <w:pPr>
              <w:keepNext w:val="0"/>
              <w:keepLines w:val="0"/>
              <w:widowControl/>
              <w:suppressLineNumbers w:val="0"/>
              <w:jc w:val="right"/>
              <w:textAlignment w:val="top"/>
              <w:rPr>
                <w:b/>
                <w:bC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268.16</w:t>
            </w:r>
          </w:p>
        </w:tc>
        <w:tc>
          <w:tcPr>
            <w:tcW w:w="2551" w:type="dxa"/>
            <w:vAlign w:val="center"/>
          </w:tcPr>
          <w:p>
            <w:pPr>
              <w:keepNext w:val="0"/>
              <w:keepLines w:val="0"/>
              <w:widowControl/>
              <w:suppressLineNumbers w:val="0"/>
              <w:jc w:val="right"/>
              <w:textAlignment w:val="top"/>
              <w:rPr>
                <w:b/>
                <w:bC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366.06</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239.48</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265.64</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239.48</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5.5</w:t>
            </w:r>
          </w:p>
        </w:tc>
        <w:tc>
          <w:tcPr>
            <w:tcW w:w="2551" w:type="dxa"/>
            <w:vAlign w:val="center"/>
          </w:tcPr>
          <w:p>
            <w:pPr>
              <w:pStyle w:val="16"/>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52</w:t>
            </w:r>
          </w:p>
        </w:tc>
        <w:tc>
          <w:tcPr>
            <w:tcW w:w="2551" w:type="dxa"/>
            <w:vAlign w:val="center"/>
          </w:tcPr>
          <w:p>
            <w:pPr>
              <w:pStyle w:val="16"/>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2551" w:type="dxa"/>
            <w:vAlign w:val="center"/>
          </w:tcPr>
          <w:p>
            <w:pPr>
              <w:pStyle w:val="16"/>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42.92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5.31</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1.72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1191"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4535"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keepNext w:val="0"/>
              <w:keepLines w:val="0"/>
              <w:widowControl/>
              <w:suppressLineNumbers w:val="0"/>
              <w:jc w:val="right"/>
              <w:textAlignment w:val="center"/>
              <w:rPr>
                <w:b/>
                <w:bCs/>
              </w:rPr>
            </w:pPr>
            <w:r>
              <w:rPr>
                <w:rFonts w:hint="eastAsia" w:ascii="方正书宋_GBK" w:hAnsi="方正书宋_GBK" w:eastAsia="方正书宋_GBK" w:cs="方正书宋_GBK"/>
                <w:b/>
                <w:bCs/>
                <w:i w:val="0"/>
                <w:iCs w:val="0"/>
                <w:color w:val="auto"/>
                <w:kern w:val="0"/>
                <w:sz w:val="21"/>
                <w:szCs w:val="21"/>
                <w:u w:val="none"/>
                <w:lang w:val="en-US" w:eastAsia="zh-CN" w:bidi="ar"/>
              </w:rPr>
              <w:t>268.16</w:t>
            </w:r>
          </w:p>
        </w:tc>
        <w:tc>
          <w:tcPr>
            <w:tcW w:w="2551" w:type="dxa"/>
            <w:vAlign w:val="center"/>
          </w:tcPr>
          <w:p>
            <w:pPr>
              <w:keepNext w:val="0"/>
              <w:keepLines w:val="0"/>
              <w:widowControl/>
              <w:suppressLineNumbers w:val="0"/>
              <w:jc w:val="right"/>
              <w:textAlignment w:val="center"/>
              <w:rPr>
                <w:b/>
                <w:bCs/>
              </w:rPr>
            </w:pPr>
            <w:r>
              <w:rPr>
                <w:rFonts w:hint="eastAsia" w:ascii="方正书宋_GBK" w:hAnsi="方正书宋_GBK" w:eastAsia="方正书宋_GBK" w:cs="方正书宋_GBK"/>
                <w:b/>
                <w:bCs/>
                <w:i w:val="0"/>
                <w:iCs w:val="0"/>
                <w:color w:val="auto"/>
                <w:kern w:val="0"/>
                <w:sz w:val="21"/>
                <w:szCs w:val="21"/>
                <w:u w:val="none"/>
                <w:lang w:val="en-US" w:eastAsia="zh-CN" w:bidi="ar"/>
              </w:rPr>
              <w:t>140.54</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auto"/>
                <w:kern w:val="0"/>
                <w:sz w:val="20"/>
                <w:szCs w:val="20"/>
                <w:u w:val="none"/>
                <w:lang w:val="en-US" w:eastAsia="zh-CN" w:bidi="ar"/>
              </w:rPr>
              <w:t>127.62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140.54</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140.54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56.16</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56.16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22.51</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22.51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14.93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14.93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8.5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13.82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5.31</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5.31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2.21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2.21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7.83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7.83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9.27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9.27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127.62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127.62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2.86</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0.36</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1.3</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110.2</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1.18</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3.1</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6.06</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0.56</w:t>
            </w:r>
          </w:p>
        </w:tc>
        <w:tc>
          <w:tcPr>
            <w:tcW w:w="2551" w:type="dxa"/>
            <w:vAlign w:val="top"/>
          </w:tcPr>
          <w:p>
            <w:pPr>
              <w:jc w:val="right"/>
            </w:pPr>
          </w:p>
        </w:tc>
        <w:tc>
          <w:tcPr>
            <w:tcW w:w="255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auto"/>
                <w:kern w:val="0"/>
                <w:sz w:val="21"/>
                <w:szCs w:val="21"/>
                <w:u w:val="none"/>
                <w:lang w:val="en-US" w:eastAsia="zh-CN" w:bidi="ar"/>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“三公”经费小计</w:t>
            </w:r>
          </w:p>
        </w:tc>
        <w:tc>
          <w:tcPr>
            <w:tcW w:w="2382"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一、因公出国（境）费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其中：教学科研人员因公出国（境）费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其他因公出国（境）费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二、公务用车购置及运维费</w:t>
            </w:r>
          </w:p>
        </w:tc>
        <w:tc>
          <w:tcPr>
            <w:tcW w:w="2382"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其中：公务用车购置费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三、公务接待费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四、会议费</w:t>
            </w:r>
          </w:p>
        </w:tc>
        <w:tc>
          <w:tcPr>
            <w:tcW w:w="2382"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五、培训费</w:t>
            </w:r>
          </w:p>
        </w:tc>
        <w:tc>
          <w:tcPr>
            <w:tcW w:w="2382"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color w:val="000000"/>
          <w:sz w:val="28"/>
          <w:szCs w:val="28"/>
        </w:rPr>
        <w:t>按照《</w:t>
      </w:r>
      <w:r>
        <w:rPr>
          <w:rFonts w:hint="eastAsia" w:ascii="宋体" w:hAnsi="宋体" w:cs="宋体"/>
          <w:color w:val="000000"/>
          <w:sz w:val="28"/>
          <w:szCs w:val="28"/>
          <w:lang w:eastAsia="zh-CN"/>
        </w:rPr>
        <w:t>中华人民共和国预算法</w:t>
      </w:r>
      <w:r>
        <w:rPr>
          <w:rFonts w:hint="eastAsia" w:ascii="宋体" w:hAnsi="宋体" w:eastAsia="宋体" w:cs="宋体"/>
          <w:color w:val="000000"/>
          <w:sz w:val="28"/>
          <w:szCs w:val="28"/>
        </w:rPr>
        <w:t>》、《地方预决算公开操作规程》和《关于进一步推进预算公开工作的实施意见》规定，现将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（八）</w:t>
      </w:r>
      <w:bookmarkStart w:id="3" w:name="_GoBack"/>
      <w:bookmarkEnd w:id="3"/>
      <w:r>
        <w:rPr>
          <w:rFonts w:hint="eastAsia" w:ascii="宋体" w:hAnsi="宋体" w:eastAsia="宋体" w:cs="宋体"/>
          <w:sz w:val="28"/>
          <w:szCs w:val="28"/>
        </w:rPr>
        <w:t xml:space="preserve">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二、单位预算安排的总体情况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268.16</w:t>
      </w:r>
      <w:r>
        <w:rPr>
          <w:rFonts w:hint="eastAsia" w:ascii="宋体" w:hAnsi="宋体" w:eastAsia="宋体" w:cs="宋体"/>
          <w:color w:val="000000"/>
          <w:sz w:val="28"/>
          <w:szCs w:val="28"/>
        </w:rPr>
        <w:t>万元（其中人员支出预算</w:t>
      </w:r>
      <w:r>
        <w:rPr>
          <w:rFonts w:hint="eastAsia" w:ascii="宋体" w:hAnsi="宋体" w:eastAsia="宋体" w:cs="宋体"/>
          <w:color w:val="000000"/>
          <w:sz w:val="28"/>
          <w:szCs w:val="28"/>
          <w:lang w:val="en-US" w:eastAsia="zh-CN"/>
        </w:rPr>
        <w:t>140.54</w:t>
      </w:r>
      <w:r>
        <w:rPr>
          <w:rFonts w:hint="eastAsia" w:ascii="宋体" w:hAnsi="宋体" w:eastAsia="宋体" w:cs="宋体"/>
          <w:color w:val="000000"/>
          <w:sz w:val="28"/>
          <w:szCs w:val="28"/>
        </w:rPr>
        <w:t>万元，日常公用支出预算</w:t>
      </w:r>
      <w:r>
        <w:rPr>
          <w:rFonts w:hint="eastAsia" w:ascii="宋体" w:hAnsi="宋体" w:eastAsia="宋体" w:cs="宋体"/>
          <w:color w:val="000000"/>
          <w:sz w:val="28"/>
          <w:szCs w:val="28"/>
          <w:lang w:val="en-US" w:eastAsia="zh-CN"/>
        </w:rPr>
        <w:t>127.62</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126.58</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，主要是行政运行</w:t>
      </w:r>
      <w:r>
        <w:rPr>
          <w:rFonts w:hint="eastAsia" w:ascii="宋体" w:hAnsi="宋体" w:eastAsia="宋体" w:cs="宋体"/>
          <w:color w:val="000000"/>
          <w:sz w:val="28"/>
          <w:szCs w:val="28"/>
          <w:lang w:val="en-US" w:eastAsia="zh-CN"/>
        </w:rPr>
        <w:t>26.16万元，</w:t>
      </w:r>
      <w:r>
        <w:rPr>
          <w:rFonts w:hint="eastAsia" w:ascii="宋体" w:hAnsi="宋体" w:eastAsia="宋体" w:cs="宋体"/>
          <w:color w:val="000000"/>
          <w:sz w:val="28"/>
          <w:szCs w:val="28"/>
          <w:lang w:eastAsia="zh-CN"/>
        </w:rPr>
        <w:t>一般行政管理事务</w:t>
      </w:r>
      <w:r>
        <w:rPr>
          <w:rFonts w:hint="eastAsia" w:ascii="宋体" w:hAnsi="宋体" w:eastAsia="宋体" w:cs="宋体"/>
          <w:color w:val="000000"/>
          <w:sz w:val="28"/>
          <w:szCs w:val="28"/>
          <w:lang w:val="en-US" w:eastAsia="zh-CN"/>
        </w:rPr>
        <w:t>5.5万元，专项普查活动52万元，统计抽样调查42.92万元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79.2</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25.12</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今年调入2名公务员以及</w:t>
      </w:r>
      <w:r>
        <w:rPr>
          <w:rFonts w:hint="eastAsia" w:ascii="宋体" w:hAnsi="宋体" w:eastAsia="宋体" w:cs="宋体"/>
          <w:color w:val="000000"/>
          <w:sz w:val="28"/>
          <w:szCs w:val="28"/>
          <w:lang w:eastAsia="zh-CN"/>
        </w:rPr>
        <w:t>财政开支人员工资及各项保险基数增加</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54.8</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2023年新增第五次全国经济普查项目。</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114.19</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64</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2</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98.15</w:t>
      </w:r>
      <w:r>
        <w:rPr>
          <w:rFonts w:hint="eastAsia" w:ascii="宋体" w:hAnsi="宋体" w:eastAsia="宋体" w:cs="宋体"/>
          <w:sz w:val="28"/>
          <w:szCs w:val="28"/>
        </w:rPr>
        <w:t>万元，工会经费0.9</w:t>
      </w:r>
      <w:r>
        <w:rPr>
          <w:rFonts w:hint="eastAsia" w:ascii="宋体" w:hAnsi="宋体" w:eastAsia="宋体" w:cs="宋体"/>
          <w:sz w:val="28"/>
          <w:szCs w:val="28"/>
          <w:lang w:val="en-US" w:eastAsia="zh-CN"/>
        </w:rPr>
        <w:t>3</w:t>
      </w:r>
      <w:r>
        <w:rPr>
          <w:rFonts w:hint="eastAsia" w:ascii="宋体" w:hAnsi="宋体" w:eastAsia="宋体" w:cs="宋体"/>
          <w:sz w:val="28"/>
          <w:szCs w:val="28"/>
        </w:rPr>
        <w:t>万元，公务</w:t>
      </w:r>
      <w:r>
        <w:rPr>
          <w:rFonts w:hint="eastAsia" w:ascii="宋体" w:hAnsi="宋体" w:eastAsia="宋体" w:cs="宋体"/>
          <w:bCs/>
          <w:sz w:val="28"/>
          <w:szCs w:val="28"/>
        </w:rPr>
        <w:t>用车运行维护费2.0万元，其他交通费用</w:t>
      </w:r>
      <w:r>
        <w:rPr>
          <w:rFonts w:hint="eastAsia" w:ascii="宋体" w:hAnsi="宋体" w:eastAsia="宋体" w:cs="宋体"/>
          <w:bCs/>
          <w:sz w:val="28"/>
          <w:szCs w:val="28"/>
          <w:lang w:val="en-US" w:eastAsia="zh-CN"/>
        </w:rPr>
        <w:t>5.46</w:t>
      </w:r>
      <w:r>
        <w:rPr>
          <w:rFonts w:hint="eastAsia" w:ascii="宋体" w:hAnsi="宋体" w:eastAsia="宋体" w:cs="宋体"/>
          <w:bCs/>
          <w:sz w:val="28"/>
          <w:szCs w:val="28"/>
        </w:rPr>
        <w:t>万元，</w:t>
      </w:r>
      <w:r>
        <w:rPr>
          <w:rFonts w:hint="eastAsia" w:ascii="宋体" w:hAnsi="宋体" w:eastAsia="宋体" w:cs="宋体"/>
          <w:bCs/>
          <w:sz w:val="28"/>
          <w:szCs w:val="28"/>
          <w:lang w:eastAsia="zh-CN"/>
        </w:rPr>
        <w:t>福利费</w:t>
      </w:r>
      <w:r>
        <w:rPr>
          <w:rFonts w:hint="eastAsia" w:ascii="宋体" w:hAnsi="宋体" w:eastAsia="宋体" w:cs="宋体"/>
          <w:bCs/>
          <w:sz w:val="28"/>
          <w:szCs w:val="28"/>
          <w:lang w:val="en-US" w:eastAsia="zh-CN"/>
        </w:rPr>
        <w:t>2.93万元，</w:t>
      </w:r>
      <w:r>
        <w:rPr>
          <w:rFonts w:hint="eastAsia" w:ascii="宋体" w:hAnsi="宋体" w:eastAsia="宋体" w:cs="宋体"/>
          <w:bCs/>
          <w:sz w:val="28"/>
          <w:szCs w:val="28"/>
        </w:rPr>
        <w:t>其他商品和服务支出</w:t>
      </w:r>
      <w:r>
        <w:rPr>
          <w:rFonts w:hint="eastAsia" w:ascii="宋体" w:hAnsi="宋体" w:eastAsia="宋体" w:cs="宋体"/>
          <w:bCs/>
          <w:sz w:val="28"/>
          <w:szCs w:val="28"/>
          <w:lang w:val="en-US" w:eastAsia="zh-CN"/>
        </w:rPr>
        <w:t>0.52</w:t>
      </w:r>
      <w:r>
        <w:rPr>
          <w:rFonts w:hint="eastAsia" w:ascii="宋体" w:hAnsi="宋体" w:eastAsia="宋体" w:cs="宋体"/>
          <w:bCs/>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1.2</w:t>
      </w:r>
      <w:r>
        <w:rPr>
          <w:rFonts w:hint="eastAsia" w:ascii="宋体" w:hAnsi="宋体" w:eastAsia="宋体" w:cs="宋体"/>
          <w:sz w:val="28"/>
          <w:szCs w:val="28"/>
        </w:rPr>
        <w:t>万元，原因是：</w:t>
      </w:r>
      <w:r>
        <w:rPr>
          <w:rFonts w:hint="eastAsia" w:ascii="宋体" w:hAnsi="宋体" w:eastAsia="宋体" w:cs="宋体"/>
          <w:sz w:val="28"/>
          <w:szCs w:val="28"/>
          <w:lang w:eastAsia="zh-CN"/>
        </w:rPr>
        <w:t>新增</w:t>
      </w:r>
      <w:r>
        <w:rPr>
          <w:rFonts w:hint="eastAsia" w:ascii="宋体" w:hAnsi="宋体" w:eastAsia="宋体" w:cs="宋体"/>
          <w:sz w:val="28"/>
          <w:szCs w:val="28"/>
          <w:lang w:val="en-US" w:eastAsia="zh-CN"/>
        </w:rPr>
        <w:t>1名公务员，交通补贴增加</w:t>
      </w:r>
      <w:r>
        <w:rPr>
          <w:rFonts w:hint="eastAsia" w:ascii="宋体" w:hAnsi="宋体" w:eastAsia="宋体" w:cs="宋体"/>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2.6</w:t>
      </w:r>
      <w:r>
        <w:rPr>
          <w:rFonts w:hint="eastAsia" w:ascii="宋体" w:hAnsi="宋体" w:eastAsia="宋体" w:cs="宋体"/>
          <w:sz w:val="28"/>
          <w:szCs w:val="28"/>
        </w:rPr>
        <w:t>万元，与上年持平，其中：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0.6</w:t>
      </w:r>
      <w:r>
        <w:rPr>
          <w:rFonts w:hint="eastAsia" w:ascii="宋体" w:hAnsi="宋体" w:eastAsia="宋体" w:cs="宋体"/>
          <w:kern w:val="0"/>
          <w:sz w:val="28"/>
          <w:szCs w:val="28"/>
          <w:lang w:bidi="ar"/>
        </w:rPr>
        <w:t>万元，</w:t>
      </w:r>
      <w:r>
        <w:rPr>
          <w:rFonts w:hint="eastAsia" w:ascii="宋体" w:hAnsi="宋体" w:eastAsia="宋体" w:cs="宋体"/>
          <w:sz w:val="28"/>
          <w:szCs w:val="28"/>
        </w:rPr>
        <w:t>与上年持平</w:t>
      </w:r>
      <w:r>
        <w:rPr>
          <w:rFonts w:hint="eastAsia" w:ascii="宋体" w:hAnsi="宋体" w:eastAsia="宋体" w:cs="宋体"/>
          <w:kern w:val="0"/>
          <w:sz w:val="28"/>
          <w:szCs w:val="28"/>
          <w:lang w:bidi="ar"/>
        </w:rPr>
        <w:t>，因公出国支出未做预算安排。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会议费预算</w:t>
      </w:r>
      <w:r>
        <w:rPr>
          <w:rFonts w:hint="eastAsia" w:ascii="宋体" w:hAnsi="宋体" w:eastAsia="宋体" w:cs="宋体"/>
          <w:sz w:val="28"/>
          <w:szCs w:val="28"/>
          <w:lang w:val="en-US" w:eastAsia="zh-CN"/>
        </w:rPr>
        <w:t>0.6</w:t>
      </w:r>
      <w:r>
        <w:rPr>
          <w:rFonts w:hint="eastAsia" w:ascii="宋体" w:hAnsi="宋体" w:eastAsia="宋体" w:cs="宋体"/>
          <w:sz w:val="28"/>
          <w:szCs w:val="28"/>
        </w:rPr>
        <w:t>万元，培训费预算</w:t>
      </w:r>
      <w:r>
        <w:rPr>
          <w:rFonts w:hint="eastAsia" w:ascii="宋体" w:hAnsi="宋体" w:eastAsia="宋体" w:cs="宋体"/>
          <w:sz w:val="28"/>
          <w:szCs w:val="28"/>
          <w:lang w:val="en-US" w:eastAsia="zh-CN"/>
        </w:rPr>
        <w:t>0.7</w:t>
      </w:r>
      <w:r>
        <w:rPr>
          <w:rFonts w:hint="eastAsia" w:ascii="宋体" w:hAnsi="宋体" w:eastAsia="宋体" w:cs="宋体"/>
          <w:sz w:val="28"/>
          <w:szCs w:val="28"/>
        </w:rPr>
        <w:t>万元，其中：抽样调查</w:t>
      </w:r>
      <w:r>
        <w:rPr>
          <w:rFonts w:hint="eastAsia" w:ascii="宋体" w:hAnsi="宋体" w:eastAsia="宋体" w:cs="宋体"/>
          <w:sz w:val="28"/>
          <w:szCs w:val="28"/>
          <w:lang w:val="en-US" w:eastAsia="zh-CN"/>
        </w:rPr>
        <w:t>4</w:t>
      </w:r>
      <w:r>
        <w:rPr>
          <w:rFonts w:hint="eastAsia" w:ascii="宋体" w:hAnsi="宋体" w:eastAsia="宋体" w:cs="宋体"/>
          <w:sz w:val="28"/>
          <w:szCs w:val="28"/>
        </w:rPr>
        <w:t>次会议</w:t>
      </w:r>
      <w:r>
        <w:rPr>
          <w:rFonts w:hint="eastAsia" w:ascii="宋体" w:hAnsi="宋体" w:eastAsia="宋体" w:cs="宋体"/>
          <w:sz w:val="28"/>
          <w:szCs w:val="28"/>
          <w:lang w:val="en-US" w:eastAsia="zh-CN"/>
        </w:rPr>
        <w:t>120</w:t>
      </w:r>
      <w:r>
        <w:rPr>
          <w:rFonts w:hint="eastAsia" w:ascii="宋体" w:hAnsi="宋体" w:eastAsia="宋体" w:cs="宋体"/>
          <w:sz w:val="28"/>
          <w:szCs w:val="28"/>
        </w:rPr>
        <w:t>人次，共计0.</w:t>
      </w:r>
      <w:r>
        <w:rPr>
          <w:rFonts w:hint="eastAsia" w:ascii="宋体" w:hAnsi="宋体" w:eastAsia="宋体" w:cs="宋体"/>
          <w:sz w:val="28"/>
          <w:szCs w:val="28"/>
          <w:lang w:val="en-US" w:eastAsia="zh-CN"/>
        </w:rPr>
        <w:t>6</w:t>
      </w:r>
      <w:r>
        <w:rPr>
          <w:rFonts w:hint="eastAsia" w:ascii="宋体" w:hAnsi="宋体" w:eastAsia="宋体" w:cs="宋体"/>
          <w:sz w:val="28"/>
          <w:szCs w:val="28"/>
        </w:rPr>
        <w:t>万元；5次培训，</w:t>
      </w:r>
      <w:r>
        <w:rPr>
          <w:rFonts w:hint="eastAsia" w:ascii="宋体" w:hAnsi="宋体" w:eastAsia="宋体" w:cs="宋体"/>
          <w:sz w:val="28"/>
          <w:szCs w:val="28"/>
          <w:lang w:val="en-US" w:eastAsia="zh-CN"/>
        </w:rPr>
        <w:t>150</w:t>
      </w:r>
      <w:r>
        <w:rPr>
          <w:rFonts w:hint="eastAsia" w:ascii="宋体" w:hAnsi="宋体" w:eastAsia="宋体" w:cs="宋体"/>
          <w:sz w:val="28"/>
          <w:szCs w:val="28"/>
        </w:rPr>
        <w:t>人次，共计</w:t>
      </w:r>
      <w:r>
        <w:rPr>
          <w:rFonts w:hint="eastAsia" w:ascii="宋体" w:hAnsi="宋体" w:eastAsia="宋体" w:cs="宋体"/>
          <w:sz w:val="28"/>
          <w:szCs w:val="28"/>
          <w:lang w:val="en-US" w:eastAsia="zh-CN"/>
        </w:rPr>
        <w:t>0.7</w:t>
      </w:r>
      <w:r>
        <w:rPr>
          <w:rFonts w:hint="eastAsia" w:ascii="宋体" w:hAnsi="宋体" w:eastAsia="宋体" w:cs="宋体"/>
          <w:sz w:val="28"/>
          <w:szCs w:val="28"/>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2</w:t>
            </w:r>
            <w:r>
              <w:rPr>
                <w:rFonts w:hint="eastAsia" w:ascii="宋体" w:hAnsi="宋体" w:eastAsia="宋体" w:cs="宋体"/>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0.6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lang w:val="en-US" w:eastAsia="zh-CN"/>
              </w:rPr>
              <w:t>2.6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kern w:val="0"/>
                <w:sz w:val="24"/>
                <w:szCs w:val="24"/>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0" w:beforeLines="0" w:after="0" w:afterLines="0"/>
        <w:ind w:firstLine="560"/>
        <w:jc w:val="left"/>
        <w:outlineLvl w:val="3"/>
        <w:rPr>
          <w:rFonts w:hint="eastAsia" w:ascii="黑体" w:hAnsi="黑体" w:eastAsia="黑体" w:cs="黑体"/>
          <w:color w:val="000000"/>
          <w:sz w:val="28"/>
          <w:lang w:eastAsia="zh-CN"/>
        </w:rPr>
      </w:pPr>
      <w:bookmarkStart w:id="1" w:name="_Toc_4_4_0000000004"/>
    </w:p>
    <w:bookmarkEnd w:id="1"/>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r>
        <w:rPr>
          <w:rFonts w:hint="eastAsia" w:ascii="黑体" w:hAnsi="黑体" w:eastAsia="黑体" w:cs="黑体"/>
          <w:color w:val="000000"/>
          <w:sz w:val="28"/>
          <w:lang w:eastAsia="zh-CN"/>
        </w:rPr>
        <w:t>五、预算绩效信息</w:t>
      </w:r>
    </w:p>
    <w:p>
      <w:pPr>
        <w:ind w:firstLine="560"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hint="eastAsia" w:ascii="方正仿宋_GBK" w:hAnsi="方正仿宋_GBK" w:eastAsia="方正仿宋_GBK" w:cs="方正仿宋_GBK"/>
          <w:b/>
          <w:color w:val="000000"/>
          <w:sz w:val="28"/>
          <w:lang w:eastAsia="zh-CN"/>
        </w:rPr>
        <w:t>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收集整理2022年统计数据，2022年底完成编辑、印刷、发行工作，保持统计资料连续性达到可对外公布需求。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7"/>
            </w:pPr>
            <w:r>
              <w:t>数量指标</w:t>
            </w:r>
          </w:p>
        </w:tc>
        <w:tc>
          <w:tcPr>
            <w:tcW w:w="2835" w:type="dxa"/>
            <w:vAlign w:val="center"/>
          </w:tcPr>
          <w:p>
            <w:pPr>
              <w:pStyle w:val="17"/>
            </w:pPr>
            <w:r>
              <w:t>统计公报/统计年鉴数据或文字差</w:t>
            </w:r>
          </w:p>
        </w:tc>
        <w:tc>
          <w:tcPr>
            <w:tcW w:w="2835" w:type="dxa"/>
            <w:vAlign w:val="center"/>
          </w:tcPr>
          <w:p>
            <w:pPr>
              <w:pStyle w:val="17"/>
              <w:rPr>
                <w:rFonts w:hint="default" w:ascii="方正书宋_GBK" w:hAnsi="方正书宋_GBK" w:eastAsia="方正书宋_GBK" w:cs="方正书宋_GBK"/>
                <w:sz w:val="21"/>
                <w:szCs w:val="24"/>
                <w:lang w:val="en-US" w:eastAsia="zh-CN" w:bidi="ar-SA"/>
              </w:rPr>
            </w:pPr>
            <w:r>
              <w:t>统计公报/统计年鉴数据或文字差错率</w:t>
            </w:r>
          </w:p>
        </w:tc>
        <w:tc>
          <w:tcPr>
            <w:tcW w:w="2551" w:type="dxa"/>
            <w:vAlign w:val="center"/>
          </w:tcPr>
          <w:p>
            <w:pPr>
              <w:pStyle w:val="17"/>
              <w:rPr>
                <w:rFonts w:ascii="方正书宋_GBK" w:hAnsi="方正书宋_GBK" w:eastAsia="方正书宋_GBK" w:cs="方正书宋_GBK"/>
                <w:sz w:val="21"/>
                <w:szCs w:val="24"/>
                <w:lang w:val="en-US" w:eastAsia="uk-UA" w:bidi="ar-SA"/>
              </w:rPr>
            </w:pPr>
            <w:r>
              <w:t>≤10百分比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质量指标</w:t>
            </w:r>
          </w:p>
        </w:tc>
        <w:tc>
          <w:tcPr>
            <w:tcW w:w="2835" w:type="dxa"/>
            <w:vAlign w:val="center"/>
          </w:tcPr>
          <w:p>
            <w:pPr>
              <w:pStyle w:val="17"/>
            </w:pPr>
            <w:r>
              <w:t>印刷合格率</w:t>
            </w:r>
          </w:p>
        </w:tc>
        <w:tc>
          <w:tcPr>
            <w:tcW w:w="2835" w:type="dxa"/>
            <w:vAlign w:val="center"/>
          </w:tcPr>
          <w:p>
            <w:pPr>
              <w:pStyle w:val="17"/>
              <w:rPr>
                <w:rFonts w:hint="eastAsia" w:ascii="方正书宋_GBK" w:hAnsi="方正书宋_GBK" w:eastAsia="方正书宋_GBK" w:cs="方正书宋_GBK"/>
                <w:sz w:val="21"/>
                <w:szCs w:val="24"/>
                <w:lang w:val="en-US" w:eastAsia="zh-CN" w:bidi="ar-SA"/>
              </w:rPr>
            </w:pPr>
            <w:r>
              <w:t>印刷合格率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时效指标</w:t>
            </w:r>
          </w:p>
        </w:tc>
        <w:tc>
          <w:tcPr>
            <w:tcW w:w="2835" w:type="dxa"/>
            <w:vAlign w:val="center"/>
          </w:tcPr>
          <w:p>
            <w:pPr>
              <w:pStyle w:val="17"/>
            </w:pPr>
            <w:r>
              <w:t>按时完成印刷任务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按时完成印刷任务</w:t>
            </w:r>
          </w:p>
        </w:tc>
        <w:tc>
          <w:tcPr>
            <w:tcW w:w="2551" w:type="dxa"/>
            <w:vAlign w:val="center"/>
          </w:tcPr>
          <w:p>
            <w:pPr>
              <w:pStyle w:val="17"/>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成本指标</w:t>
            </w:r>
          </w:p>
        </w:tc>
        <w:tc>
          <w:tcPr>
            <w:tcW w:w="2835" w:type="dxa"/>
            <w:vAlign w:val="center"/>
          </w:tcPr>
          <w:p>
            <w:pPr>
              <w:pStyle w:val="17"/>
            </w:pPr>
            <w:r>
              <w:t>印刷成本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编印年鉴的单册成本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3万元</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长期使用性</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能够长期使用年鉴数据</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bl>
    <w:p>
      <w:pPr>
        <w:rPr>
          <w:rFonts w:hint="eastAsia" w:ascii="方正仿宋_GBK" w:hAnsi="方正仿宋_GBK" w:eastAsia="方正仿宋_GBK" w:cs="方正仿宋_GBK"/>
          <w:b/>
          <w:color w:val="000000"/>
          <w:sz w:val="28"/>
          <w:lang w:val="en-US" w:eastAsia="zh-CN"/>
        </w:rPr>
      </w:pPr>
    </w:p>
    <w:p>
      <w:pPr>
        <w:ind w:firstLine="560"/>
      </w:pPr>
      <w:r>
        <w:rPr>
          <w:rFonts w:ascii="方正仿宋_GBK" w:hAnsi="方正仿宋_GBK" w:eastAsia="方正仿宋_GBK" w:cs="方正仿宋_GBK"/>
          <w:b/>
          <w:color w:val="000000"/>
          <w:sz w:val="28"/>
        </w:rPr>
        <w:t>2、第五次全国经济普查经费绩效目标表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根据省市要求，完成普查前期的宣传动员与开展，及时发放“两员”补贴。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支撑个体户及企业数量</w:t>
            </w:r>
          </w:p>
        </w:tc>
        <w:tc>
          <w:tcPr>
            <w:tcW w:w="2835" w:type="dxa"/>
            <w:vAlign w:val="center"/>
          </w:tcPr>
          <w:p>
            <w:pPr>
              <w:pStyle w:val="17"/>
              <w:rPr>
                <w:rFonts w:hint="default" w:eastAsia="方正书宋_GBK"/>
                <w:lang w:val="en-US" w:eastAsia="zh-CN"/>
              </w:rPr>
            </w:pPr>
            <w:r>
              <w:t>支撑个体户及企业数量</w:t>
            </w:r>
          </w:p>
        </w:tc>
        <w:tc>
          <w:tcPr>
            <w:tcW w:w="2551" w:type="dxa"/>
            <w:vAlign w:val="center"/>
          </w:tcPr>
          <w:p>
            <w:pPr>
              <w:pStyle w:val="17"/>
            </w:pPr>
            <w:r>
              <w:t>≥95百分比</w:t>
            </w:r>
          </w:p>
        </w:tc>
        <w:tc>
          <w:tcPr>
            <w:tcW w:w="2268" w:type="dxa"/>
            <w:vAlign w:val="center"/>
          </w:tcPr>
          <w:p>
            <w:pPr>
              <w:pStyle w:val="17"/>
            </w:pPr>
            <w:r>
              <w:t>普查情况上报率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各项任务完成及时率（%）</w:t>
            </w:r>
          </w:p>
        </w:tc>
        <w:tc>
          <w:tcPr>
            <w:tcW w:w="2835" w:type="dxa"/>
            <w:vAlign w:val="center"/>
          </w:tcPr>
          <w:p>
            <w:pPr>
              <w:pStyle w:val="17"/>
              <w:rPr>
                <w:rFonts w:hint="eastAsia" w:eastAsia="方正书宋_GBK"/>
                <w:lang w:eastAsia="zh-CN"/>
              </w:rPr>
            </w:pPr>
            <w:r>
              <w:t>各项任务完成及时率（%）</w:t>
            </w:r>
          </w:p>
        </w:tc>
        <w:tc>
          <w:tcPr>
            <w:tcW w:w="2551" w:type="dxa"/>
            <w:vAlign w:val="center"/>
          </w:tcPr>
          <w:p>
            <w:pPr>
              <w:pStyle w:val="17"/>
            </w:pPr>
            <w:r>
              <w:t>≥95百分比</w:t>
            </w:r>
          </w:p>
        </w:tc>
        <w:tc>
          <w:tcPr>
            <w:tcW w:w="2268" w:type="dxa"/>
            <w:vAlign w:val="center"/>
          </w:tcPr>
          <w:p>
            <w:pPr>
              <w:pStyle w:val="17"/>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数据统计、监测分析</w:t>
            </w:r>
          </w:p>
        </w:tc>
        <w:tc>
          <w:tcPr>
            <w:tcW w:w="2835" w:type="dxa"/>
            <w:vAlign w:val="center"/>
          </w:tcPr>
          <w:p>
            <w:pPr>
              <w:pStyle w:val="17"/>
            </w:pPr>
            <w:r>
              <w:t>数据统计、监测分析</w:t>
            </w:r>
          </w:p>
        </w:tc>
        <w:tc>
          <w:tcPr>
            <w:tcW w:w="2551" w:type="dxa"/>
            <w:vAlign w:val="center"/>
          </w:tcPr>
          <w:p>
            <w:pPr>
              <w:pStyle w:val="17"/>
            </w:pPr>
            <w:r>
              <w:t>≥95百分比</w:t>
            </w:r>
          </w:p>
        </w:tc>
        <w:tc>
          <w:tcPr>
            <w:tcW w:w="2268" w:type="dxa"/>
            <w:vAlign w:val="center"/>
          </w:tcPr>
          <w:p>
            <w:pPr>
              <w:pStyle w:val="17"/>
            </w:pPr>
            <w:r>
              <w:t>数据填报正确率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完成全部普查所需成本</w:t>
            </w:r>
          </w:p>
        </w:tc>
        <w:tc>
          <w:tcPr>
            <w:tcW w:w="2835" w:type="dxa"/>
            <w:vAlign w:val="center"/>
          </w:tcPr>
          <w:p>
            <w:pPr>
              <w:pStyle w:val="17"/>
              <w:rPr>
                <w:rFonts w:hint="default" w:eastAsia="方正书宋_GBK"/>
                <w:lang w:val="en-US" w:eastAsia="zh-CN"/>
              </w:rPr>
            </w:pPr>
            <w:r>
              <w:t>完成全部普查所需成本</w:t>
            </w:r>
          </w:p>
        </w:tc>
        <w:tc>
          <w:tcPr>
            <w:tcW w:w="2551" w:type="dxa"/>
            <w:vAlign w:val="center"/>
          </w:tcPr>
          <w:p>
            <w:pPr>
              <w:pStyle w:val="17"/>
            </w:pPr>
            <w:r>
              <w:t>≥95百分比</w:t>
            </w:r>
          </w:p>
        </w:tc>
        <w:tc>
          <w:tcPr>
            <w:tcW w:w="2268" w:type="dxa"/>
            <w:vAlign w:val="center"/>
          </w:tcPr>
          <w:p>
            <w:pPr>
              <w:pStyle w:val="17"/>
            </w:pPr>
            <w:r>
              <w:t>按预算数据发放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对社会经济发展的影响</w:t>
            </w:r>
          </w:p>
        </w:tc>
        <w:tc>
          <w:tcPr>
            <w:tcW w:w="2835" w:type="dxa"/>
            <w:vAlign w:val="center"/>
          </w:tcPr>
          <w:p>
            <w:pPr>
              <w:pStyle w:val="17"/>
              <w:rPr>
                <w:rFonts w:hint="default" w:eastAsia="方正书宋_GBK"/>
                <w:lang w:val="en-US" w:eastAsia="zh-CN"/>
              </w:rPr>
            </w:pPr>
            <w:r>
              <w:t>对社会经济发展的影响</w:t>
            </w:r>
          </w:p>
        </w:tc>
        <w:tc>
          <w:tcPr>
            <w:tcW w:w="2551" w:type="dxa"/>
            <w:vAlign w:val="center"/>
          </w:tcPr>
          <w:p>
            <w:pPr>
              <w:pStyle w:val="17"/>
            </w:pPr>
            <w:r>
              <w:t>良好</w:t>
            </w:r>
          </w:p>
        </w:tc>
        <w:tc>
          <w:tcPr>
            <w:tcW w:w="2268" w:type="dxa"/>
            <w:vAlign w:val="center"/>
          </w:tcPr>
          <w:p>
            <w:pPr>
              <w:pStyle w:val="17"/>
            </w:pPr>
            <w:r>
              <w:t>数据提供来源</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六</w:t>
      </w:r>
      <w:r>
        <w:rPr>
          <w:rFonts w:hint="eastAsia" w:ascii="方正仿宋_GBK" w:hAnsi="方正仿宋_GBK" w:eastAsia="方正仿宋_GBK" w:cs="方正仿宋_GBK"/>
          <w:b/>
          <w:color w:val="000000"/>
          <w:sz w:val="28"/>
        </w:rPr>
        <w:t>项抽样调查</w:t>
      </w:r>
      <w:r>
        <w:rPr>
          <w:rFonts w:hint="eastAsia" w:ascii="方正仿宋_GBK" w:hAnsi="方正仿宋_GBK" w:eastAsia="方正仿宋_GBK" w:cs="方正仿宋_GBK"/>
          <w:b/>
          <w:color w:val="000000"/>
          <w:sz w:val="28"/>
          <w:lang w:eastAsia="zh-CN"/>
        </w:rPr>
        <w:t>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按时按要求发放各项调查补贴，完成调查培训，科学组织合理安排调查实施，确保调查任务圆满完成。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调查企业户数</w:t>
            </w:r>
          </w:p>
        </w:tc>
        <w:tc>
          <w:tcPr>
            <w:tcW w:w="2835" w:type="dxa"/>
            <w:vAlign w:val="center"/>
          </w:tcPr>
          <w:p>
            <w:pPr>
              <w:pStyle w:val="17"/>
            </w:pPr>
            <w:r>
              <w:t>调查企业户数</w:t>
            </w:r>
          </w:p>
        </w:tc>
        <w:tc>
          <w:tcPr>
            <w:tcW w:w="2551" w:type="dxa"/>
            <w:vAlign w:val="center"/>
          </w:tcPr>
          <w:p>
            <w:pPr>
              <w:pStyle w:val="17"/>
            </w:pPr>
            <w:r>
              <w:t>160户</w:t>
            </w:r>
          </w:p>
        </w:tc>
        <w:tc>
          <w:tcPr>
            <w:tcW w:w="2268" w:type="dxa"/>
            <w:vAlign w:val="center"/>
          </w:tcPr>
          <w:p>
            <w:pPr>
              <w:pStyle w:val="17"/>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信息统计调查完成率</w:t>
            </w:r>
          </w:p>
        </w:tc>
        <w:tc>
          <w:tcPr>
            <w:tcW w:w="2835" w:type="dxa"/>
            <w:vAlign w:val="center"/>
          </w:tcPr>
          <w:p>
            <w:pPr>
              <w:pStyle w:val="17"/>
              <w:rPr>
                <w:rFonts w:hint="default" w:eastAsia="方正书宋_GBK"/>
                <w:lang w:val="en-US" w:eastAsia="zh-CN"/>
              </w:rPr>
            </w:pPr>
            <w:r>
              <w:t>信息统计调查完成率</w:t>
            </w:r>
          </w:p>
        </w:tc>
        <w:tc>
          <w:tcPr>
            <w:tcW w:w="2551" w:type="dxa"/>
            <w:vAlign w:val="center"/>
          </w:tcPr>
          <w:p>
            <w:pPr>
              <w:pStyle w:val="17"/>
            </w:pPr>
            <w:r>
              <w:t>≥95百分比</w:t>
            </w:r>
          </w:p>
        </w:tc>
        <w:tc>
          <w:tcPr>
            <w:tcW w:w="2268" w:type="dxa"/>
            <w:vAlign w:val="center"/>
          </w:tcPr>
          <w:p>
            <w:pPr>
              <w:pStyle w:val="17"/>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数据统计调查、分析监测等完成时</w:t>
            </w:r>
          </w:p>
        </w:tc>
        <w:tc>
          <w:tcPr>
            <w:tcW w:w="2835" w:type="dxa"/>
            <w:vAlign w:val="center"/>
          </w:tcPr>
          <w:p>
            <w:pPr>
              <w:pStyle w:val="17"/>
            </w:pPr>
            <w:r>
              <w:t>数据统计调查、分析监测等完成时限</w:t>
            </w:r>
          </w:p>
        </w:tc>
        <w:tc>
          <w:tcPr>
            <w:tcW w:w="2551" w:type="dxa"/>
            <w:vAlign w:val="center"/>
          </w:tcPr>
          <w:p>
            <w:pPr>
              <w:pStyle w:val="17"/>
            </w:pPr>
            <w:r>
              <w:t>≥95百分比</w:t>
            </w:r>
          </w:p>
        </w:tc>
        <w:tc>
          <w:tcPr>
            <w:tcW w:w="2268" w:type="dxa"/>
            <w:vAlign w:val="center"/>
          </w:tcPr>
          <w:p>
            <w:pPr>
              <w:pStyle w:val="17"/>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成本控制</w:t>
            </w:r>
          </w:p>
        </w:tc>
        <w:tc>
          <w:tcPr>
            <w:tcW w:w="2551" w:type="dxa"/>
            <w:vAlign w:val="center"/>
          </w:tcPr>
          <w:p>
            <w:pPr>
              <w:pStyle w:val="17"/>
            </w:pPr>
            <w:r>
              <w:t>42.92万元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统计信息采用量</w:t>
            </w:r>
          </w:p>
        </w:tc>
        <w:tc>
          <w:tcPr>
            <w:tcW w:w="2835" w:type="dxa"/>
            <w:vAlign w:val="center"/>
          </w:tcPr>
          <w:p>
            <w:pPr>
              <w:pStyle w:val="17"/>
            </w:pPr>
            <w:r>
              <w:t>反映统计信息、分析、课题受省领导批示或被采用情况</w:t>
            </w:r>
          </w:p>
        </w:tc>
        <w:tc>
          <w:tcPr>
            <w:tcW w:w="2551" w:type="dxa"/>
            <w:vAlign w:val="center"/>
          </w:tcPr>
          <w:p>
            <w:pPr>
              <w:pStyle w:val="17"/>
            </w:pPr>
            <w:r>
              <w:t>≥95百分比</w:t>
            </w:r>
          </w:p>
        </w:tc>
        <w:tc>
          <w:tcPr>
            <w:tcW w:w="2268" w:type="dxa"/>
            <w:vAlign w:val="center"/>
          </w:tcPr>
          <w:p>
            <w:pPr>
              <w:pStyle w:val="17"/>
            </w:pPr>
            <w:r>
              <w:t>反映统计信息、分析、课题受省领导批示或被采用情况</w:t>
            </w:r>
          </w:p>
        </w:tc>
      </w:tr>
    </w:tbl>
    <w:p>
      <w:pPr>
        <w:ind w:firstLine="560"/>
        <w:rPr>
          <w:rFonts w:hint="eastAsia" w:ascii="方正仿宋_GBK" w:hAnsi="方正仿宋_GBK" w:eastAsia="方正仿宋_GBK" w:cs="方正仿宋_GBK"/>
          <w:b/>
          <w:color w:val="000000"/>
          <w:sz w:val="28"/>
          <w:lang w:val="en-US" w:eastAsia="zh-CN"/>
        </w:rPr>
      </w:pPr>
    </w:p>
    <w:p>
      <w:pPr>
        <w:ind w:firstLine="560" w:firstLineChars="20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发放入统企业报表人员工作补贴，提高企业人员上报数据的积极性和准确性。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完成统计工作数量</w:t>
            </w:r>
          </w:p>
        </w:tc>
        <w:tc>
          <w:tcPr>
            <w:tcW w:w="2835" w:type="dxa"/>
            <w:vAlign w:val="center"/>
          </w:tcPr>
          <w:p>
            <w:pPr>
              <w:pStyle w:val="17"/>
            </w:pPr>
            <w:r>
              <w:t>规模以上企业数量</w:t>
            </w:r>
          </w:p>
        </w:tc>
        <w:tc>
          <w:tcPr>
            <w:tcW w:w="2551" w:type="dxa"/>
            <w:vAlign w:val="center"/>
          </w:tcPr>
          <w:p>
            <w:pPr>
              <w:pStyle w:val="17"/>
            </w:pPr>
            <w:r>
              <w:t>118家</w:t>
            </w:r>
          </w:p>
        </w:tc>
        <w:tc>
          <w:tcPr>
            <w:tcW w:w="2268" w:type="dxa"/>
            <w:vAlign w:val="center"/>
          </w:tcPr>
          <w:p>
            <w:pPr>
              <w:pStyle w:val="17"/>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报送数据及时性</w:t>
            </w:r>
          </w:p>
        </w:tc>
        <w:tc>
          <w:tcPr>
            <w:tcW w:w="2835" w:type="dxa"/>
            <w:vAlign w:val="center"/>
          </w:tcPr>
          <w:p>
            <w:pPr>
              <w:pStyle w:val="17"/>
              <w:rPr>
                <w:rFonts w:hint="default" w:eastAsia="方正书宋_GBK"/>
                <w:lang w:val="en-US" w:eastAsia="zh-CN"/>
              </w:rPr>
            </w:pPr>
            <w:r>
              <w:t>是否按时按质报送数据</w:t>
            </w:r>
          </w:p>
        </w:tc>
        <w:tc>
          <w:tcPr>
            <w:tcW w:w="2551" w:type="dxa"/>
            <w:vAlign w:val="center"/>
          </w:tcPr>
          <w:p>
            <w:pPr>
              <w:pStyle w:val="17"/>
            </w:pPr>
            <w:r>
              <w:t>≥95百分比</w:t>
            </w:r>
          </w:p>
        </w:tc>
        <w:tc>
          <w:tcPr>
            <w:tcW w:w="2268" w:type="dxa"/>
            <w:vAlign w:val="center"/>
          </w:tcPr>
          <w:p>
            <w:pPr>
              <w:pStyle w:val="17"/>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工作任务完成及时率</w:t>
            </w:r>
          </w:p>
        </w:tc>
        <w:tc>
          <w:tcPr>
            <w:tcW w:w="2835" w:type="dxa"/>
            <w:vAlign w:val="center"/>
          </w:tcPr>
          <w:p>
            <w:pPr>
              <w:pStyle w:val="17"/>
            </w:pPr>
            <w:r>
              <w:t>是否按时完成任务</w:t>
            </w:r>
          </w:p>
        </w:tc>
        <w:tc>
          <w:tcPr>
            <w:tcW w:w="2551" w:type="dxa"/>
            <w:vAlign w:val="center"/>
          </w:tcPr>
          <w:p>
            <w:pPr>
              <w:pStyle w:val="17"/>
            </w:pPr>
            <w:r>
              <w:t>≥95百分比</w:t>
            </w:r>
          </w:p>
        </w:tc>
        <w:tc>
          <w:tcPr>
            <w:tcW w:w="2268" w:type="dxa"/>
            <w:vAlign w:val="center"/>
          </w:tcPr>
          <w:p>
            <w:pPr>
              <w:pStyle w:val="17"/>
            </w:pPr>
            <w:r>
              <w:t>是否在规定时间内上报完成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7.08万元</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规模以上企业增加比例</w:t>
            </w:r>
          </w:p>
        </w:tc>
        <w:tc>
          <w:tcPr>
            <w:tcW w:w="2835" w:type="dxa"/>
            <w:vAlign w:val="center"/>
          </w:tcPr>
          <w:p>
            <w:pPr>
              <w:pStyle w:val="17"/>
              <w:rPr>
                <w:rFonts w:hint="default" w:eastAsia="方正书宋_GBK"/>
                <w:lang w:val="en-US" w:eastAsia="zh-CN"/>
              </w:rPr>
            </w:pPr>
            <w:r>
              <w:t>规模以上企业增加大于2家</w:t>
            </w:r>
          </w:p>
        </w:tc>
        <w:tc>
          <w:tcPr>
            <w:tcW w:w="2551" w:type="dxa"/>
            <w:vAlign w:val="center"/>
          </w:tcPr>
          <w:p>
            <w:pPr>
              <w:pStyle w:val="17"/>
            </w:pPr>
            <w:r>
              <w:t>≥95百分比</w:t>
            </w:r>
          </w:p>
        </w:tc>
        <w:tc>
          <w:tcPr>
            <w:tcW w:w="2268" w:type="dxa"/>
            <w:vAlign w:val="center"/>
          </w:tcPr>
          <w:p>
            <w:pPr>
              <w:pStyle w:val="17"/>
            </w:pPr>
            <w:r>
              <w:t>能否按时完成</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412"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确保统计等各项工作的正常运转、职工满意度、高提高工作积极性。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完成统计工作数量</w:t>
            </w:r>
          </w:p>
        </w:tc>
        <w:tc>
          <w:tcPr>
            <w:tcW w:w="2835" w:type="dxa"/>
            <w:vAlign w:val="center"/>
          </w:tcPr>
          <w:p>
            <w:pPr>
              <w:pStyle w:val="17"/>
              <w:rPr>
                <w:rFonts w:hint="default" w:eastAsia="方正书宋_GBK"/>
                <w:lang w:val="en-US" w:eastAsia="zh-CN"/>
              </w:rPr>
            </w:pPr>
            <w:r>
              <w:t>是否各项统计工作</w:t>
            </w:r>
          </w:p>
        </w:tc>
        <w:tc>
          <w:tcPr>
            <w:tcW w:w="2551" w:type="dxa"/>
            <w:vAlign w:val="center"/>
          </w:tcPr>
          <w:p>
            <w:pPr>
              <w:pStyle w:val="17"/>
            </w:pPr>
            <w:r>
              <w:t>≥95百分比</w:t>
            </w:r>
          </w:p>
        </w:tc>
        <w:tc>
          <w:tcPr>
            <w:tcW w:w="2268" w:type="dxa"/>
            <w:vAlign w:val="center"/>
          </w:tcPr>
          <w:p>
            <w:pPr>
              <w:pStyle w:val="17"/>
            </w:pPr>
            <w:r>
              <w:t>完成各项统计工作任务量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rPr>
                <w:rFonts w:hint="default" w:eastAsia="方正书宋_GBK"/>
                <w:lang w:val="en-US" w:eastAsia="zh-CN"/>
              </w:rPr>
            </w:pPr>
            <w:r>
              <w:t>业务工作完成率（%）</w:t>
            </w:r>
          </w:p>
        </w:tc>
        <w:tc>
          <w:tcPr>
            <w:tcW w:w="2551" w:type="dxa"/>
            <w:vAlign w:val="center"/>
          </w:tcPr>
          <w:p>
            <w:pPr>
              <w:pStyle w:val="17"/>
            </w:pPr>
            <w:r>
              <w:t>≥90百分比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rPr>
                <w:rFonts w:hint="default" w:eastAsia="方正书宋_GBK"/>
                <w:lang w:val="en-US" w:eastAsia="zh-CN"/>
              </w:rPr>
            </w:pPr>
            <w:r>
              <w:t>各项任务完成及时率（%）</w:t>
            </w:r>
          </w:p>
        </w:tc>
        <w:tc>
          <w:tcPr>
            <w:tcW w:w="2551" w:type="dxa"/>
            <w:vAlign w:val="center"/>
          </w:tcPr>
          <w:p>
            <w:pPr>
              <w:pStyle w:val="17"/>
            </w:pPr>
            <w:r>
              <w:t>≥95百分比</w:t>
            </w:r>
          </w:p>
        </w:tc>
        <w:tc>
          <w:tcPr>
            <w:tcW w:w="2268" w:type="dxa"/>
            <w:vAlign w:val="center"/>
          </w:tcPr>
          <w:p>
            <w:pPr>
              <w:pStyle w:val="17"/>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12万</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保障机关单位正常运转</w:t>
            </w:r>
          </w:p>
        </w:tc>
        <w:tc>
          <w:tcPr>
            <w:tcW w:w="2835" w:type="dxa"/>
            <w:vAlign w:val="center"/>
          </w:tcPr>
          <w:p>
            <w:pPr>
              <w:pStyle w:val="17"/>
            </w:pPr>
            <w:r>
              <w:t>保障机关单位正常运转</w:t>
            </w:r>
          </w:p>
        </w:tc>
        <w:tc>
          <w:tcPr>
            <w:tcW w:w="2551" w:type="dxa"/>
            <w:vAlign w:val="center"/>
          </w:tcPr>
          <w:p>
            <w:pPr>
              <w:pStyle w:val="17"/>
            </w:pPr>
            <w:r>
              <w:t>良好</w:t>
            </w:r>
          </w:p>
        </w:tc>
        <w:tc>
          <w:tcPr>
            <w:tcW w:w="2268" w:type="dxa"/>
            <w:vAlign w:val="center"/>
          </w:tcPr>
          <w:p>
            <w:pPr>
              <w:pStyle w:val="17"/>
            </w:pPr>
            <w:r>
              <w:t>保障机关正常办公秩序，保障机关正常运转</w:t>
            </w:r>
          </w:p>
        </w:tc>
      </w:tr>
    </w:tbl>
    <w:p>
      <w:p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、投入产出调查经费绩效目标表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完成</w:t>
            </w:r>
            <w:r>
              <w:t>投入产出调查宣传及开展工作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投入产出调查企业户数</w:t>
            </w:r>
          </w:p>
        </w:tc>
        <w:tc>
          <w:tcPr>
            <w:tcW w:w="2835" w:type="dxa"/>
            <w:vAlign w:val="center"/>
          </w:tcPr>
          <w:p>
            <w:pPr>
              <w:pStyle w:val="17"/>
            </w:pPr>
            <w:r>
              <w:t>投入产出调查企业户数</w:t>
            </w:r>
          </w:p>
        </w:tc>
        <w:tc>
          <w:tcPr>
            <w:tcW w:w="2551" w:type="dxa"/>
            <w:vAlign w:val="center"/>
          </w:tcPr>
          <w:p>
            <w:pPr>
              <w:pStyle w:val="17"/>
            </w:pPr>
            <w:r>
              <w:t>10户</w:t>
            </w:r>
          </w:p>
        </w:tc>
        <w:tc>
          <w:tcPr>
            <w:tcW w:w="2268" w:type="dxa"/>
            <w:vAlign w:val="center"/>
          </w:tcPr>
          <w:p>
            <w:pPr>
              <w:pStyle w:val="17"/>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统计调查完成率</w:t>
            </w:r>
          </w:p>
        </w:tc>
        <w:tc>
          <w:tcPr>
            <w:tcW w:w="2835" w:type="dxa"/>
            <w:vAlign w:val="center"/>
          </w:tcPr>
          <w:p>
            <w:pPr>
              <w:pStyle w:val="17"/>
              <w:rPr>
                <w:rFonts w:hint="default" w:eastAsia="方正书宋_GBK"/>
                <w:lang w:val="en-US" w:eastAsia="zh-CN"/>
              </w:rPr>
            </w:pPr>
            <w:r>
              <w:t>统计调查完成率</w:t>
            </w:r>
          </w:p>
        </w:tc>
        <w:tc>
          <w:tcPr>
            <w:tcW w:w="2551" w:type="dxa"/>
            <w:vAlign w:val="center"/>
          </w:tcPr>
          <w:p>
            <w:pPr>
              <w:pStyle w:val="17"/>
            </w:pPr>
            <w:r>
              <w:t>≥95百分比</w:t>
            </w:r>
          </w:p>
        </w:tc>
        <w:tc>
          <w:tcPr>
            <w:tcW w:w="2268" w:type="dxa"/>
            <w:vAlign w:val="center"/>
          </w:tcPr>
          <w:p>
            <w:pPr>
              <w:pStyle w:val="17"/>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统计调查、分析监测等完成时限</w:t>
            </w:r>
          </w:p>
        </w:tc>
        <w:tc>
          <w:tcPr>
            <w:tcW w:w="2835" w:type="dxa"/>
            <w:vAlign w:val="center"/>
          </w:tcPr>
          <w:p>
            <w:pPr>
              <w:pStyle w:val="17"/>
            </w:pPr>
            <w:r>
              <w:t>统计调查、分析监测等完成时限</w:t>
            </w:r>
          </w:p>
        </w:tc>
        <w:tc>
          <w:tcPr>
            <w:tcW w:w="2551" w:type="dxa"/>
            <w:vAlign w:val="center"/>
          </w:tcPr>
          <w:p>
            <w:pPr>
              <w:pStyle w:val="17"/>
            </w:pPr>
            <w:r>
              <w:t>≥95百分比</w:t>
            </w:r>
          </w:p>
        </w:tc>
        <w:tc>
          <w:tcPr>
            <w:tcW w:w="2268" w:type="dxa"/>
            <w:vAlign w:val="center"/>
          </w:tcPr>
          <w:p>
            <w:pPr>
              <w:pStyle w:val="17"/>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成本控制</w:t>
            </w:r>
          </w:p>
        </w:tc>
        <w:tc>
          <w:tcPr>
            <w:tcW w:w="2551" w:type="dxa"/>
            <w:vAlign w:val="center"/>
          </w:tcPr>
          <w:p>
            <w:pPr>
              <w:pStyle w:val="17"/>
            </w:pPr>
            <w:r>
              <w:t>2万元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对社会经济发展的影响</w:t>
            </w:r>
          </w:p>
        </w:tc>
        <w:tc>
          <w:tcPr>
            <w:tcW w:w="2835" w:type="dxa"/>
            <w:vAlign w:val="center"/>
          </w:tcPr>
          <w:p>
            <w:pPr>
              <w:pStyle w:val="17"/>
              <w:rPr>
                <w:rFonts w:hint="eastAsia" w:eastAsia="方正书宋_GBK"/>
                <w:lang w:eastAsia="zh-CN"/>
              </w:rPr>
            </w:pPr>
            <w:r>
              <w:t>对社会经济发展的影响</w:t>
            </w:r>
          </w:p>
        </w:tc>
        <w:tc>
          <w:tcPr>
            <w:tcW w:w="2551" w:type="dxa"/>
            <w:vAlign w:val="center"/>
          </w:tcPr>
          <w:p>
            <w:pPr>
              <w:pStyle w:val="17"/>
            </w:pPr>
            <w:r>
              <w:t>≥95百分比</w:t>
            </w:r>
          </w:p>
        </w:tc>
        <w:tc>
          <w:tcPr>
            <w:tcW w:w="2268" w:type="dxa"/>
            <w:vAlign w:val="center"/>
          </w:tcPr>
          <w:p>
            <w:pPr>
              <w:pStyle w:val="17"/>
            </w:pPr>
            <w:r>
              <w:t>数据提供来源</w:t>
            </w:r>
          </w:p>
        </w:tc>
      </w:tr>
    </w:tbl>
    <w:p/>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交付县乡17条网络线路租用费，和网络扩容线路租用费，确保线路畅通，交电话费。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网络和线路租赁数量</w:t>
            </w:r>
          </w:p>
        </w:tc>
        <w:tc>
          <w:tcPr>
            <w:tcW w:w="2835" w:type="dxa"/>
            <w:vAlign w:val="center"/>
          </w:tcPr>
          <w:p>
            <w:pPr>
              <w:pStyle w:val="17"/>
            </w:pPr>
            <w:r>
              <w:t>租赁联通网络和线路数量</w:t>
            </w:r>
          </w:p>
        </w:tc>
        <w:tc>
          <w:tcPr>
            <w:tcW w:w="2551" w:type="dxa"/>
            <w:vAlign w:val="center"/>
          </w:tcPr>
          <w:p>
            <w:pPr>
              <w:pStyle w:val="17"/>
            </w:pPr>
            <w:r>
              <w:t>17条</w:t>
            </w:r>
          </w:p>
        </w:tc>
        <w:tc>
          <w:tcPr>
            <w:tcW w:w="2268" w:type="dxa"/>
            <w:vAlign w:val="center"/>
          </w:tcPr>
          <w:p>
            <w:pPr>
              <w:pStyle w:val="17"/>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计算机通信网络正常运行保障率</w:t>
            </w:r>
          </w:p>
        </w:tc>
        <w:tc>
          <w:tcPr>
            <w:tcW w:w="2835" w:type="dxa"/>
            <w:vAlign w:val="center"/>
          </w:tcPr>
          <w:p>
            <w:pPr>
              <w:pStyle w:val="17"/>
              <w:rPr>
                <w:rFonts w:hint="default" w:eastAsia="方正书宋_GBK"/>
                <w:lang w:val="en-US" w:eastAsia="zh-CN"/>
              </w:rPr>
            </w:pPr>
            <w:r>
              <w:t>计算机通信网络正常运行保障率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网络连通率</w:t>
            </w:r>
          </w:p>
        </w:tc>
        <w:tc>
          <w:tcPr>
            <w:tcW w:w="2835" w:type="dxa"/>
            <w:vAlign w:val="center"/>
          </w:tcPr>
          <w:p>
            <w:pPr>
              <w:pStyle w:val="17"/>
            </w:pPr>
            <w:r>
              <w:t>网络连通是否正常运行</w:t>
            </w:r>
          </w:p>
        </w:tc>
        <w:tc>
          <w:tcPr>
            <w:tcW w:w="2551" w:type="dxa"/>
            <w:vAlign w:val="center"/>
          </w:tcPr>
          <w:p>
            <w:pPr>
              <w:pStyle w:val="17"/>
            </w:pPr>
            <w:r>
              <w:t>≥95百分比</w:t>
            </w:r>
          </w:p>
        </w:tc>
        <w:tc>
          <w:tcPr>
            <w:tcW w:w="2268" w:type="dxa"/>
            <w:vAlign w:val="center"/>
          </w:tcPr>
          <w:p>
            <w:pPr>
              <w:pStyle w:val="17"/>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网点销售网络专线租用成本控制率</w:t>
            </w:r>
          </w:p>
        </w:tc>
        <w:tc>
          <w:tcPr>
            <w:tcW w:w="2835" w:type="dxa"/>
            <w:vAlign w:val="center"/>
          </w:tcPr>
          <w:p>
            <w:pPr>
              <w:pStyle w:val="17"/>
            </w:pPr>
            <w:r>
              <w:t>预算控制数</w:t>
            </w:r>
          </w:p>
        </w:tc>
        <w:tc>
          <w:tcPr>
            <w:tcW w:w="2551" w:type="dxa"/>
            <w:vAlign w:val="center"/>
          </w:tcPr>
          <w:p>
            <w:pPr>
              <w:pStyle w:val="17"/>
            </w:pPr>
            <w:r>
              <w:t>2.5万元</w:t>
            </w:r>
          </w:p>
        </w:tc>
        <w:tc>
          <w:tcPr>
            <w:tcW w:w="2268" w:type="dxa"/>
            <w:vAlign w:val="center"/>
          </w:tcPr>
          <w:p>
            <w:pPr>
              <w:pStyle w:val="17"/>
            </w:pPr>
            <w:r>
              <w:t>不超预算安排书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保障网络信息安全</w:t>
            </w:r>
          </w:p>
        </w:tc>
        <w:tc>
          <w:tcPr>
            <w:tcW w:w="2835" w:type="dxa"/>
            <w:vAlign w:val="center"/>
          </w:tcPr>
          <w:p>
            <w:pPr>
              <w:pStyle w:val="17"/>
              <w:rPr>
                <w:rFonts w:hint="eastAsia" w:eastAsia="方正书宋_GBK"/>
                <w:lang w:eastAsia="zh-CN"/>
              </w:rPr>
            </w:pPr>
            <w:r>
              <w:t>利用专业技术手段保障网络信息安全</w:t>
            </w:r>
          </w:p>
        </w:tc>
        <w:tc>
          <w:tcPr>
            <w:tcW w:w="2551" w:type="dxa"/>
            <w:vAlign w:val="center"/>
          </w:tcPr>
          <w:p>
            <w:pPr>
              <w:pStyle w:val="17"/>
            </w:pPr>
            <w:r>
              <w:t>≥95百分比</w:t>
            </w:r>
          </w:p>
        </w:tc>
        <w:tc>
          <w:tcPr>
            <w:tcW w:w="2268" w:type="dxa"/>
            <w:vAlign w:val="center"/>
          </w:tcPr>
          <w:p>
            <w:pPr>
              <w:pStyle w:val="17"/>
            </w:pPr>
            <w:r>
              <w:t>网络畅通保障工作按时完成</w:t>
            </w:r>
          </w:p>
        </w:tc>
      </w:tr>
    </w:tbl>
    <w:p/>
    <w:p>
      <w:pPr>
        <w:ind w:firstLine="560"/>
        <w:rPr>
          <w:rFonts w:ascii="方正仿宋_GBK" w:hAnsi="方正仿宋_GBK" w:eastAsia="方正仿宋_GBK" w:cs="方正仿宋_GBK"/>
          <w:b/>
          <w:color w:val="000000"/>
          <w:sz w:val="28"/>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shd w:val="clear" w:color="auto" w:fill="auto"/>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3</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单位</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5"/>
            </w:pPr>
            <w:r>
              <w:t>项目名称</w:t>
            </w:r>
          </w:p>
        </w:tc>
        <w:tc>
          <w:tcPr>
            <w:tcW w:w="1052"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r>
              <w:t>合  计</w:t>
            </w: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7"/>
            </w:pPr>
          </w:p>
          <w:p>
            <w:pPr>
              <w:pStyle w:val="17"/>
            </w:pPr>
          </w:p>
        </w:tc>
        <w:tc>
          <w:tcPr>
            <w:tcW w:w="1052"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ind w:firstLine="640" w:firstLineChars="200"/>
        <w:jc w:val="both"/>
        <w:rPr>
          <w:rFonts w:hint="eastAsia" w:ascii="方正小标宋_GBK" w:hAnsi="方正小标宋_GBK" w:eastAsia="方正小标宋_GBK" w:cs="方正小标宋_GBK"/>
          <w:color w:val="000000"/>
          <w:sz w:val="36"/>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22</w:t>
      </w:r>
      <w:r>
        <w:rPr>
          <w:rFonts w:hint="eastAsia" w:ascii="仿宋" w:hAnsi="仿宋" w:eastAsia="仿宋"/>
          <w:sz w:val="32"/>
          <w:szCs w:val="32"/>
        </w:rPr>
        <w:t>年末国有资产原值</w:t>
      </w:r>
      <w:r>
        <w:rPr>
          <w:rFonts w:hint="eastAsia" w:ascii="仿宋" w:hAnsi="仿宋" w:eastAsia="仿宋"/>
          <w:sz w:val="32"/>
          <w:szCs w:val="32"/>
          <w:lang w:val="en-US" w:eastAsia="zh-CN"/>
        </w:rPr>
        <w:t>96.77</w:t>
      </w:r>
      <w:r>
        <w:rPr>
          <w:rFonts w:hint="eastAsia" w:ascii="仿宋" w:hAnsi="仿宋" w:eastAsia="仿宋"/>
          <w:sz w:val="32"/>
          <w:szCs w:val="32"/>
        </w:rPr>
        <w:t>万元，比上年增加</w:t>
      </w:r>
      <w:r>
        <w:rPr>
          <w:rFonts w:hint="eastAsia" w:ascii="仿宋" w:hAnsi="仿宋" w:eastAsia="仿宋"/>
          <w:sz w:val="32"/>
          <w:szCs w:val="32"/>
          <w:lang w:val="en-US" w:eastAsia="zh-CN"/>
        </w:rPr>
        <w:t>9.05</w:t>
      </w:r>
      <w:r>
        <w:rPr>
          <w:rFonts w:hint="eastAsia" w:ascii="仿宋" w:hAnsi="仿宋" w:eastAsia="仿宋"/>
          <w:sz w:val="32"/>
          <w:szCs w:val="32"/>
        </w:rPr>
        <w:t>万元。其中公务用车1辆，价值13.58万元，其他固定资产（</w:t>
      </w:r>
      <w:r>
        <w:rPr>
          <w:rFonts w:hint="eastAsia" w:ascii="仿宋" w:hAnsi="仿宋" w:eastAsia="仿宋" w:cs="仿宋"/>
          <w:sz w:val="32"/>
          <w:szCs w:val="32"/>
        </w:rPr>
        <w:t>电脑、空调、复印机、打印机等</w:t>
      </w:r>
      <w:r>
        <w:rPr>
          <w:rFonts w:hint="eastAsia" w:ascii="仿宋" w:hAnsi="仿宋" w:eastAsia="仿宋"/>
          <w:sz w:val="32"/>
          <w:szCs w:val="32"/>
        </w:rPr>
        <w:t>）</w:t>
      </w:r>
      <w:r>
        <w:rPr>
          <w:rFonts w:hint="eastAsia" w:ascii="仿宋" w:hAnsi="仿宋" w:eastAsia="仿宋"/>
          <w:sz w:val="32"/>
          <w:szCs w:val="32"/>
          <w:lang w:val="en-US" w:eastAsia="zh-CN"/>
        </w:rPr>
        <w:t>83.19</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3</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我部门无购</w:t>
      </w:r>
      <w:r>
        <w:rPr>
          <w:rFonts w:hint="eastAsia" w:ascii="仿宋" w:hAnsi="仿宋" w:eastAsia="仿宋"/>
          <w:sz w:val="32"/>
          <w:szCs w:val="32"/>
          <w:shd w:val="clear" w:color="auto" w:fill="auto"/>
        </w:rPr>
        <w:t>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w:t>
      </w:r>
    </w:p>
    <w:p>
      <w:pPr>
        <w:jc w:val="center"/>
        <w:rPr>
          <w:rFonts w:hint="eastAsia" w:ascii="方正小标宋_GBK" w:hAnsi="方正小标宋_GBK" w:eastAsia="方正小标宋_GBK" w:cs="方正小标宋_GBK"/>
          <w:color w:val="000000"/>
          <w:sz w:val="36"/>
          <w:u w:val="none"/>
        </w:rPr>
      </w:pPr>
    </w:p>
    <w:p>
      <w:pPr>
        <w:jc w:val="center"/>
        <w:rPr>
          <w:u w:val="none"/>
        </w:rPr>
      </w:pPr>
      <w:r>
        <w:rPr>
          <w:rFonts w:hint="eastAsia" w:ascii="方正小标宋_GBK" w:hAnsi="方正小标宋_GBK" w:eastAsia="方正小标宋_GBK" w:cs="方正小标宋_GBK"/>
          <w:color w:val="000000"/>
          <w:sz w:val="36"/>
          <w:u w:val="none"/>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410涞水县统计局</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tbl>
      <w:tblPr>
        <w:tblStyle w:val="8"/>
        <w:tblpPr w:leftFromText="180" w:rightFromText="180" w:vertAnchor="text" w:horzAnchor="page" w:tblpX="2017" w:tblpY="787"/>
        <w:tblOverlap w:val="never"/>
        <w:tblW w:w="0" w:type="auto"/>
        <w:tblInd w:w="0"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ind w:firstLine="1260" w:firstLineChars="600"/>
              <w:jc w:val="both"/>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96.77</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13.5</w:t>
            </w:r>
            <w:r>
              <w:rPr>
                <w:rFonts w:hint="eastAsia" w:ascii="宋体" w:hAnsi="宋体" w:eastAsiaTheme="minorEastAsia"/>
                <w:color w:val="000000"/>
                <w:sz w:val="21"/>
                <w:szCs w:val="21"/>
                <w:lang w:eastAsia="zh-CN"/>
              </w:rPr>
              <w:t>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83.19</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firstLineChars="20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640" w:firstLineChars="20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仿宋" w:hAnsi="仿宋" w:eastAsia="仿宋" w:cs="宋体"/>
          <w:sz w:val="32"/>
          <w:szCs w:val="32"/>
        </w:rPr>
        <w:t>我</w:t>
      </w:r>
      <w:r>
        <w:rPr>
          <w:rFonts w:hint="eastAsia" w:ascii="仿宋" w:hAnsi="仿宋" w:eastAsia="仿宋" w:cs="宋体"/>
          <w:sz w:val="32"/>
          <w:szCs w:val="32"/>
          <w:lang w:eastAsia="zh-CN"/>
        </w:rPr>
        <w:t>单位</w:t>
      </w:r>
      <w:r>
        <w:rPr>
          <w:rFonts w:hint="eastAsia" w:ascii="仿宋" w:hAnsi="仿宋" w:eastAsia="仿宋" w:cs="宋体"/>
          <w:sz w:val="32"/>
          <w:szCs w:val="32"/>
        </w:rPr>
        <w:t>无</w:t>
      </w:r>
      <w:r>
        <w:rPr>
          <w:rFonts w:hint="eastAsia" w:ascii="仿宋" w:hAnsi="仿宋" w:eastAsia="仿宋" w:cs="宋体"/>
          <w:sz w:val="32"/>
          <w:szCs w:val="32"/>
          <w:lang w:eastAsia="zh-CN"/>
        </w:rPr>
        <w:t>其他需要说明的事项。</w:t>
      </w:r>
    </w:p>
    <w:p>
      <w:pPr>
        <w:jc w:val="center"/>
        <w:outlineLvl w:val="3"/>
        <w:rPr>
          <w:rFonts w:hint="eastAsia" w:ascii="方正小标宋_GBK" w:hAnsi="方正小标宋_GBK" w:eastAsia="方正小标宋_GBK" w:cs="方正小标宋_GBK"/>
          <w:color w:val="000000"/>
          <w:sz w:val="44"/>
        </w:rPr>
      </w:pPr>
      <w:bookmarkStart w:id="2" w:name="_Toc_4_4_0000000020"/>
    </w:p>
    <w:bookmarkEnd w:id="2"/>
    <w:p>
      <w:pPr>
        <w:jc w:val="both"/>
        <w:outlineLvl w:val="3"/>
      </w:pPr>
    </w:p>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172A27"/>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A0707"/>
    <w:rsid w:val="052B4646"/>
    <w:rsid w:val="05962A91"/>
    <w:rsid w:val="099E37EA"/>
    <w:rsid w:val="09CF7BDD"/>
    <w:rsid w:val="0C80315D"/>
    <w:rsid w:val="0C831A08"/>
    <w:rsid w:val="0D9A0C44"/>
    <w:rsid w:val="0DF26FDB"/>
    <w:rsid w:val="11E076D8"/>
    <w:rsid w:val="13B74DFE"/>
    <w:rsid w:val="158F5031"/>
    <w:rsid w:val="15CE3B81"/>
    <w:rsid w:val="163A7CB6"/>
    <w:rsid w:val="1BF468E2"/>
    <w:rsid w:val="1C48460A"/>
    <w:rsid w:val="22090B6C"/>
    <w:rsid w:val="22261263"/>
    <w:rsid w:val="2232322B"/>
    <w:rsid w:val="22405E06"/>
    <w:rsid w:val="22780312"/>
    <w:rsid w:val="2398757C"/>
    <w:rsid w:val="29D72646"/>
    <w:rsid w:val="2AC135BE"/>
    <w:rsid w:val="2B0B2850"/>
    <w:rsid w:val="2C371F20"/>
    <w:rsid w:val="2FD45DE0"/>
    <w:rsid w:val="34270843"/>
    <w:rsid w:val="34A331D6"/>
    <w:rsid w:val="37E74B44"/>
    <w:rsid w:val="391B70EA"/>
    <w:rsid w:val="3A4B0C5C"/>
    <w:rsid w:val="3ACD7771"/>
    <w:rsid w:val="3B8F458E"/>
    <w:rsid w:val="3F033BBB"/>
    <w:rsid w:val="42504B35"/>
    <w:rsid w:val="43432E09"/>
    <w:rsid w:val="475F7987"/>
    <w:rsid w:val="47870BFB"/>
    <w:rsid w:val="48390A7E"/>
    <w:rsid w:val="4CD03BD8"/>
    <w:rsid w:val="4FDC2DF0"/>
    <w:rsid w:val="517F39A6"/>
    <w:rsid w:val="55F61D5C"/>
    <w:rsid w:val="56261924"/>
    <w:rsid w:val="562A7E7A"/>
    <w:rsid w:val="57A56669"/>
    <w:rsid w:val="581C0E2E"/>
    <w:rsid w:val="59E31874"/>
    <w:rsid w:val="5CD051D5"/>
    <w:rsid w:val="5D495856"/>
    <w:rsid w:val="5E457D25"/>
    <w:rsid w:val="61D86616"/>
    <w:rsid w:val="66884C53"/>
    <w:rsid w:val="66F631F6"/>
    <w:rsid w:val="678533FB"/>
    <w:rsid w:val="68972DD0"/>
    <w:rsid w:val="68E271A4"/>
    <w:rsid w:val="69700315"/>
    <w:rsid w:val="7095069B"/>
    <w:rsid w:val="722F0A51"/>
    <w:rsid w:val="73066C33"/>
    <w:rsid w:val="73D17D1C"/>
    <w:rsid w:val="74375FCC"/>
    <w:rsid w:val="74745854"/>
    <w:rsid w:val="76EE7BCE"/>
    <w:rsid w:val="76F37156"/>
    <w:rsid w:val="779E3056"/>
    <w:rsid w:val="7A2B7977"/>
    <w:rsid w:val="7A3A5694"/>
    <w:rsid w:val="7F1B445E"/>
    <w:rsid w:val="7FBA3C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7088</Words>
  <Characters>8576</Characters>
  <Lines>127</Lines>
  <Paragraphs>36</Paragraphs>
  <TotalTime>0</TotalTime>
  <ScaleCrop>false</ScaleCrop>
  <LinksUpToDate>false</LinksUpToDate>
  <CharactersWithSpaces>8751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2024-01-26T07:37:44Z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