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涞水县统计局</w:t>
      </w:r>
      <w:r>
        <w:rPr>
          <w:rFonts w:hint="eastAsia" w:ascii="黑体" w:hAnsi="黑体" w:eastAsia="黑体" w:cs="黑体"/>
          <w:b/>
          <w:color w:val="000000"/>
          <w:sz w:val="30"/>
        </w:rPr>
        <w:t>单位预算</w:t>
      </w:r>
    </w:p>
    <w:p>
      <w:pPr>
        <w:pStyle w:val="5"/>
        <w:tabs>
          <w:tab w:val="right" w:leader="dot" w:pos="14562"/>
        </w:tabs>
        <w:rPr>
          <w:rFonts w:hint="default"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涞水县统计</w:t>
      </w:r>
      <w:r>
        <w:rPr>
          <w:rFonts w:hint="eastAsia"/>
        </w:rPr>
        <w:t>局收支预算</w:t>
      </w:r>
      <w:r>
        <w:tab/>
      </w:r>
      <w:r>
        <w:fldChar w:fldCharType="begin"/>
      </w:r>
      <w:r>
        <w:instrText xml:space="preserve">PAGEREF _Toc_4_4_0000000019 \h</w:instrText>
      </w:r>
      <w:r>
        <w:fldChar w:fldCharType="separate"/>
      </w:r>
      <w:r>
        <w:t>1</w:t>
      </w:r>
      <w:r>
        <w:fldChar w:fldCharType="end"/>
      </w:r>
      <w:r>
        <w:fldChar w:fldCharType="end"/>
      </w:r>
      <w:r>
        <w:rPr>
          <w:rFonts w:hint="eastAsia"/>
          <w:lang w:val="en-US" w:eastAsia="zh-CN"/>
        </w:rPr>
        <w:t>-25</w:t>
      </w:r>
    </w:p>
    <w:p>
      <w:pPr>
        <w:sectPr>
          <w:headerReference r:id="rId3" w:type="even"/>
          <w:pgSz w:w="16840" w:h="11900" w:orient="landscape"/>
          <w:pgMar w:top="1587" w:right="1134" w:bottom="1361" w:left="1134" w:header="720" w:footer="720" w:gutter="0"/>
          <w:pgBorders>
            <w:top w:val="none" w:sz="0" w:space="0"/>
            <w:left w:val="none" w:sz="0" w:space="0"/>
            <w:bottom w:val="none" w:sz="0" w:space="0"/>
            <w:right w:val="none" w:sz="0" w:space="0"/>
          </w:pgBorders>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涞水县统计</w:t>
      </w:r>
      <w:r>
        <w:rPr>
          <w:rFonts w:hint="eastAsia" w:ascii="方正小标宋_GBK" w:hAnsi="方正小标宋_GBK" w:eastAsia="方正小标宋_GBK" w:cs="方正小标宋_GBK"/>
          <w:color w:val="000000"/>
          <w:sz w:val="44"/>
        </w:rPr>
        <w:t>局收支预算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410001</w:t>
            </w:r>
            <w:r>
              <w:rPr>
                <w:rFonts w:hint="eastAsia"/>
                <w:lang w:eastAsia="zh-CN"/>
              </w:rPr>
              <w:t>涞水县统计</w:t>
            </w:r>
            <w:r>
              <w:rPr>
                <w:rFonts w:hint="eastAsia"/>
              </w:rPr>
              <w:t>局</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315.54</w:t>
            </w:r>
          </w:p>
        </w:tc>
        <w:tc>
          <w:tcPr>
            <w:tcW w:w="4535" w:type="dxa"/>
            <w:vAlign w:val="center"/>
          </w:tcPr>
          <w:p>
            <w:pPr>
              <w:pStyle w:val="17"/>
            </w:pPr>
            <w:r>
              <w:rPr>
                <w:rFonts w:hint="eastAsia"/>
              </w:rP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289.93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12.99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方正书宋_GBK"/>
                <w:lang w:val="en-US" w:eastAsia="zh-CN"/>
              </w:rPr>
            </w:pPr>
            <w:r>
              <w:rPr>
                <w:rFonts w:hint="eastAsia"/>
                <w:lang w:val="en-US" w:eastAsia="zh-CN"/>
              </w:rPr>
              <w:t>4.93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315.54</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315.54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315.54</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315.54</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start="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39"/>
        <w:gridCol w:w="2760"/>
        <w:gridCol w:w="1095"/>
        <w:gridCol w:w="1155"/>
        <w:gridCol w:w="1290"/>
        <w:gridCol w:w="1185"/>
        <w:gridCol w:w="780"/>
        <w:gridCol w:w="795"/>
        <w:gridCol w:w="1095"/>
        <w:gridCol w:w="1080"/>
        <w:gridCol w:w="750"/>
        <w:gridCol w:w="7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2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w:t>
            </w:r>
            <w:r>
              <w:rPr>
                <w:rFonts w:hint="eastAsia"/>
              </w:rPr>
              <w:t>县</w:t>
            </w:r>
            <w:r>
              <w:rPr>
                <w:rFonts w:hint="eastAsia"/>
                <w:lang w:eastAsia="zh-CN"/>
              </w:rPr>
              <w:t>统计</w:t>
            </w:r>
            <w:r>
              <w:rPr>
                <w:rFonts w:hint="eastAsia"/>
              </w:rPr>
              <w:t>局</w:t>
            </w:r>
          </w:p>
        </w:tc>
        <w:tc>
          <w:tcPr>
            <w:tcW w:w="3255"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487"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3899" w:type="dxa"/>
            <w:gridSpan w:val="2"/>
            <w:vAlign w:val="center"/>
          </w:tcPr>
          <w:p>
            <w:pPr>
              <w:pStyle w:val="15"/>
            </w:pPr>
            <w:r>
              <w:rPr>
                <w:rFonts w:hint="eastAsia"/>
              </w:rPr>
              <w:t>功能分类科目</w:t>
            </w:r>
          </w:p>
        </w:tc>
        <w:tc>
          <w:tcPr>
            <w:tcW w:w="1095" w:type="dxa"/>
            <w:vMerge w:val="restart"/>
            <w:vAlign w:val="center"/>
          </w:tcPr>
          <w:p>
            <w:pPr>
              <w:pStyle w:val="15"/>
            </w:pPr>
            <w:r>
              <w:rPr>
                <w:rFonts w:hint="eastAsia"/>
              </w:rPr>
              <w:t>合计</w:t>
            </w:r>
          </w:p>
        </w:tc>
        <w:tc>
          <w:tcPr>
            <w:tcW w:w="8130" w:type="dxa"/>
            <w:gridSpan w:val="8"/>
            <w:vAlign w:val="center"/>
          </w:tcPr>
          <w:p>
            <w:pPr>
              <w:pStyle w:val="15"/>
            </w:pPr>
            <w:r>
              <w:rPr>
                <w:rFonts w:hint="eastAsia"/>
              </w:rPr>
              <w:t>本年收入</w:t>
            </w:r>
          </w:p>
        </w:tc>
        <w:tc>
          <w:tcPr>
            <w:tcW w:w="767"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39" w:type="dxa"/>
            <w:vAlign w:val="center"/>
          </w:tcPr>
          <w:p>
            <w:pPr>
              <w:pStyle w:val="15"/>
            </w:pPr>
            <w:r>
              <w:rPr>
                <w:rFonts w:hint="eastAsia"/>
              </w:rPr>
              <w:t>科目</w:t>
            </w:r>
            <w:r>
              <w:t xml:space="preserve">    </w:t>
            </w:r>
            <w:r>
              <w:rPr>
                <w:rFonts w:hint="eastAsia"/>
              </w:rPr>
              <w:t>编码</w:t>
            </w:r>
          </w:p>
        </w:tc>
        <w:tc>
          <w:tcPr>
            <w:tcW w:w="2760" w:type="dxa"/>
            <w:vAlign w:val="center"/>
          </w:tcPr>
          <w:p>
            <w:pPr>
              <w:pStyle w:val="15"/>
            </w:pPr>
            <w:r>
              <w:rPr>
                <w:rFonts w:hint="eastAsia"/>
              </w:rPr>
              <w:t>科目名称</w:t>
            </w:r>
          </w:p>
        </w:tc>
        <w:tc>
          <w:tcPr>
            <w:tcW w:w="1095" w:type="dxa"/>
            <w:vMerge w:val="continue"/>
          </w:tcPr>
          <w:p/>
        </w:tc>
        <w:tc>
          <w:tcPr>
            <w:tcW w:w="1155" w:type="dxa"/>
            <w:vAlign w:val="center"/>
          </w:tcPr>
          <w:p>
            <w:pPr>
              <w:pStyle w:val="15"/>
            </w:pPr>
            <w:r>
              <w:rPr>
                <w:rFonts w:hint="eastAsia"/>
              </w:rPr>
              <w:t>小计</w:t>
            </w:r>
          </w:p>
        </w:tc>
        <w:tc>
          <w:tcPr>
            <w:tcW w:w="1290" w:type="dxa"/>
            <w:vAlign w:val="center"/>
          </w:tcPr>
          <w:p>
            <w:pPr>
              <w:pStyle w:val="15"/>
            </w:pPr>
            <w:r>
              <w:rPr>
                <w:rFonts w:hint="eastAsia"/>
              </w:rPr>
              <w:t>财政拨款</w:t>
            </w:r>
            <w:r>
              <w:t xml:space="preserve"> </w:t>
            </w:r>
            <w:r>
              <w:rPr>
                <w:rFonts w:hint="eastAsia"/>
              </w:rPr>
              <w:t>收入</w:t>
            </w:r>
          </w:p>
        </w:tc>
        <w:tc>
          <w:tcPr>
            <w:tcW w:w="1185" w:type="dxa"/>
            <w:vAlign w:val="center"/>
          </w:tcPr>
          <w:p>
            <w:pPr>
              <w:pStyle w:val="15"/>
            </w:pPr>
            <w:r>
              <w:rPr>
                <w:rFonts w:hint="eastAsia"/>
              </w:rPr>
              <w:t>财政专户</w:t>
            </w:r>
            <w:r>
              <w:t xml:space="preserve"> </w:t>
            </w:r>
            <w:r>
              <w:rPr>
                <w:rFonts w:hint="eastAsia"/>
              </w:rPr>
              <w:t>收入</w:t>
            </w:r>
          </w:p>
        </w:tc>
        <w:tc>
          <w:tcPr>
            <w:tcW w:w="780" w:type="dxa"/>
            <w:vAlign w:val="center"/>
          </w:tcPr>
          <w:p>
            <w:pPr>
              <w:pStyle w:val="15"/>
            </w:pPr>
            <w:r>
              <w:rPr>
                <w:rFonts w:hint="eastAsia"/>
              </w:rPr>
              <w:t>事业收入</w:t>
            </w:r>
          </w:p>
        </w:tc>
        <w:tc>
          <w:tcPr>
            <w:tcW w:w="795" w:type="dxa"/>
            <w:vAlign w:val="center"/>
          </w:tcPr>
          <w:p>
            <w:pPr>
              <w:pStyle w:val="15"/>
            </w:pPr>
            <w:r>
              <w:rPr>
                <w:rFonts w:hint="eastAsia"/>
              </w:rPr>
              <w:t>经营收入</w:t>
            </w:r>
          </w:p>
        </w:tc>
        <w:tc>
          <w:tcPr>
            <w:tcW w:w="1095" w:type="dxa"/>
            <w:vAlign w:val="center"/>
          </w:tcPr>
          <w:p>
            <w:pPr>
              <w:pStyle w:val="15"/>
            </w:pPr>
            <w:r>
              <w:rPr>
                <w:rFonts w:hint="eastAsia"/>
              </w:rPr>
              <w:t>上级补助收入</w:t>
            </w:r>
          </w:p>
        </w:tc>
        <w:tc>
          <w:tcPr>
            <w:tcW w:w="1080" w:type="dxa"/>
            <w:vAlign w:val="center"/>
          </w:tcPr>
          <w:p>
            <w:pPr>
              <w:pStyle w:val="15"/>
            </w:pPr>
            <w:r>
              <w:rPr>
                <w:rFonts w:hint="eastAsia"/>
              </w:rPr>
              <w:t>附属单位上缴收入</w:t>
            </w:r>
          </w:p>
        </w:tc>
        <w:tc>
          <w:tcPr>
            <w:tcW w:w="750" w:type="dxa"/>
            <w:vAlign w:val="center"/>
          </w:tcPr>
          <w:p>
            <w:pPr>
              <w:pStyle w:val="15"/>
            </w:pPr>
            <w:r>
              <w:rPr>
                <w:rFonts w:hint="eastAsia"/>
              </w:rPr>
              <w:t>其他收入</w:t>
            </w:r>
          </w:p>
        </w:tc>
        <w:tc>
          <w:tcPr>
            <w:tcW w:w="7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1139" w:type="dxa"/>
            <w:vAlign w:val="center"/>
          </w:tcPr>
          <w:p>
            <w:pPr>
              <w:pStyle w:val="15"/>
            </w:pPr>
            <w:r>
              <w:t>1</w:t>
            </w:r>
          </w:p>
        </w:tc>
        <w:tc>
          <w:tcPr>
            <w:tcW w:w="2760" w:type="dxa"/>
            <w:vAlign w:val="center"/>
          </w:tcPr>
          <w:p>
            <w:pPr>
              <w:pStyle w:val="15"/>
            </w:pPr>
            <w:r>
              <w:t>2</w:t>
            </w:r>
          </w:p>
        </w:tc>
        <w:tc>
          <w:tcPr>
            <w:tcW w:w="1095" w:type="dxa"/>
            <w:vAlign w:val="center"/>
          </w:tcPr>
          <w:p>
            <w:pPr>
              <w:pStyle w:val="15"/>
            </w:pPr>
            <w:r>
              <w:t>3</w:t>
            </w:r>
          </w:p>
        </w:tc>
        <w:tc>
          <w:tcPr>
            <w:tcW w:w="1155" w:type="dxa"/>
            <w:vAlign w:val="center"/>
          </w:tcPr>
          <w:p>
            <w:pPr>
              <w:pStyle w:val="15"/>
            </w:pPr>
            <w:r>
              <w:t>4</w:t>
            </w:r>
          </w:p>
        </w:tc>
        <w:tc>
          <w:tcPr>
            <w:tcW w:w="1290" w:type="dxa"/>
            <w:vAlign w:val="center"/>
          </w:tcPr>
          <w:p>
            <w:pPr>
              <w:pStyle w:val="15"/>
            </w:pPr>
            <w:r>
              <w:t>5</w:t>
            </w:r>
          </w:p>
        </w:tc>
        <w:tc>
          <w:tcPr>
            <w:tcW w:w="1185" w:type="dxa"/>
            <w:vAlign w:val="center"/>
          </w:tcPr>
          <w:p>
            <w:pPr>
              <w:pStyle w:val="15"/>
            </w:pPr>
            <w:r>
              <w:t>6</w:t>
            </w:r>
          </w:p>
        </w:tc>
        <w:tc>
          <w:tcPr>
            <w:tcW w:w="780" w:type="dxa"/>
            <w:vAlign w:val="center"/>
          </w:tcPr>
          <w:p>
            <w:pPr>
              <w:pStyle w:val="15"/>
            </w:pPr>
            <w:r>
              <w:t>7</w:t>
            </w:r>
          </w:p>
        </w:tc>
        <w:tc>
          <w:tcPr>
            <w:tcW w:w="795" w:type="dxa"/>
            <w:vAlign w:val="center"/>
          </w:tcPr>
          <w:p>
            <w:pPr>
              <w:pStyle w:val="15"/>
            </w:pPr>
            <w:r>
              <w:t>8</w:t>
            </w:r>
          </w:p>
        </w:tc>
        <w:tc>
          <w:tcPr>
            <w:tcW w:w="1095" w:type="dxa"/>
            <w:vAlign w:val="center"/>
          </w:tcPr>
          <w:p>
            <w:pPr>
              <w:pStyle w:val="15"/>
            </w:pPr>
            <w:r>
              <w:t>9</w:t>
            </w:r>
          </w:p>
        </w:tc>
        <w:tc>
          <w:tcPr>
            <w:tcW w:w="1080" w:type="dxa"/>
            <w:vAlign w:val="center"/>
          </w:tcPr>
          <w:p>
            <w:pPr>
              <w:pStyle w:val="15"/>
            </w:pPr>
            <w:r>
              <w:t>10</w:t>
            </w:r>
          </w:p>
        </w:tc>
        <w:tc>
          <w:tcPr>
            <w:tcW w:w="750" w:type="dxa"/>
            <w:vAlign w:val="center"/>
          </w:tcPr>
          <w:p>
            <w:pPr>
              <w:pStyle w:val="15"/>
            </w:pPr>
            <w:r>
              <w:t>11</w:t>
            </w:r>
          </w:p>
        </w:tc>
        <w:tc>
          <w:tcPr>
            <w:tcW w:w="767"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w:t>
            </w:r>
          </w:p>
        </w:tc>
        <w:tc>
          <w:tcPr>
            <w:tcW w:w="1139" w:type="dxa"/>
            <w:vAlign w:val="center"/>
          </w:tcPr>
          <w:p>
            <w:pPr>
              <w:pStyle w:val="21"/>
              <w:rPr>
                <w:rFonts w:hint="eastAsia" w:ascii="宋体" w:hAnsi="宋体" w:eastAsia="宋体" w:cs="宋体"/>
                <w:sz w:val="21"/>
                <w:szCs w:val="21"/>
              </w:rPr>
            </w:pPr>
          </w:p>
        </w:tc>
        <w:tc>
          <w:tcPr>
            <w:tcW w:w="276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合计</w:t>
            </w:r>
          </w:p>
        </w:tc>
        <w:tc>
          <w:tcPr>
            <w:tcW w:w="1095" w:type="dxa"/>
            <w:vAlign w:val="center"/>
          </w:tcPr>
          <w:p>
            <w:pPr>
              <w:pStyle w:val="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315.54</w:t>
            </w:r>
          </w:p>
        </w:tc>
        <w:tc>
          <w:tcPr>
            <w:tcW w:w="1155" w:type="dxa"/>
            <w:vAlign w:val="center"/>
          </w:tcPr>
          <w:p>
            <w:pPr>
              <w:pStyle w:val="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315.54</w:t>
            </w:r>
          </w:p>
        </w:tc>
        <w:tc>
          <w:tcPr>
            <w:tcW w:w="1290" w:type="dxa"/>
            <w:vAlign w:val="center"/>
          </w:tcPr>
          <w:p>
            <w:pPr>
              <w:pStyle w:val="20"/>
              <w:rPr>
                <w:rFonts w:hint="eastAsia" w:ascii="宋体" w:hAnsi="宋体" w:eastAsia="宋体" w:cs="宋体"/>
                <w:sz w:val="21"/>
                <w:szCs w:val="21"/>
              </w:rPr>
            </w:pPr>
            <w:r>
              <w:rPr>
                <w:rFonts w:hint="eastAsia" w:ascii="宋体" w:hAnsi="宋体" w:eastAsia="宋体" w:cs="宋体"/>
                <w:sz w:val="21"/>
                <w:szCs w:val="21"/>
                <w:lang w:val="en-US" w:eastAsia="zh-CN"/>
              </w:rPr>
              <w:t>315.54</w:t>
            </w:r>
          </w:p>
        </w:tc>
        <w:tc>
          <w:tcPr>
            <w:tcW w:w="1185" w:type="dxa"/>
            <w:vAlign w:val="center"/>
          </w:tcPr>
          <w:p>
            <w:pPr>
              <w:pStyle w:val="20"/>
              <w:rPr>
                <w:rFonts w:hint="eastAsia" w:ascii="宋体" w:hAnsi="宋体" w:eastAsia="宋体" w:cs="宋体"/>
                <w:sz w:val="21"/>
                <w:szCs w:val="21"/>
              </w:rPr>
            </w:pPr>
          </w:p>
        </w:tc>
        <w:tc>
          <w:tcPr>
            <w:tcW w:w="780" w:type="dxa"/>
            <w:vAlign w:val="center"/>
          </w:tcPr>
          <w:p>
            <w:pPr>
              <w:pStyle w:val="20"/>
              <w:rPr>
                <w:rFonts w:hint="eastAsia" w:ascii="宋体" w:hAnsi="宋体" w:eastAsia="宋体" w:cs="宋体"/>
                <w:sz w:val="21"/>
                <w:szCs w:val="21"/>
              </w:rPr>
            </w:pPr>
          </w:p>
        </w:tc>
        <w:tc>
          <w:tcPr>
            <w:tcW w:w="795" w:type="dxa"/>
            <w:vAlign w:val="center"/>
          </w:tcPr>
          <w:p>
            <w:pPr>
              <w:pStyle w:val="20"/>
              <w:rPr>
                <w:rFonts w:hint="eastAsia" w:ascii="宋体" w:hAnsi="宋体" w:eastAsia="宋体" w:cs="宋体"/>
                <w:sz w:val="21"/>
                <w:szCs w:val="21"/>
              </w:rPr>
            </w:pPr>
          </w:p>
        </w:tc>
        <w:tc>
          <w:tcPr>
            <w:tcW w:w="1095" w:type="dxa"/>
            <w:vAlign w:val="center"/>
          </w:tcPr>
          <w:p>
            <w:pPr>
              <w:pStyle w:val="20"/>
              <w:rPr>
                <w:rFonts w:hint="eastAsia" w:ascii="宋体" w:hAnsi="宋体" w:eastAsia="宋体" w:cs="宋体"/>
                <w:sz w:val="21"/>
                <w:szCs w:val="21"/>
              </w:rPr>
            </w:pPr>
          </w:p>
        </w:tc>
        <w:tc>
          <w:tcPr>
            <w:tcW w:w="1080" w:type="dxa"/>
            <w:vAlign w:val="center"/>
          </w:tcPr>
          <w:p>
            <w:pPr>
              <w:pStyle w:val="20"/>
              <w:rPr>
                <w:rFonts w:hint="eastAsia" w:ascii="宋体" w:hAnsi="宋体" w:eastAsia="宋体" w:cs="宋体"/>
                <w:sz w:val="21"/>
                <w:szCs w:val="21"/>
              </w:rPr>
            </w:pPr>
          </w:p>
        </w:tc>
        <w:tc>
          <w:tcPr>
            <w:tcW w:w="750" w:type="dxa"/>
            <w:vAlign w:val="center"/>
          </w:tcPr>
          <w:p>
            <w:pPr>
              <w:pStyle w:val="20"/>
              <w:rPr>
                <w:rFonts w:hint="eastAsia" w:ascii="宋体" w:hAnsi="宋体" w:eastAsia="宋体" w:cs="宋体"/>
                <w:sz w:val="21"/>
                <w:szCs w:val="21"/>
              </w:rPr>
            </w:pPr>
          </w:p>
        </w:tc>
        <w:tc>
          <w:tcPr>
            <w:tcW w:w="767" w:type="dxa"/>
            <w:vAlign w:val="center"/>
          </w:tcPr>
          <w:p>
            <w:pPr>
              <w:pStyle w:val="20"/>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一般公共服务支出</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289.93</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289.93</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289.93</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统计信息事务</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289.93</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289.93</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289.93</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4</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行政运行</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217.43</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217.43</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217.43</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5</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2010502</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一般行政管理事务</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24.58</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24.58</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24.58</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6</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2010507</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专项普查活动</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7</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2010508</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统计抽样调查</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42.92</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42.92</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42.92</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8</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社会保障和就业支出</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9</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20805</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行政事业单位养老支出</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bottom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10</w:t>
            </w:r>
          </w:p>
        </w:tc>
        <w:tc>
          <w:tcPr>
            <w:tcW w:w="1139" w:type="dxa"/>
            <w:tcBorders>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2080505</w:t>
            </w:r>
          </w:p>
        </w:tc>
        <w:tc>
          <w:tcPr>
            <w:tcW w:w="2760" w:type="dxa"/>
            <w:tcBorders>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095" w:type="dxa"/>
            <w:tcBorders>
              <w:bottom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155" w:type="dxa"/>
            <w:tcBorders>
              <w:bottom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290" w:type="dxa"/>
            <w:tcBorders>
              <w:bottom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185" w:type="dxa"/>
            <w:tcBorders>
              <w:bottom w:val="single" w:color="auto" w:sz="4" w:space="0"/>
            </w:tcBorders>
            <w:vAlign w:val="center"/>
          </w:tcPr>
          <w:p>
            <w:pPr>
              <w:pStyle w:val="16"/>
              <w:rPr>
                <w:rFonts w:hint="eastAsia" w:ascii="宋体" w:hAnsi="宋体" w:eastAsia="宋体" w:cs="宋体"/>
                <w:sz w:val="21"/>
                <w:szCs w:val="21"/>
              </w:rPr>
            </w:pPr>
          </w:p>
        </w:tc>
        <w:tc>
          <w:tcPr>
            <w:tcW w:w="780" w:type="dxa"/>
            <w:tcBorders>
              <w:bottom w:val="single" w:color="auto" w:sz="4" w:space="0"/>
            </w:tcBorders>
            <w:vAlign w:val="center"/>
          </w:tcPr>
          <w:p>
            <w:pPr>
              <w:pStyle w:val="16"/>
              <w:rPr>
                <w:rFonts w:hint="eastAsia" w:ascii="宋体" w:hAnsi="宋体" w:eastAsia="宋体" w:cs="宋体"/>
                <w:sz w:val="21"/>
                <w:szCs w:val="21"/>
              </w:rPr>
            </w:pPr>
          </w:p>
        </w:tc>
        <w:tc>
          <w:tcPr>
            <w:tcW w:w="795" w:type="dxa"/>
            <w:tcBorders>
              <w:bottom w:val="single" w:color="auto" w:sz="4" w:space="0"/>
            </w:tcBorders>
            <w:vAlign w:val="center"/>
          </w:tcPr>
          <w:p>
            <w:pPr>
              <w:pStyle w:val="16"/>
              <w:rPr>
                <w:rFonts w:hint="eastAsia" w:ascii="宋体" w:hAnsi="宋体" w:eastAsia="宋体" w:cs="宋体"/>
                <w:sz w:val="21"/>
                <w:szCs w:val="21"/>
              </w:rPr>
            </w:pPr>
          </w:p>
        </w:tc>
        <w:tc>
          <w:tcPr>
            <w:tcW w:w="1095" w:type="dxa"/>
            <w:tcBorders>
              <w:bottom w:val="single" w:color="auto" w:sz="4" w:space="0"/>
            </w:tcBorders>
            <w:vAlign w:val="center"/>
          </w:tcPr>
          <w:p>
            <w:pPr>
              <w:pStyle w:val="16"/>
              <w:rPr>
                <w:rFonts w:hint="eastAsia" w:ascii="宋体" w:hAnsi="宋体" w:eastAsia="宋体" w:cs="宋体"/>
                <w:sz w:val="21"/>
                <w:szCs w:val="21"/>
              </w:rPr>
            </w:pPr>
          </w:p>
        </w:tc>
        <w:tc>
          <w:tcPr>
            <w:tcW w:w="1080" w:type="dxa"/>
            <w:tcBorders>
              <w:bottom w:val="single" w:color="auto" w:sz="4" w:space="0"/>
            </w:tcBorders>
            <w:vAlign w:val="center"/>
          </w:tcPr>
          <w:p>
            <w:pPr>
              <w:pStyle w:val="16"/>
              <w:rPr>
                <w:rFonts w:hint="eastAsia" w:ascii="宋体" w:hAnsi="宋体" w:eastAsia="宋体" w:cs="宋体"/>
                <w:sz w:val="21"/>
                <w:szCs w:val="21"/>
              </w:rPr>
            </w:pPr>
          </w:p>
        </w:tc>
        <w:tc>
          <w:tcPr>
            <w:tcW w:w="750" w:type="dxa"/>
            <w:tcBorders>
              <w:bottom w:val="single" w:color="auto" w:sz="4" w:space="0"/>
            </w:tcBorders>
            <w:vAlign w:val="center"/>
          </w:tcPr>
          <w:p>
            <w:pPr>
              <w:pStyle w:val="16"/>
              <w:rPr>
                <w:rFonts w:hint="eastAsia" w:ascii="宋体" w:hAnsi="宋体" w:eastAsia="宋体" w:cs="宋体"/>
                <w:sz w:val="21"/>
                <w:szCs w:val="21"/>
              </w:rPr>
            </w:pPr>
          </w:p>
        </w:tc>
        <w:tc>
          <w:tcPr>
            <w:tcW w:w="767" w:type="dxa"/>
            <w:tcBorders>
              <w:bottom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auto" w:sz="4" w:space="0"/>
              <w:left w:val="single" w:color="auto" w:sz="4" w:space="0"/>
              <w:bottom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11</w:t>
            </w:r>
          </w:p>
        </w:tc>
        <w:tc>
          <w:tcPr>
            <w:tcW w:w="1139" w:type="dxa"/>
            <w:tcBorders>
              <w:top w:val="single" w:color="auto" w:sz="4" w:space="0"/>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w:t>
            </w:r>
          </w:p>
        </w:tc>
        <w:tc>
          <w:tcPr>
            <w:tcW w:w="2760" w:type="dxa"/>
            <w:tcBorders>
              <w:top w:val="single" w:color="auto" w:sz="4" w:space="0"/>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卫生健康支出</w:t>
            </w:r>
          </w:p>
        </w:tc>
        <w:tc>
          <w:tcPr>
            <w:tcW w:w="1095" w:type="dxa"/>
            <w:tcBorders>
              <w:top w:val="single" w:color="auto" w:sz="4" w:space="0"/>
              <w:bottom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4.93</w:t>
            </w:r>
          </w:p>
        </w:tc>
        <w:tc>
          <w:tcPr>
            <w:tcW w:w="1155" w:type="dxa"/>
            <w:tcBorders>
              <w:top w:val="single" w:color="auto" w:sz="4" w:space="0"/>
              <w:bottom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4.93</w:t>
            </w:r>
          </w:p>
        </w:tc>
        <w:tc>
          <w:tcPr>
            <w:tcW w:w="1290" w:type="dxa"/>
            <w:tcBorders>
              <w:top w:val="single" w:color="auto" w:sz="4" w:space="0"/>
              <w:bottom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4.93</w:t>
            </w:r>
          </w:p>
        </w:tc>
        <w:tc>
          <w:tcPr>
            <w:tcW w:w="118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8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9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109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108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5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67" w:type="dxa"/>
            <w:tcBorders>
              <w:top w:val="single" w:color="auto" w:sz="4" w:space="0"/>
              <w:bottom w:val="single" w:color="auto" w:sz="4" w:space="0"/>
              <w:right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12</w:t>
            </w:r>
          </w:p>
        </w:tc>
        <w:tc>
          <w:tcPr>
            <w:tcW w:w="1139" w:type="dxa"/>
            <w:tcBorders>
              <w:top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21011</w:t>
            </w:r>
          </w:p>
        </w:tc>
        <w:tc>
          <w:tcPr>
            <w:tcW w:w="2760" w:type="dxa"/>
            <w:tcBorders>
              <w:top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行政事业单位医疗</w:t>
            </w:r>
          </w:p>
        </w:tc>
        <w:tc>
          <w:tcPr>
            <w:tcW w:w="1095" w:type="dxa"/>
            <w:tcBorders>
              <w:top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4.93</w:t>
            </w:r>
          </w:p>
        </w:tc>
        <w:tc>
          <w:tcPr>
            <w:tcW w:w="1155" w:type="dxa"/>
            <w:tcBorders>
              <w:top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4.93</w:t>
            </w:r>
          </w:p>
        </w:tc>
        <w:tc>
          <w:tcPr>
            <w:tcW w:w="1290" w:type="dxa"/>
            <w:tcBorders>
              <w:top w:val="single" w:color="auto" w:sz="4" w:space="0"/>
            </w:tcBorders>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4.93</w:t>
            </w:r>
          </w:p>
        </w:tc>
        <w:tc>
          <w:tcPr>
            <w:tcW w:w="1185" w:type="dxa"/>
            <w:tcBorders>
              <w:top w:val="single" w:color="auto" w:sz="4" w:space="0"/>
            </w:tcBorders>
            <w:vAlign w:val="center"/>
          </w:tcPr>
          <w:p>
            <w:pPr>
              <w:pStyle w:val="16"/>
              <w:rPr>
                <w:rFonts w:hint="eastAsia" w:ascii="宋体" w:hAnsi="宋体" w:eastAsia="宋体" w:cs="宋体"/>
                <w:sz w:val="21"/>
                <w:szCs w:val="21"/>
              </w:rPr>
            </w:pPr>
          </w:p>
        </w:tc>
        <w:tc>
          <w:tcPr>
            <w:tcW w:w="780" w:type="dxa"/>
            <w:tcBorders>
              <w:top w:val="single" w:color="auto" w:sz="4" w:space="0"/>
            </w:tcBorders>
            <w:vAlign w:val="center"/>
          </w:tcPr>
          <w:p>
            <w:pPr>
              <w:pStyle w:val="16"/>
              <w:rPr>
                <w:rFonts w:hint="eastAsia" w:ascii="宋体" w:hAnsi="宋体" w:eastAsia="宋体" w:cs="宋体"/>
                <w:sz w:val="21"/>
                <w:szCs w:val="21"/>
              </w:rPr>
            </w:pPr>
          </w:p>
        </w:tc>
        <w:tc>
          <w:tcPr>
            <w:tcW w:w="795" w:type="dxa"/>
            <w:tcBorders>
              <w:top w:val="single" w:color="auto" w:sz="4" w:space="0"/>
            </w:tcBorders>
            <w:vAlign w:val="center"/>
          </w:tcPr>
          <w:p>
            <w:pPr>
              <w:pStyle w:val="16"/>
              <w:rPr>
                <w:rFonts w:hint="eastAsia" w:ascii="宋体" w:hAnsi="宋体" w:eastAsia="宋体" w:cs="宋体"/>
                <w:sz w:val="21"/>
                <w:szCs w:val="21"/>
              </w:rPr>
            </w:pPr>
          </w:p>
        </w:tc>
        <w:tc>
          <w:tcPr>
            <w:tcW w:w="1095" w:type="dxa"/>
            <w:tcBorders>
              <w:top w:val="single" w:color="auto" w:sz="4" w:space="0"/>
            </w:tcBorders>
            <w:vAlign w:val="center"/>
          </w:tcPr>
          <w:p>
            <w:pPr>
              <w:pStyle w:val="16"/>
              <w:rPr>
                <w:rFonts w:hint="eastAsia" w:ascii="宋体" w:hAnsi="宋体" w:eastAsia="宋体" w:cs="宋体"/>
                <w:sz w:val="21"/>
                <w:szCs w:val="21"/>
              </w:rPr>
            </w:pPr>
          </w:p>
        </w:tc>
        <w:tc>
          <w:tcPr>
            <w:tcW w:w="1080" w:type="dxa"/>
            <w:tcBorders>
              <w:top w:val="single" w:color="auto" w:sz="4" w:space="0"/>
            </w:tcBorders>
            <w:vAlign w:val="center"/>
          </w:tcPr>
          <w:p>
            <w:pPr>
              <w:pStyle w:val="16"/>
              <w:rPr>
                <w:rFonts w:hint="eastAsia" w:ascii="宋体" w:hAnsi="宋体" w:eastAsia="宋体" w:cs="宋体"/>
                <w:sz w:val="21"/>
                <w:szCs w:val="21"/>
              </w:rPr>
            </w:pPr>
          </w:p>
        </w:tc>
        <w:tc>
          <w:tcPr>
            <w:tcW w:w="750" w:type="dxa"/>
            <w:tcBorders>
              <w:top w:val="single" w:color="auto" w:sz="4" w:space="0"/>
            </w:tcBorders>
            <w:vAlign w:val="center"/>
          </w:tcPr>
          <w:p>
            <w:pPr>
              <w:pStyle w:val="16"/>
              <w:rPr>
                <w:rFonts w:hint="eastAsia" w:ascii="宋体" w:hAnsi="宋体" w:eastAsia="宋体" w:cs="宋体"/>
                <w:sz w:val="21"/>
                <w:szCs w:val="21"/>
              </w:rPr>
            </w:pPr>
          </w:p>
        </w:tc>
        <w:tc>
          <w:tcPr>
            <w:tcW w:w="767" w:type="dxa"/>
            <w:tcBorders>
              <w:top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13</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2101101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行政单位医疗</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4.93</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4.93</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4.93</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14</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住房保障支出</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7.69</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7.69</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7.69</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15</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22102</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住房改革支出</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7.69</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7.69</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7.69</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16</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2210201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住房公积金</w:t>
            </w:r>
          </w:p>
        </w:tc>
        <w:tc>
          <w:tcPr>
            <w:tcW w:w="109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7.69</w:t>
            </w:r>
          </w:p>
        </w:tc>
        <w:tc>
          <w:tcPr>
            <w:tcW w:w="1155"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7.69</w:t>
            </w:r>
          </w:p>
        </w:tc>
        <w:tc>
          <w:tcPr>
            <w:tcW w:w="1290"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7.69</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bl>
    <w:p>
      <w:pPr>
        <w:rPr>
          <w:rFonts w:hint="eastAsia" w:ascii="宋体" w:hAnsi="宋体" w:eastAsia="宋体" w:cs="宋体"/>
          <w:sz w:val="21"/>
          <w:szCs w:val="21"/>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rPr>
          <w:rFonts w:hint="eastAsia" w:ascii="宋体" w:hAnsi="宋体" w:eastAsia="宋体" w:cs="宋体"/>
          <w:color w:val="000000"/>
          <w:sz w:val="21"/>
          <w:szCs w:val="21"/>
          <w:lang w:eastAsia="zh-CN"/>
        </w:rPr>
      </w:pPr>
    </w:p>
    <w:p>
      <w:pPr>
        <w:jc w:val="center"/>
        <w:outlineLvl w:val="4"/>
        <w:rPr>
          <w:rFonts w:hint="eastAsia" w:ascii="宋体" w:hAnsi="宋体" w:eastAsia="宋体" w:cs="宋体"/>
          <w:color w:val="000000"/>
          <w:sz w:val="21"/>
          <w:szCs w:val="21"/>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w:t>
            </w:r>
            <w:r>
              <w:rPr>
                <w:rFonts w:hint="eastAsia"/>
              </w:rPr>
              <w:t>局</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rPr>
                <w:rFonts w:hint="eastAsia"/>
              </w:rPr>
              <w:t>合计</w:t>
            </w:r>
          </w:p>
        </w:tc>
        <w:tc>
          <w:tcPr>
            <w:tcW w:w="1361" w:type="dxa"/>
            <w:vAlign w:val="top"/>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0"/>
                <w:szCs w:val="20"/>
                <w:u w:val="none"/>
                <w:lang w:val="en-US" w:eastAsia="zh-CN" w:bidi="ar"/>
              </w:rPr>
              <w:t>315.54</w:t>
            </w:r>
          </w:p>
        </w:tc>
        <w:tc>
          <w:tcPr>
            <w:tcW w:w="1361" w:type="dxa"/>
            <w:vAlign w:val="top"/>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0"/>
                <w:szCs w:val="20"/>
                <w:u w:val="none"/>
                <w:lang w:val="en-US" w:eastAsia="zh-CN" w:bidi="ar"/>
              </w:rPr>
              <w:t>243.04</w:t>
            </w:r>
          </w:p>
        </w:tc>
        <w:tc>
          <w:tcPr>
            <w:tcW w:w="1361" w:type="dxa"/>
            <w:vAlign w:val="top"/>
          </w:tcPr>
          <w:p>
            <w:pPr>
              <w:keepNext w:val="0"/>
              <w:keepLines w:val="0"/>
              <w:widowControl/>
              <w:suppressLineNumbers w:val="0"/>
              <w:jc w:val="right"/>
              <w:textAlignment w:val="top"/>
              <w:rPr>
                <w:rFonts w:hint="eastAsia" w:ascii="宋体" w:hAnsi="宋体" w:eastAsia="宋体" w:cs="宋体"/>
                <w:b/>
                <w:bCs/>
                <w:i w:val="0"/>
                <w:iCs w:val="0"/>
                <w:color w:val="000000"/>
                <w:sz w:val="20"/>
                <w:szCs w:val="20"/>
                <w:u w:val="none"/>
                <w:lang w:val="en-US" w:eastAsia="uk-UA" w:bidi="ar-SA"/>
              </w:rPr>
            </w:pPr>
            <w:r>
              <w:rPr>
                <w:rFonts w:hint="eastAsia" w:ascii="宋体" w:hAnsi="宋体" w:eastAsia="宋体" w:cs="宋体"/>
                <w:b/>
                <w:bCs/>
                <w:i w:val="0"/>
                <w:iCs w:val="0"/>
                <w:color w:val="000000"/>
                <w:kern w:val="0"/>
                <w:sz w:val="20"/>
                <w:szCs w:val="20"/>
                <w:u w:val="none"/>
                <w:lang w:val="en-US" w:eastAsia="zh-CN" w:bidi="ar"/>
              </w:rPr>
              <w:t>72.50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289.93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72.50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289.93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72.50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24.58</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42.92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42.92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w:t>
            </w:r>
            <w:r>
              <w:rPr>
                <w:rFonts w:hint="eastAsia"/>
              </w:rPr>
              <w:t>局</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top"/>
          </w:tcPr>
          <w:p>
            <w:pPr>
              <w:keepNext w:val="0"/>
              <w:keepLines w:val="0"/>
              <w:widowControl/>
              <w:suppressLineNumbers w:val="0"/>
              <w:jc w:val="right"/>
              <w:textAlignment w:val="top"/>
              <w:rPr>
                <w:rFonts w:hint="eastAsia" w:ascii="宋体" w:hAnsi="宋体" w:eastAsia="宋体" w:cs="宋体"/>
                <w:i w:val="0"/>
                <w:iCs w:val="0"/>
                <w:color w:val="000000"/>
                <w:sz w:val="21"/>
                <w:szCs w:val="21"/>
                <w:u w:val="none"/>
                <w:lang w:val="en-US" w:eastAsia="uk-UA" w:bidi="ar-SA"/>
              </w:rPr>
            </w:pPr>
            <w:r>
              <w:rPr>
                <w:rFonts w:hint="eastAsia" w:ascii="宋体" w:hAnsi="宋体" w:eastAsia="宋体" w:cs="宋体"/>
                <w:i w:val="0"/>
                <w:iCs w:val="0"/>
                <w:color w:val="000000"/>
                <w:kern w:val="0"/>
                <w:sz w:val="21"/>
                <w:szCs w:val="21"/>
                <w:u w:val="none"/>
                <w:lang w:val="en-US" w:eastAsia="zh-CN" w:bidi="ar"/>
              </w:rPr>
              <w:t>315.54</w:t>
            </w:r>
          </w:p>
        </w:tc>
        <w:tc>
          <w:tcPr>
            <w:tcW w:w="3402" w:type="dxa"/>
            <w:vAlign w:val="center"/>
          </w:tcPr>
          <w:p>
            <w:pPr>
              <w:pStyle w:val="17"/>
            </w:pPr>
            <w:r>
              <w:rPr>
                <w:rFonts w:hint="eastAsia"/>
              </w:rPr>
              <w:t>一、一般公共服务支出</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289.93</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289.93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rPr>
                <w:rFonts w:hint="eastAsia" w:ascii="宋体" w:hAnsi="宋体" w:eastAsia="宋体" w:cs="宋体"/>
                <w:sz w:val="21"/>
                <w:szCs w:val="21"/>
              </w:rPr>
            </w:pPr>
          </w:p>
        </w:tc>
        <w:tc>
          <w:tcPr>
            <w:tcW w:w="3402" w:type="dxa"/>
            <w:vAlign w:val="center"/>
          </w:tcPr>
          <w:p>
            <w:pPr>
              <w:pStyle w:val="17"/>
            </w:pPr>
            <w:r>
              <w:rPr>
                <w:rFonts w:hint="eastAsia"/>
              </w:rPr>
              <w:t>二、外交支出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12.99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top"/>
          </w:tcPr>
          <w:p>
            <w:pPr>
              <w:jc w:val="right"/>
              <w:rPr>
                <w:rFonts w:hint="eastAsia" w:ascii="宋体" w:hAnsi="宋体" w:eastAsia="宋体" w:cs="宋体"/>
                <w:sz w:val="21"/>
                <w:szCs w:val="21"/>
              </w:rPr>
            </w:pPr>
          </w:p>
        </w:tc>
        <w:tc>
          <w:tcPr>
            <w:tcW w:w="1474" w:type="dxa"/>
            <w:vAlign w:val="top"/>
          </w:tcPr>
          <w:p>
            <w:pPr>
              <w:jc w:val="right"/>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4.93</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4.93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7.69</w:t>
            </w:r>
          </w:p>
        </w:tc>
        <w:tc>
          <w:tcPr>
            <w:tcW w:w="1474"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7.69</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i w:val="0"/>
                <w:iCs w:val="0"/>
                <w:color w:val="000000"/>
                <w:kern w:val="0"/>
                <w:sz w:val="21"/>
                <w:szCs w:val="21"/>
                <w:u w:val="none"/>
                <w:lang w:val="en-US" w:eastAsia="zh-CN" w:bidi="ar"/>
              </w:rPr>
              <w:t>315.54</w:t>
            </w:r>
          </w:p>
        </w:tc>
        <w:tc>
          <w:tcPr>
            <w:tcW w:w="3402" w:type="dxa"/>
            <w:vAlign w:val="center"/>
          </w:tcPr>
          <w:p>
            <w:pPr>
              <w:pStyle w:val="19"/>
            </w:pPr>
            <w:r>
              <w:rPr>
                <w:rFonts w:hint="eastAsia"/>
              </w:rPr>
              <w:t>本年支出合计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i w:val="0"/>
                <w:iCs w:val="0"/>
                <w:color w:val="000000"/>
                <w:kern w:val="0"/>
                <w:sz w:val="21"/>
                <w:szCs w:val="21"/>
                <w:u w:val="none"/>
                <w:lang w:val="en-US" w:eastAsia="zh-CN" w:bidi="ar"/>
              </w:rPr>
              <w:t>315.54</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i w:val="0"/>
                <w:iCs w:val="0"/>
                <w:color w:val="000000"/>
                <w:kern w:val="0"/>
                <w:sz w:val="21"/>
                <w:szCs w:val="21"/>
                <w:u w:val="none"/>
                <w:lang w:val="en-US" w:eastAsia="zh-CN" w:bidi="ar"/>
              </w:rPr>
              <w:t>315.54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r>
              <w:rPr>
                <w:rFonts w:hint="eastAsia"/>
              </w:rPr>
              <w:t>年末财政拨款结转和结余</w:t>
            </w: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i w:val="0"/>
                <w:iCs w:val="0"/>
                <w:color w:val="000000"/>
                <w:kern w:val="0"/>
                <w:sz w:val="21"/>
                <w:szCs w:val="21"/>
                <w:u w:val="none"/>
                <w:lang w:val="en-US" w:eastAsia="zh-CN" w:bidi="ar"/>
              </w:rPr>
              <w:t>315.54</w:t>
            </w:r>
          </w:p>
        </w:tc>
        <w:tc>
          <w:tcPr>
            <w:tcW w:w="3402" w:type="dxa"/>
            <w:vAlign w:val="center"/>
          </w:tcPr>
          <w:p>
            <w:pPr>
              <w:pStyle w:val="19"/>
            </w:pPr>
            <w:r>
              <w:rPr>
                <w:rFonts w:hint="eastAsia"/>
              </w:rPr>
              <w:t>支出总计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i w:val="0"/>
                <w:iCs w:val="0"/>
                <w:color w:val="000000"/>
                <w:kern w:val="0"/>
                <w:sz w:val="21"/>
                <w:szCs w:val="21"/>
                <w:u w:val="none"/>
                <w:lang w:val="en-US" w:eastAsia="zh-CN" w:bidi="ar"/>
              </w:rPr>
              <w:t>315.54</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i w:val="0"/>
                <w:iCs w:val="0"/>
                <w:color w:val="000000"/>
                <w:kern w:val="0"/>
                <w:sz w:val="21"/>
                <w:szCs w:val="21"/>
                <w:u w:val="none"/>
                <w:lang w:val="en-US" w:eastAsia="zh-CN" w:bidi="ar"/>
              </w:rPr>
              <w:t>315.54</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0"/>
                <w:szCs w:val="20"/>
                <w:u w:val="none"/>
                <w:lang w:val="en-US" w:eastAsia="zh-CN" w:bidi="ar"/>
              </w:rPr>
              <w:t>315.54</w:t>
            </w:r>
          </w:p>
        </w:tc>
        <w:tc>
          <w:tcPr>
            <w:tcW w:w="2551" w:type="dxa"/>
            <w:vAlign w:val="top"/>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0"/>
                <w:szCs w:val="20"/>
                <w:u w:val="none"/>
                <w:lang w:val="en-US" w:eastAsia="zh-CN" w:bidi="ar"/>
              </w:rPr>
              <w:t>243.04</w:t>
            </w:r>
          </w:p>
        </w:tc>
        <w:tc>
          <w:tcPr>
            <w:tcW w:w="2551" w:type="dxa"/>
            <w:vAlign w:val="top"/>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0"/>
                <w:szCs w:val="20"/>
                <w:u w:val="none"/>
                <w:lang w:val="en-US" w:eastAsia="zh-CN" w:bidi="ar"/>
              </w:rPr>
              <w:t>72.50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289.93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289.93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24.58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42.92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center"/>
          </w:tcPr>
          <w:p>
            <w:pPr>
              <w:pStyle w:val="16"/>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1"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0"/>
                <w:szCs w:val="20"/>
                <w:u w:val="none"/>
                <w:lang w:val="en-US" w:eastAsia="zh-CN" w:bidi="ar"/>
              </w:rPr>
              <w:t>243.04</w:t>
            </w:r>
          </w:p>
        </w:tc>
        <w:tc>
          <w:tcPr>
            <w:tcW w:w="2551" w:type="dxa"/>
            <w:vAlign w:val="top"/>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0"/>
                <w:szCs w:val="20"/>
                <w:u w:val="none"/>
                <w:lang w:val="en-US" w:eastAsia="zh-CN" w:bidi="ar"/>
              </w:rPr>
              <w:t>128.85</w:t>
            </w:r>
          </w:p>
        </w:tc>
        <w:tc>
          <w:tcPr>
            <w:tcW w:w="2551" w:type="dxa"/>
            <w:vAlign w:val="top"/>
          </w:tcPr>
          <w:p>
            <w:pPr>
              <w:keepNext w:val="0"/>
              <w:keepLines w:val="0"/>
              <w:widowControl/>
              <w:suppressLineNumbers w:val="0"/>
              <w:jc w:val="right"/>
              <w:textAlignment w:val="top"/>
              <w:rPr>
                <w:b/>
                <w:bCs/>
              </w:rPr>
            </w:pPr>
            <w:r>
              <w:rPr>
                <w:rFonts w:hint="eastAsia" w:ascii="宋体" w:hAnsi="宋体" w:eastAsia="宋体" w:cs="宋体"/>
                <w:b/>
                <w:bCs/>
                <w:i w:val="0"/>
                <w:iCs w:val="0"/>
                <w:color w:val="000000"/>
                <w:kern w:val="0"/>
                <w:sz w:val="20"/>
                <w:szCs w:val="20"/>
                <w:u w:val="none"/>
                <w:lang w:val="en-US" w:eastAsia="zh-CN" w:bidi="ar"/>
              </w:rPr>
              <w:t>114.19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128.12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128.12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54.26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54.26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21.48</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21.48</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奖金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10.63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10.63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其他工资福利支出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13.20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13.20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114.19</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办公费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2.64</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邮电费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0.36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差旅费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劳务费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98.15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98.15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0.93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福利费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2.93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5.46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30299</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30305</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生活补助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jc w:val="right"/>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rFonts w:hint="default" w:eastAsia="方正书宋_GBK"/>
                <w:lang w:val="en-US" w:eastAsia="zh-CN"/>
              </w:rPr>
            </w:pPr>
            <w:r>
              <w:rPr>
                <w:rFonts w:hint="eastAsia"/>
                <w:lang w:val="en-US" w:eastAsia="zh-CN"/>
              </w:rPr>
              <w:t>2.6</w:t>
            </w:r>
          </w:p>
        </w:tc>
        <w:tc>
          <w:tcPr>
            <w:tcW w:w="2381" w:type="dxa"/>
            <w:vAlign w:val="center"/>
          </w:tcPr>
          <w:p>
            <w:pPr>
              <w:pStyle w:val="20"/>
              <w:rPr>
                <w:rFonts w:hint="default" w:eastAsia="方正书宋_GBK"/>
                <w:lang w:val="en-US" w:eastAsia="zh-CN"/>
              </w:rPr>
            </w:pPr>
            <w:r>
              <w:rPr>
                <w:rFonts w:hint="eastAsia"/>
                <w:lang w:val="en-US" w:eastAsia="zh-CN"/>
              </w:rPr>
              <w:t>2.6</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“三公”经费小计</w:t>
            </w:r>
          </w:p>
        </w:tc>
        <w:tc>
          <w:tcPr>
            <w:tcW w:w="2382"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2.6</w:t>
            </w:r>
          </w:p>
        </w:tc>
        <w:tc>
          <w:tcPr>
            <w:tcW w:w="238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2.6</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一、因公出国（境）费</w:t>
            </w:r>
          </w:p>
        </w:tc>
        <w:tc>
          <w:tcPr>
            <w:tcW w:w="2382"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其中：教学科研人员因公出国（境）费</w:t>
            </w:r>
          </w:p>
        </w:tc>
        <w:tc>
          <w:tcPr>
            <w:tcW w:w="2382"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其他因公出国（境）费</w:t>
            </w:r>
          </w:p>
        </w:tc>
        <w:tc>
          <w:tcPr>
            <w:tcW w:w="2382"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二、公务用车购置及运维费</w:t>
            </w:r>
          </w:p>
        </w:tc>
        <w:tc>
          <w:tcPr>
            <w:tcW w:w="2382" w:type="dxa"/>
            <w:vAlign w:val="top"/>
          </w:tcPr>
          <w:p>
            <w:pPr>
              <w:keepNext w:val="0"/>
              <w:keepLines w:val="0"/>
              <w:widowControl/>
              <w:suppressLineNumbers w:val="0"/>
              <w:jc w:val="right"/>
              <w:textAlignment w:val="top"/>
              <w:rPr>
                <w:rFonts w:ascii="Times New Roman" w:hAnsi="Times New Roman" w:eastAsia="宋体" w:cs="Times New Roman"/>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rPr>
                <w:rFonts w:ascii="Times New Roman" w:hAnsi="Times New Roman" w:eastAsia="宋体" w:cs="Times New Roman"/>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其中：公务用车购置费</w:t>
            </w:r>
          </w:p>
        </w:tc>
        <w:tc>
          <w:tcPr>
            <w:tcW w:w="2382"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公务用车运行维护费</w:t>
            </w:r>
          </w:p>
        </w:tc>
        <w:tc>
          <w:tcPr>
            <w:tcW w:w="2382"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三、公务接待费</w:t>
            </w:r>
          </w:p>
        </w:tc>
        <w:tc>
          <w:tcPr>
            <w:tcW w:w="2382"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0.60</w:t>
            </w:r>
          </w:p>
        </w:tc>
        <w:tc>
          <w:tcPr>
            <w:tcW w:w="2381"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0.60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四、会议费</w:t>
            </w:r>
          </w:p>
        </w:tc>
        <w:tc>
          <w:tcPr>
            <w:tcW w:w="2382"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五、培训费</w:t>
            </w:r>
          </w:p>
        </w:tc>
        <w:tc>
          <w:tcPr>
            <w:tcW w:w="2382" w:type="dxa"/>
            <w:vAlign w:val="top"/>
          </w:tcPr>
          <w:p>
            <w:pPr>
              <w:jc w:val="right"/>
              <w:rPr>
                <w:sz w:val="21"/>
                <w:szCs w:val="21"/>
              </w:rPr>
            </w:pPr>
          </w:p>
        </w:tc>
        <w:tc>
          <w:tcPr>
            <w:tcW w:w="2381" w:type="dxa"/>
            <w:vAlign w:val="top"/>
          </w:tcPr>
          <w:p>
            <w:pPr>
              <w:jc w:val="right"/>
              <w:rPr>
                <w:sz w:val="21"/>
                <w:szCs w:val="21"/>
              </w:rPr>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Borders>
            <w:top w:val="none" w:sz="0" w:space="0"/>
            <w:left w:val="none" w:sz="0" w:space="0"/>
            <w:bottom w:val="none" w:sz="0" w:space="0"/>
            <w:right w:val="none" w:sz="0" w:space="0"/>
          </w:pgBorders>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涞水县统计局</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keepNext w:val="0"/>
        <w:keepLines w:val="0"/>
        <w:pageBreakBefore w:val="0"/>
        <w:kinsoku/>
        <w:wordWrap/>
        <w:overflowPunct/>
        <w:topLinePunct w:val="0"/>
        <w:autoSpaceDE/>
        <w:bidi w:val="0"/>
        <w:adjustRightInd/>
        <w:snapToGrid/>
        <w:spacing w:line="560" w:lineRule="exact"/>
        <w:ind w:firstLine="560"/>
        <w:textAlignment w:val="auto"/>
        <w:rPr>
          <w:rFonts w:hint="eastAsia" w:ascii="宋体" w:hAnsi="宋体" w:eastAsia="宋体" w:cs="宋体"/>
          <w:sz w:val="28"/>
          <w:szCs w:val="28"/>
        </w:rPr>
      </w:pPr>
      <w:r>
        <w:rPr>
          <w:rFonts w:hint="eastAsia" w:ascii="宋体" w:hAnsi="宋体" w:eastAsia="宋体" w:cs="宋体"/>
          <w:color w:val="000000"/>
          <w:sz w:val="28"/>
          <w:szCs w:val="28"/>
        </w:rPr>
        <w:t>按照《</w:t>
      </w:r>
      <w:r>
        <w:rPr>
          <w:rFonts w:hint="eastAsia" w:ascii="宋体" w:hAnsi="宋体" w:cs="宋体"/>
          <w:color w:val="000000"/>
          <w:sz w:val="28"/>
          <w:szCs w:val="28"/>
          <w:lang w:eastAsia="zh-CN"/>
        </w:rPr>
        <w:t>中华人民共和国</w:t>
      </w:r>
      <w:bookmarkStart w:id="4" w:name="_GoBack"/>
      <w:bookmarkEnd w:id="4"/>
      <w:r>
        <w:rPr>
          <w:rFonts w:hint="eastAsia" w:ascii="宋体" w:hAnsi="宋体" w:cs="宋体"/>
          <w:color w:val="000000"/>
          <w:sz w:val="28"/>
          <w:szCs w:val="28"/>
          <w:lang w:eastAsia="zh-CN"/>
        </w:rPr>
        <w:t>预算法</w:t>
      </w:r>
      <w:r>
        <w:rPr>
          <w:rFonts w:hint="eastAsia" w:ascii="宋体" w:hAnsi="宋体" w:eastAsia="宋体" w:cs="宋体"/>
          <w:color w:val="000000"/>
          <w:sz w:val="28"/>
          <w:szCs w:val="28"/>
        </w:rPr>
        <w:t>》、《地方预决算公开操作规程》和《关于进一步推进预算公开工作的实施意见》规定，现将</w:t>
      </w:r>
      <w:r>
        <w:rPr>
          <w:rFonts w:hint="eastAsia" w:ascii="宋体" w:hAnsi="宋体" w:eastAsia="宋体" w:cs="宋体"/>
          <w:color w:val="000000"/>
          <w:sz w:val="28"/>
          <w:szCs w:val="28"/>
          <w:lang w:eastAsia="zh-CN"/>
        </w:rPr>
        <w:t>涞水县统计局</w:t>
      </w:r>
      <w:r>
        <w:rPr>
          <w:rFonts w:hint="eastAsia" w:ascii="宋体" w:hAnsi="宋体" w:eastAsia="宋体" w:cs="宋体"/>
          <w:color w:val="000000"/>
          <w:sz w:val="28"/>
          <w:szCs w:val="28"/>
        </w:rPr>
        <w:t>2022年单位预算公开如下：</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一、单位职责及机构设置情况</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单位职责：</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涞水县统计局是负责全县社会经济统计工作的职能部门，行政编制6个，事业编制7个。内设3个行政股室：办公室、综合业务股（工交基建股、贸易外经股），下管2个事业单位：农调队、普查中心。主要职责如下：</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（一）、统计调查计划；组织领导和监督检查全县各级各部门统计和国民经济核算工作，监督检查统计法律、法规实施情况。</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二）、贯彻执行国家、省国民经济核算体系、统计指标体系和基本统计制度；管理全县各项核算制度；制定全县统计调查标准和统计调查制度；组织管理、审批全县各级各部门统计调查项目（包括社会和涉外调查）、调查计划、调查方案。</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三）、组织完成国家、省、市部署的普查任务；组织全县社会经济调查，汇总、整理全县基本统计资料；对国民经济、科技进步和社会发展等情况进行统计分析、统计预测和统计监督，向县委、县政府及有关部门提供统计信息和咨询建议。</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（四）、统一核定、管理、公布、出版全县基本统计资料，定期向社会公众发布全县国民经济和社会情况统计信息。</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（五）、管理全县统计信息自动化系统和统计数据库体系。</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（六）、组织管理统计人员持证上岗，协助组织管理统计专业技术资格考试和专业技术职务评聘工作。</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（七）、协助管理各乡镇统计站统计人员。</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（八）、承办县委、县政府交办的其他事项。  </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sz w:val="28"/>
          <w:szCs w:val="28"/>
        </w:rPr>
      </w:pPr>
      <w:r>
        <w:rPr>
          <w:rFonts w:hint="eastAsia" w:ascii="宋体" w:hAnsi="宋体" w:eastAsia="宋体" w:cs="宋体"/>
          <w:b/>
          <w:color w:val="000000"/>
          <w:sz w:val="28"/>
          <w:szCs w:val="28"/>
        </w:rPr>
        <w:t>机构设置：</w:t>
      </w:r>
    </w:p>
    <w:p>
      <w:pPr>
        <w:keepNext w:val="0"/>
        <w:keepLines w:val="0"/>
        <w:pageBreakBefore w:val="0"/>
        <w:kinsoku/>
        <w:wordWrap/>
        <w:overflowPunct/>
        <w:topLinePunct w:val="0"/>
        <w:autoSpaceDE/>
        <w:bidi w:val="0"/>
        <w:adjustRightInd/>
        <w:snapToGrid/>
        <w:spacing w:line="560" w:lineRule="exact"/>
        <w:jc w:val="center"/>
        <w:textAlignment w:val="auto"/>
        <w:rPr>
          <w:sz w:val="28"/>
          <w:szCs w:val="28"/>
        </w:rPr>
      </w:pPr>
      <w:r>
        <w:rPr>
          <w:rFonts w:hint="eastAsia" w:ascii="方正小标宋_GBK" w:hAnsi="方正小标宋_GBK" w:eastAsia="方正小标宋_GBK" w:cs="方正小标宋_GBK"/>
          <w:color w:val="000000"/>
          <w:sz w:val="28"/>
          <w:szCs w:val="28"/>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单位名称</w:t>
            </w:r>
          </w:p>
        </w:tc>
        <w:tc>
          <w:tcPr>
            <w:tcW w:w="1843"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单位性质</w:t>
            </w:r>
          </w:p>
        </w:tc>
        <w:tc>
          <w:tcPr>
            <w:tcW w:w="2126"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单位规格</w:t>
            </w:r>
          </w:p>
        </w:tc>
        <w:tc>
          <w:tcPr>
            <w:tcW w:w="3827"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lang w:eastAsia="zh-CN"/>
              </w:rPr>
              <w:t>涞水县统计</w:t>
            </w:r>
            <w:r>
              <w:rPr>
                <w:rFonts w:hint="eastAsia"/>
              </w:rPr>
              <w:t>局（本级）</w:t>
            </w:r>
          </w:p>
        </w:tc>
        <w:tc>
          <w:tcPr>
            <w:tcW w:w="1843"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行政</w:t>
            </w:r>
          </w:p>
        </w:tc>
        <w:tc>
          <w:tcPr>
            <w:tcW w:w="2126"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正科级</w:t>
            </w:r>
          </w:p>
        </w:tc>
        <w:tc>
          <w:tcPr>
            <w:tcW w:w="3827"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财政拨款</w:t>
            </w:r>
          </w:p>
        </w:tc>
      </w:tr>
    </w:tbl>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二、单位预算安排的总体情况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（一）、收入预算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反映当年全部收入。202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年预算总收入</w:t>
      </w:r>
      <w:r>
        <w:rPr>
          <w:rFonts w:hint="eastAsia" w:ascii="宋体" w:hAnsi="宋体" w:eastAsia="宋体" w:cs="宋体"/>
          <w:color w:val="000000"/>
          <w:sz w:val="28"/>
          <w:szCs w:val="28"/>
          <w:lang w:val="en-US" w:eastAsia="zh-CN"/>
        </w:rPr>
        <w:t>315.54</w:t>
      </w:r>
      <w:r>
        <w:rPr>
          <w:rFonts w:hint="eastAsia" w:ascii="宋体" w:hAnsi="宋体" w:eastAsia="宋体" w:cs="宋体"/>
          <w:color w:val="000000"/>
          <w:sz w:val="28"/>
          <w:szCs w:val="28"/>
        </w:rPr>
        <w:t>万元</w:t>
      </w:r>
      <w:r>
        <w:rPr>
          <w:rFonts w:hint="eastAsia" w:ascii="宋体" w:hAnsi="宋体" w:cs="宋体"/>
          <w:color w:val="000000"/>
          <w:sz w:val="28"/>
          <w:szCs w:val="28"/>
          <w:lang w:eastAsia="zh-CN"/>
        </w:rPr>
        <w:t>。</w:t>
      </w:r>
      <w:r>
        <w:rPr>
          <w:rFonts w:hint="eastAsia" w:ascii="宋体" w:hAnsi="宋体" w:eastAsia="宋体" w:cs="宋体"/>
          <w:color w:val="000000"/>
          <w:sz w:val="28"/>
          <w:szCs w:val="28"/>
        </w:rPr>
        <w:t>其中：</w:t>
      </w:r>
      <w:r>
        <w:rPr>
          <w:rFonts w:hint="eastAsia" w:ascii="宋体" w:hAnsi="宋体" w:eastAsia="宋体" w:cs="宋体"/>
          <w:color w:val="000000"/>
          <w:sz w:val="28"/>
          <w:szCs w:val="28"/>
          <w:lang w:eastAsia="zh-CN"/>
        </w:rPr>
        <w:t>一、</w:t>
      </w:r>
      <w:r>
        <w:rPr>
          <w:rFonts w:hint="eastAsia" w:ascii="宋体" w:hAnsi="宋体" w:eastAsia="宋体" w:cs="宋体"/>
          <w:color w:val="000000"/>
          <w:sz w:val="28"/>
          <w:szCs w:val="28"/>
        </w:rPr>
        <w:t>财政拨款收入</w:t>
      </w:r>
      <w:r>
        <w:rPr>
          <w:rFonts w:hint="eastAsia" w:ascii="宋体" w:hAnsi="宋体" w:eastAsia="宋体" w:cs="宋体"/>
          <w:color w:val="000000"/>
          <w:sz w:val="28"/>
          <w:szCs w:val="28"/>
          <w:lang w:val="en-US" w:eastAsia="zh-CN"/>
        </w:rPr>
        <w:t>315.54</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基金预算收入0 万元 ，财政专户核拨收入0万元，其他来源收入 0万元。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（二）、支出预算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本年度支出预算</w:t>
      </w:r>
      <w:r>
        <w:rPr>
          <w:rFonts w:hint="eastAsia" w:ascii="宋体" w:hAnsi="宋体" w:eastAsia="宋体" w:cs="宋体"/>
          <w:color w:val="000000"/>
          <w:sz w:val="28"/>
          <w:szCs w:val="28"/>
          <w:lang w:val="en-US" w:eastAsia="zh-CN"/>
        </w:rPr>
        <w:t>315.54</w:t>
      </w:r>
      <w:r>
        <w:rPr>
          <w:rFonts w:hint="eastAsia" w:ascii="宋体" w:hAnsi="宋体" w:eastAsia="宋体" w:cs="宋体"/>
          <w:color w:val="000000"/>
          <w:sz w:val="28"/>
          <w:szCs w:val="28"/>
        </w:rPr>
        <w:t>万元，其中：基本支出预算</w:t>
      </w:r>
      <w:r>
        <w:rPr>
          <w:rFonts w:hint="eastAsia" w:ascii="宋体" w:hAnsi="宋体" w:eastAsia="宋体" w:cs="宋体"/>
          <w:color w:val="000000"/>
          <w:sz w:val="28"/>
          <w:szCs w:val="28"/>
          <w:lang w:val="en-US" w:eastAsia="zh-CN"/>
        </w:rPr>
        <w:t>243.04</w:t>
      </w:r>
      <w:r>
        <w:rPr>
          <w:rFonts w:hint="eastAsia" w:ascii="宋体" w:hAnsi="宋体" w:eastAsia="宋体" w:cs="宋体"/>
          <w:color w:val="000000"/>
          <w:sz w:val="28"/>
          <w:szCs w:val="28"/>
        </w:rPr>
        <w:t>万元（其中人员支出预算1</w:t>
      </w:r>
      <w:r>
        <w:rPr>
          <w:rFonts w:hint="eastAsia" w:ascii="宋体" w:hAnsi="宋体" w:eastAsia="宋体" w:cs="宋体"/>
          <w:color w:val="000000"/>
          <w:sz w:val="28"/>
          <w:szCs w:val="28"/>
          <w:lang w:val="en-US" w:eastAsia="zh-CN"/>
        </w:rPr>
        <w:t>28.85</w:t>
      </w:r>
      <w:r>
        <w:rPr>
          <w:rFonts w:hint="eastAsia" w:ascii="宋体" w:hAnsi="宋体" w:eastAsia="宋体" w:cs="宋体"/>
          <w:color w:val="000000"/>
          <w:sz w:val="28"/>
          <w:szCs w:val="28"/>
        </w:rPr>
        <w:t>万元，日常公用支出预算1</w:t>
      </w:r>
      <w:r>
        <w:rPr>
          <w:rFonts w:hint="eastAsia" w:ascii="宋体" w:hAnsi="宋体" w:eastAsia="宋体" w:cs="宋体"/>
          <w:color w:val="000000"/>
          <w:sz w:val="28"/>
          <w:szCs w:val="28"/>
          <w:lang w:val="en-US" w:eastAsia="zh-CN"/>
        </w:rPr>
        <w:t>14.19</w:t>
      </w:r>
      <w:r>
        <w:rPr>
          <w:rFonts w:hint="eastAsia" w:ascii="宋体" w:hAnsi="宋体" w:eastAsia="宋体" w:cs="宋体"/>
          <w:color w:val="000000"/>
          <w:sz w:val="28"/>
          <w:szCs w:val="28"/>
        </w:rPr>
        <w:t>万元），项目支出预算</w:t>
      </w:r>
      <w:r>
        <w:rPr>
          <w:rFonts w:hint="eastAsia" w:ascii="宋体" w:hAnsi="宋体" w:eastAsia="宋体" w:cs="宋体"/>
          <w:color w:val="000000"/>
          <w:sz w:val="28"/>
          <w:szCs w:val="28"/>
          <w:lang w:val="en-US" w:eastAsia="zh-CN"/>
        </w:rPr>
        <w:t>72.5</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，主要是一般行政管理事务</w:t>
      </w:r>
      <w:r>
        <w:rPr>
          <w:rFonts w:hint="eastAsia" w:ascii="宋体" w:hAnsi="宋体" w:eastAsia="宋体" w:cs="宋体"/>
          <w:color w:val="000000"/>
          <w:sz w:val="28"/>
          <w:szCs w:val="28"/>
          <w:lang w:val="en-US" w:eastAsia="zh-CN"/>
        </w:rPr>
        <w:t>24.58万元，专项普查活动5万元，统计抽样调查42.92万元</w:t>
      </w:r>
      <w:r>
        <w:rPr>
          <w:rFonts w:hint="eastAsia" w:ascii="宋体" w:hAnsi="宋体" w:eastAsia="宋体" w:cs="宋体"/>
          <w:color w:val="000000"/>
          <w:sz w:val="28"/>
          <w:szCs w:val="28"/>
          <w:lang w:eastAsia="zh-CN"/>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（三）</w:t>
      </w:r>
      <w:r>
        <w:rPr>
          <w:rFonts w:hint="eastAsia" w:ascii="宋体" w:hAnsi="宋体" w:eastAsia="宋体" w:cs="宋体"/>
          <w:color w:val="000000"/>
          <w:sz w:val="28"/>
          <w:szCs w:val="28"/>
        </w:rPr>
        <w:t>、比上年增减情况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本年对于预算收支安排</w:t>
      </w:r>
      <w:r>
        <w:rPr>
          <w:rFonts w:hint="eastAsia" w:ascii="宋体" w:hAnsi="宋体" w:eastAsia="宋体" w:cs="宋体"/>
          <w:color w:val="000000"/>
          <w:sz w:val="28"/>
          <w:szCs w:val="28"/>
          <w:lang w:val="en-US" w:eastAsia="zh-CN"/>
        </w:rPr>
        <w:t>315.54</w:t>
      </w:r>
      <w:r>
        <w:rPr>
          <w:rFonts w:hint="eastAsia" w:ascii="宋体" w:hAnsi="宋体" w:eastAsia="宋体" w:cs="宋体"/>
          <w:color w:val="000000"/>
          <w:sz w:val="28"/>
          <w:szCs w:val="28"/>
        </w:rPr>
        <w:t>万元，比上年</w:t>
      </w:r>
      <w:r>
        <w:rPr>
          <w:rFonts w:hint="eastAsia" w:ascii="宋体" w:hAnsi="宋体" w:eastAsia="宋体" w:cs="宋体"/>
          <w:color w:val="000000"/>
          <w:sz w:val="28"/>
          <w:szCs w:val="28"/>
          <w:lang w:eastAsia="zh-CN"/>
        </w:rPr>
        <w:t>减少</w:t>
      </w:r>
      <w:r>
        <w:rPr>
          <w:rFonts w:hint="eastAsia" w:ascii="宋体" w:hAnsi="宋体" w:eastAsia="宋体" w:cs="宋体"/>
          <w:color w:val="000000"/>
          <w:sz w:val="28"/>
          <w:szCs w:val="28"/>
          <w:lang w:val="en-US" w:eastAsia="zh-CN"/>
        </w:rPr>
        <w:t>241.68</w:t>
      </w:r>
      <w:r>
        <w:rPr>
          <w:rFonts w:hint="eastAsia" w:ascii="宋体" w:hAnsi="宋体" w:eastAsia="宋体" w:cs="宋体"/>
          <w:color w:val="000000"/>
          <w:sz w:val="28"/>
          <w:szCs w:val="28"/>
        </w:rPr>
        <w:t>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基本支出预算比上年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6.2</w:t>
      </w:r>
      <w:r>
        <w:rPr>
          <w:rFonts w:hint="eastAsia" w:ascii="宋体" w:hAnsi="宋体" w:eastAsia="宋体" w:cs="宋体"/>
          <w:color w:val="000000"/>
          <w:sz w:val="28"/>
          <w:szCs w:val="28"/>
        </w:rPr>
        <w:t>万元。原因是：</w:t>
      </w:r>
      <w:r>
        <w:rPr>
          <w:rFonts w:hint="eastAsia" w:ascii="宋体" w:hAnsi="宋体" w:eastAsia="宋体" w:cs="宋体"/>
          <w:color w:val="000000"/>
          <w:sz w:val="28"/>
          <w:szCs w:val="28"/>
          <w:lang w:val="en-US" w:eastAsia="zh-CN"/>
        </w:rPr>
        <w:t>2021年7月新增一名</w:t>
      </w:r>
      <w:r>
        <w:rPr>
          <w:rFonts w:hint="eastAsia" w:ascii="宋体" w:hAnsi="宋体" w:eastAsia="宋体" w:cs="宋体"/>
          <w:color w:val="000000"/>
          <w:sz w:val="28"/>
          <w:szCs w:val="28"/>
          <w:lang w:eastAsia="zh-CN"/>
        </w:rPr>
        <w:t>公务员</w:t>
      </w:r>
      <w:r>
        <w:rPr>
          <w:rFonts w:hint="eastAsia" w:ascii="宋体" w:hAnsi="宋体" w:eastAsia="宋体" w:cs="宋体"/>
          <w:color w:val="000000"/>
          <w:sz w:val="28"/>
          <w:szCs w:val="28"/>
          <w:lang w:val="en-US" w:eastAsia="zh-CN"/>
        </w:rPr>
        <w:t>2021年的工资、福利费等相应增加</w:t>
      </w:r>
      <w:r>
        <w:rPr>
          <w:rFonts w:hint="eastAsia" w:ascii="宋体" w:hAnsi="宋体" w:eastAsia="宋体" w:cs="宋体"/>
          <w:color w:val="000000"/>
          <w:sz w:val="28"/>
          <w:szCs w:val="28"/>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项目支出预算比上年</w:t>
      </w:r>
      <w:r>
        <w:rPr>
          <w:rFonts w:hint="eastAsia" w:ascii="宋体" w:hAnsi="宋体" w:eastAsia="宋体" w:cs="宋体"/>
          <w:color w:val="000000"/>
          <w:sz w:val="28"/>
          <w:szCs w:val="28"/>
          <w:lang w:eastAsia="zh-CN"/>
        </w:rPr>
        <w:t>减少</w:t>
      </w:r>
      <w:r>
        <w:rPr>
          <w:rFonts w:hint="eastAsia" w:ascii="宋体" w:hAnsi="宋体" w:eastAsia="宋体" w:cs="宋体"/>
          <w:color w:val="000000"/>
          <w:sz w:val="28"/>
          <w:szCs w:val="28"/>
          <w:lang w:val="en-US" w:eastAsia="zh-CN"/>
        </w:rPr>
        <w:t>247.88</w:t>
      </w:r>
      <w:r>
        <w:rPr>
          <w:rFonts w:hint="eastAsia" w:ascii="宋体" w:hAnsi="宋体" w:eastAsia="宋体" w:cs="宋体"/>
          <w:color w:val="000000"/>
          <w:sz w:val="28"/>
          <w:szCs w:val="28"/>
        </w:rPr>
        <w:t>万元。原因是：全国第七次人口普查</w:t>
      </w:r>
      <w:r>
        <w:rPr>
          <w:rFonts w:hint="eastAsia" w:ascii="宋体" w:hAnsi="宋体" w:eastAsia="宋体" w:cs="宋体"/>
          <w:color w:val="000000"/>
          <w:sz w:val="28"/>
          <w:szCs w:val="28"/>
          <w:lang w:eastAsia="zh-CN"/>
        </w:rPr>
        <w:t>“两员”补贴</w:t>
      </w:r>
      <w:r>
        <w:rPr>
          <w:rFonts w:hint="eastAsia" w:ascii="宋体" w:hAnsi="宋体" w:eastAsia="宋体" w:cs="宋体"/>
          <w:color w:val="000000"/>
          <w:sz w:val="28"/>
          <w:szCs w:val="28"/>
          <w:lang w:val="en-US" w:eastAsia="zh-CN"/>
        </w:rPr>
        <w:t>242万元</w:t>
      </w:r>
      <w:r>
        <w:rPr>
          <w:rFonts w:hint="eastAsia" w:ascii="宋体" w:hAnsi="宋体" w:eastAsia="宋体" w:cs="宋体"/>
          <w:color w:val="000000"/>
          <w:sz w:val="28"/>
          <w:szCs w:val="28"/>
          <w:lang w:eastAsia="zh-CN"/>
        </w:rPr>
        <w:t>在</w:t>
      </w:r>
      <w:r>
        <w:rPr>
          <w:rFonts w:hint="eastAsia" w:ascii="宋体" w:hAnsi="宋体" w:eastAsia="宋体" w:cs="宋体"/>
          <w:color w:val="000000"/>
          <w:sz w:val="28"/>
          <w:szCs w:val="28"/>
          <w:lang w:val="en-US" w:eastAsia="zh-CN"/>
        </w:rPr>
        <w:t>2021年发放</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2022年无此补贴发放项目。</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三、机关运行经费安排情况</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本年度公用经费预算</w:t>
      </w:r>
      <w:r>
        <w:rPr>
          <w:rFonts w:hint="eastAsia" w:ascii="宋体" w:hAnsi="宋体" w:eastAsia="宋体" w:cs="宋体"/>
          <w:sz w:val="28"/>
          <w:szCs w:val="28"/>
          <w:lang w:val="en-US" w:eastAsia="zh-CN"/>
        </w:rPr>
        <w:t>114.19</w:t>
      </w:r>
      <w:r>
        <w:rPr>
          <w:rFonts w:hint="eastAsia" w:ascii="宋体" w:hAnsi="宋体" w:eastAsia="宋体" w:cs="宋体"/>
          <w:sz w:val="28"/>
          <w:szCs w:val="28"/>
        </w:rPr>
        <w:t>万元，其中：办公费2.</w:t>
      </w:r>
      <w:r>
        <w:rPr>
          <w:rFonts w:hint="eastAsia" w:ascii="宋体" w:hAnsi="宋体" w:eastAsia="宋体" w:cs="宋体"/>
          <w:sz w:val="28"/>
          <w:szCs w:val="28"/>
          <w:lang w:val="en-US" w:eastAsia="zh-CN"/>
        </w:rPr>
        <w:t>64</w:t>
      </w:r>
      <w:r>
        <w:rPr>
          <w:rFonts w:hint="eastAsia" w:ascii="宋体" w:hAnsi="宋体" w:eastAsia="宋体" w:cs="宋体"/>
          <w:sz w:val="28"/>
          <w:szCs w:val="28"/>
        </w:rPr>
        <w:t>万元，邮电费0.36万元，差旅费1.</w:t>
      </w:r>
      <w:r>
        <w:rPr>
          <w:rFonts w:hint="eastAsia" w:ascii="宋体" w:hAnsi="宋体" w:eastAsia="宋体" w:cs="宋体"/>
          <w:sz w:val="28"/>
          <w:szCs w:val="28"/>
          <w:lang w:val="en-US" w:eastAsia="zh-CN"/>
        </w:rPr>
        <w:t>2</w:t>
      </w:r>
      <w:r>
        <w:rPr>
          <w:rFonts w:hint="eastAsia" w:ascii="宋体" w:hAnsi="宋体" w:eastAsia="宋体" w:cs="宋体"/>
          <w:sz w:val="28"/>
          <w:szCs w:val="28"/>
        </w:rPr>
        <w:t>万元，劳务费</w:t>
      </w:r>
      <w:r>
        <w:rPr>
          <w:rFonts w:hint="eastAsia" w:ascii="宋体" w:hAnsi="宋体" w:eastAsia="宋体" w:cs="宋体"/>
          <w:sz w:val="28"/>
          <w:szCs w:val="28"/>
          <w:lang w:val="en-US" w:eastAsia="zh-CN"/>
        </w:rPr>
        <w:t>98.15</w:t>
      </w:r>
      <w:r>
        <w:rPr>
          <w:rFonts w:hint="eastAsia" w:ascii="宋体" w:hAnsi="宋体" w:eastAsia="宋体" w:cs="宋体"/>
          <w:sz w:val="28"/>
          <w:szCs w:val="28"/>
        </w:rPr>
        <w:t>万元，工会经费0.9</w:t>
      </w:r>
      <w:r>
        <w:rPr>
          <w:rFonts w:hint="eastAsia" w:ascii="宋体" w:hAnsi="宋体" w:eastAsia="宋体" w:cs="宋体"/>
          <w:sz w:val="28"/>
          <w:szCs w:val="28"/>
          <w:lang w:val="en-US" w:eastAsia="zh-CN"/>
        </w:rPr>
        <w:t>3</w:t>
      </w:r>
      <w:r>
        <w:rPr>
          <w:rFonts w:hint="eastAsia" w:ascii="宋体" w:hAnsi="宋体" w:eastAsia="宋体" w:cs="宋体"/>
          <w:sz w:val="28"/>
          <w:szCs w:val="28"/>
        </w:rPr>
        <w:t>万元，公务</w:t>
      </w:r>
      <w:r>
        <w:rPr>
          <w:rFonts w:hint="eastAsia" w:ascii="宋体" w:hAnsi="宋体" w:eastAsia="宋体" w:cs="宋体"/>
          <w:bCs/>
          <w:sz w:val="28"/>
          <w:szCs w:val="28"/>
        </w:rPr>
        <w:t>用车运行维护费2.0万元，其他交通费用</w:t>
      </w:r>
      <w:r>
        <w:rPr>
          <w:rFonts w:hint="eastAsia" w:ascii="宋体" w:hAnsi="宋体" w:eastAsia="宋体" w:cs="宋体"/>
          <w:bCs/>
          <w:sz w:val="28"/>
          <w:szCs w:val="28"/>
          <w:lang w:val="en-US" w:eastAsia="zh-CN"/>
        </w:rPr>
        <w:t>5.46</w:t>
      </w:r>
      <w:r>
        <w:rPr>
          <w:rFonts w:hint="eastAsia" w:ascii="宋体" w:hAnsi="宋体" w:eastAsia="宋体" w:cs="宋体"/>
          <w:bCs/>
          <w:sz w:val="28"/>
          <w:szCs w:val="28"/>
        </w:rPr>
        <w:t>万元，</w:t>
      </w:r>
      <w:r>
        <w:rPr>
          <w:rFonts w:hint="eastAsia" w:ascii="宋体" w:hAnsi="宋体" w:eastAsia="宋体" w:cs="宋体"/>
          <w:bCs/>
          <w:sz w:val="28"/>
          <w:szCs w:val="28"/>
          <w:lang w:eastAsia="zh-CN"/>
        </w:rPr>
        <w:t>福利费</w:t>
      </w:r>
      <w:r>
        <w:rPr>
          <w:rFonts w:hint="eastAsia" w:ascii="宋体" w:hAnsi="宋体" w:eastAsia="宋体" w:cs="宋体"/>
          <w:bCs/>
          <w:sz w:val="28"/>
          <w:szCs w:val="28"/>
          <w:lang w:val="en-US" w:eastAsia="zh-CN"/>
        </w:rPr>
        <w:t>2.93万元，</w:t>
      </w:r>
      <w:r>
        <w:rPr>
          <w:rFonts w:hint="eastAsia" w:ascii="宋体" w:hAnsi="宋体" w:eastAsia="宋体" w:cs="宋体"/>
          <w:bCs/>
          <w:sz w:val="28"/>
          <w:szCs w:val="28"/>
        </w:rPr>
        <w:t>其他商品和服务支出</w:t>
      </w:r>
      <w:r>
        <w:rPr>
          <w:rFonts w:hint="eastAsia" w:ascii="宋体" w:hAnsi="宋体" w:eastAsia="宋体" w:cs="宋体"/>
          <w:bCs/>
          <w:sz w:val="28"/>
          <w:szCs w:val="28"/>
          <w:lang w:val="en-US" w:eastAsia="zh-CN"/>
        </w:rPr>
        <w:t>0.52</w:t>
      </w:r>
      <w:r>
        <w:rPr>
          <w:rFonts w:hint="eastAsia" w:ascii="宋体" w:hAnsi="宋体" w:eastAsia="宋体" w:cs="宋体"/>
          <w:bCs/>
          <w:sz w:val="28"/>
          <w:szCs w:val="28"/>
        </w:rPr>
        <w:t>万元。</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本年公用经费比上年</w:t>
      </w:r>
      <w:r>
        <w:rPr>
          <w:rFonts w:hint="eastAsia" w:ascii="宋体" w:hAnsi="宋体" w:eastAsia="宋体" w:cs="宋体"/>
          <w:sz w:val="28"/>
          <w:szCs w:val="28"/>
          <w:lang w:eastAsia="zh-CN"/>
        </w:rPr>
        <w:t>增加</w:t>
      </w:r>
      <w:r>
        <w:rPr>
          <w:rFonts w:hint="eastAsia" w:ascii="宋体" w:hAnsi="宋体" w:eastAsia="宋体" w:cs="宋体"/>
          <w:sz w:val="28"/>
          <w:szCs w:val="28"/>
          <w:lang w:val="en-US" w:eastAsia="zh-CN"/>
        </w:rPr>
        <w:t>1.2</w:t>
      </w:r>
      <w:r>
        <w:rPr>
          <w:rFonts w:hint="eastAsia" w:ascii="宋体" w:hAnsi="宋体" w:eastAsia="宋体" w:cs="宋体"/>
          <w:sz w:val="28"/>
          <w:szCs w:val="28"/>
        </w:rPr>
        <w:t>万元，原因是：</w:t>
      </w:r>
      <w:r>
        <w:rPr>
          <w:rFonts w:hint="eastAsia" w:ascii="宋体" w:hAnsi="宋体" w:eastAsia="宋体" w:cs="宋体"/>
          <w:sz w:val="28"/>
          <w:szCs w:val="28"/>
          <w:lang w:eastAsia="zh-CN"/>
        </w:rPr>
        <w:t>新增</w:t>
      </w:r>
      <w:r>
        <w:rPr>
          <w:rFonts w:hint="eastAsia" w:ascii="宋体" w:hAnsi="宋体" w:eastAsia="宋体" w:cs="宋体"/>
          <w:sz w:val="28"/>
          <w:szCs w:val="28"/>
          <w:lang w:val="en-US" w:eastAsia="zh-CN"/>
        </w:rPr>
        <w:t>1名公务员，交通补贴增加</w:t>
      </w:r>
      <w:r>
        <w:rPr>
          <w:rFonts w:hint="eastAsia" w:ascii="宋体" w:hAnsi="宋体" w:eastAsia="宋体" w:cs="宋体"/>
          <w:sz w:val="28"/>
          <w:szCs w:val="28"/>
        </w:rPr>
        <w:t>。</w:t>
      </w:r>
    </w:p>
    <w:p>
      <w:pPr>
        <w:keepNext w:val="0"/>
        <w:keepLines w:val="0"/>
        <w:pageBreakBefore w:val="0"/>
        <w:numPr>
          <w:ilvl w:val="0"/>
          <w:numId w:val="1"/>
        </w:numPr>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财政拨款“三公”经费预算情况及增减变化原因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kern w:val="0"/>
          <w:sz w:val="28"/>
          <w:szCs w:val="28"/>
          <w:lang w:bidi="ar"/>
        </w:rPr>
      </w:pPr>
      <w:r>
        <w:rPr>
          <w:rFonts w:hint="eastAsia" w:ascii="宋体" w:hAnsi="宋体" w:eastAsia="宋体" w:cs="宋体"/>
          <w:sz w:val="28"/>
          <w:szCs w:val="28"/>
        </w:rPr>
        <w:t>本年度“三公”经费支出预算</w:t>
      </w:r>
      <w:r>
        <w:rPr>
          <w:rFonts w:hint="eastAsia" w:ascii="宋体" w:hAnsi="宋体" w:eastAsia="宋体" w:cs="宋体"/>
          <w:sz w:val="28"/>
          <w:szCs w:val="28"/>
          <w:lang w:val="en-US" w:eastAsia="zh-CN"/>
        </w:rPr>
        <w:t>2.6</w:t>
      </w:r>
      <w:r>
        <w:rPr>
          <w:rFonts w:hint="eastAsia" w:ascii="宋体" w:hAnsi="宋体" w:eastAsia="宋体" w:cs="宋体"/>
          <w:sz w:val="28"/>
          <w:szCs w:val="28"/>
        </w:rPr>
        <w:t>万元，比上年</w:t>
      </w:r>
      <w:r>
        <w:rPr>
          <w:rFonts w:hint="eastAsia" w:ascii="宋体" w:hAnsi="宋体" w:eastAsia="宋体" w:cs="宋体"/>
          <w:sz w:val="28"/>
          <w:szCs w:val="28"/>
          <w:lang w:eastAsia="zh-CN"/>
        </w:rPr>
        <w:t>减少</w:t>
      </w:r>
      <w:r>
        <w:rPr>
          <w:rFonts w:hint="eastAsia" w:ascii="宋体" w:hAnsi="宋体" w:eastAsia="宋体" w:cs="宋体"/>
          <w:sz w:val="28"/>
          <w:szCs w:val="28"/>
          <w:lang w:val="en-US" w:eastAsia="zh-CN"/>
        </w:rPr>
        <w:t>0.3</w:t>
      </w:r>
      <w:r>
        <w:rPr>
          <w:rFonts w:hint="eastAsia" w:ascii="宋体" w:hAnsi="宋体" w:eastAsia="宋体" w:cs="宋体"/>
          <w:sz w:val="28"/>
          <w:szCs w:val="28"/>
        </w:rPr>
        <w:t>万元，其中：</w:t>
      </w:r>
      <w:r>
        <w:rPr>
          <w:rFonts w:hint="eastAsia" w:ascii="宋体" w:hAnsi="宋体" w:eastAsia="宋体" w:cs="宋体"/>
          <w:bCs/>
          <w:sz w:val="28"/>
          <w:szCs w:val="28"/>
        </w:rPr>
        <w:t>公务用车运行维护费</w:t>
      </w:r>
      <w:r>
        <w:rPr>
          <w:rFonts w:hint="eastAsia" w:ascii="宋体" w:hAnsi="宋体" w:eastAsia="宋体" w:cs="宋体"/>
          <w:sz w:val="28"/>
          <w:szCs w:val="28"/>
        </w:rPr>
        <w:t>2.0万元，与上年持平，</w:t>
      </w:r>
      <w:r>
        <w:rPr>
          <w:rFonts w:hint="eastAsia" w:ascii="宋体" w:hAnsi="宋体" w:eastAsia="宋体" w:cs="宋体"/>
          <w:kern w:val="0"/>
          <w:sz w:val="28"/>
          <w:szCs w:val="28"/>
          <w:lang w:bidi="ar"/>
        </w:rPr>
        <w:t>公务接待费</w:t>
      </w:r>
      <w:r>
        <w:rPr>
          <w:rFonts w:hint="eastAsia" w:ascii="宋体" w:hAnsi="宋体" w:eastAsia="宋体" w:cs="宋体"/>
          <w:kern w:val="0"/>
          <w:sz w:val="28"/>
          <w:szCs w:val="28"/>
          <w:lang w:val="en-US" w:eastAsia="zh-CN" w:bidi="ar"/>
        </w:rPr>
        <w:t>0.6</w:t>
      </w:r>
      <w:r>
        <w:rPr>
          <w:rFonts w:hint="eastAsia" w:ascii="宋体" w:hAnsi="宋体" w:eastAsia="宋体" w:cs="宋体"/>
          <w:kern w:val="0"/>
          <w:sz w:val="28"/>
          <w:szCs w:val="28"/>
          <w:lang w:bidi="ar"/>
        </w:rPr>
        <w:t>万元，比上年</w:t>
      </w:r>
      <w:r>
        <w:rPr>
          <w:rFonts w:hint="eastAsia" w:ascii="宋体" w:hAnsi="宋体" w:eastAsia="宋体" w:cs="宋体"/>
          <w:kern w:val="0"/>
          <w:sz w:val="28"/>
          <w:szCs w:val="28"/>
          <w:lang w:eastAsia="zh-CN" w:bidi="ar"/>
        </w:rPr>
        <w:t>减少</w:t>
      </w:r>
      <w:r>
        <w:rPr>
          <w:rFonts w:hint="eastAsia" w:ascii="宋体" w:hAnsi="宋体" w:eastAsia="宋体" w:cs="宋体"/>
          <w:kern w:val="0"/>
          <w:sz w:val="28"/>
          <w:szCs w:val="28"/>
          <w:lang w:val="en-US" w:eastAsia="zh-CN" w:bidi="ar"/>
        </w:rPr>
        <w:t>0.3</w:t>
      </w:r>
      <w:r>
        <w:rPr>
          <w:rFonts w:hint="eastAsia" w:ascii="宋体" w:hAnsi="宋体" w:eastAsia="宋体" w:cs="宋体"/>
          <w:kern w:val="0"/>
          <w:sz w:val="28"/>
          <w:szCs w:val="28"/>
          <w:lang w:bidi="ar"/>
        </w:rPr>
        <w:t>万元，因公出国支出未做预算安排。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会议费预算</w:t>
      </w:r>
      <w:r>
        <w:rPr>
          <w:rFonts w:hint="eastAsia" w:ascii="宋体" w:hAnsi="宋体" w:eastAsia="宋体" w:cs="宋体"/>
          <w:sz w:val="28"/>
          <w:szCs w:val="28"/>
          <w:lang w:val="en-US" w:eastAsia="zh-CN"/>
        </w:rPr>
        <w:t>0.6</w:t>
      </w:r>
      <w:r>
        <w:rPr>
          <w:rFonts w:hint="eastAsia" w:ascii="宋体" w:hAnsi="宋体" w:eastAsia="宋体" w:cs="宋体"/>
          <w:sz w:val="28"/>
          <w:szCs w:val="28"/>
        </w:rPr>
        <w:t>万元，培训费预算</w:t>
      </w:r>
      <w:r>
        <w:rPr>
          <w:rFonts w:hint="eastAsia" w:ascii="宋体" w:hAnsi="宋体" w:eastAsia="宋体" w:cs="宋体"/>
          <w:sz w:val="28"/>
          <w:szCs w:val="28"/>
          <w:lang w:val="en-US" w:eastAsia="zh-CN"/>
        </w:rPr>
        <w:t>0.7</w:t>
      </w:r>
      <w:r>
        <w:rPr>
          <w:rFonts w:hint="eastAsia" w:ascii="宋体" w:hAnsi="宋体" w:eastAsia="宋体" w:cs="宋体"/>
          <w:sz w:val="28"/>
          <w:szCs w:val="28"/>
        </w:rPr>
        <w:t>万元，其中：抽样调查</w:t>
      </w:r>
      <w:r>
        <w:rPr>
          <w:rFonts w:hint="eastAsia" w:ascii="宋体" w:hAnsi="宋体" w:eastAsia="宋体" w:cs="宋体"/>
          <w:sz w:val="28"/>
          <w:szCs w:val="28"/>
          <w:lang w:val="en-US" w:eastAsia="zh-CN"/>
        </w:rPr>
        <w:t>4</w:t>
      </w:r>
      <w:r>
        <w:rPr>
          <w:rFonts w:hint="eastAsia" w:ascii="宋体" w:hAnsi="宋体" w:eastAsia="宋体" w:cs="宋体"/>
          <w:sz w:val="28"/>
          <w:szCs w:val="28"/>
        </w:rPr>
        <w:t>次会议</w:t>
      </w:r>
      <w:r>
        <w:rPr>
          <w:rFonts w:hint="eastAsia" w:ascii="宋体" w:hAnsi="宋体" w:eastAsia="宋体" w:cs="宋体"/>
          <w:sz w:val="28"/>
          <w:szCs w:val="28"/>
          <w:lang w:val="en-US" w:eastAsia="zh-CN"/>
        </w:rPr>
        <w:t>120</w:t>
      </w:r>
      <w:r>
        <w:rPr>
          <w:rFonts w:hint="eastAsia" w:ascii="宋体" w:hAnsi="宋体" w:eastAsia="宋体" w:cs="宋体"/>
          <w:sz w:val="28"/>
          <w:szCs w:val="28"/>
        </w:rPr>
        <w:t>人次，共计0.</w:t>
      </w:r>
      <w:r>
        <w:rPr>
          <w:rFonts w:hint="eastAsia" w:ascii="宋体" w:hAnsi="宋体" w:eastAsia="宋体" w:cs="宋体"/>
          <w:sz w:val="28"/>
          <w:szCs w:val="28"/>
          <w:lang w:val="en-US" w:eastAsia="zh-CN"/>
        </w:rPr>
        <w:t>6</w:t>
      </w:r>
      <w:r>
        <w:rPr>
          <w:rFonts w:hint="eastAsia" w:ascii="宋体" w:hAnsi="宋体" w:eastAsia="宋体" w:cs="宋体"/>
          <w:sz w:val="28"/>
          <w:szCs w:val="28"/>
        </w:rPr>
        <w:t>万元；5次培训，</w:t>
      </w:r>
      <w:r>
        <w:rPr>
          <w:rFonts w:hint="eastAsia" w:ascii="宋体" w:hAnsi="宋体" w:eastAsia="宋体" w:cs="宋体"/>
          <w:sz w:val="28"/>
          <w:szCs w:val="28"/>
          <w:lang w:val="en-US" w:eastAsia="zh-CN"/>
        </w:rPr>
        <w:t>150</w:t>
      </w:r>
      <w:r>
        <w:rPr>
          <w:rFonts w:hint="eastAsia" w:ascii="宋体" w:hAnsi="宋体" w:eastAsia="宋体" w:cs="宋体"/>
          <w:sz w:val="28"/>
          <w:szCs w:val="28"/>
        </w:rPr>
        <w:t>人次，共计</w:t>
      </w:r>
      <w:r>
        <w:rPr>
          <w:rFonts w:hint="eastAsia" w:ascii="宋体" w:hAnsi="宋体" w:eastAsia="宋体" w:cs="宋体"/>
          <w:sz w:val="28"/>
          <w:szCs w:val="28"/>
          <w:lang w:val="en-US" w:eastAsia="zh-CN"/>
        </w:rPr>
        <w:t>0.7</w:t>
      </w:r>
      <w:r>
        <w:rPr>
          <w:rFonts w:hint="eastAsia" w:ascii="宋体" w:hAnsi="宋体" w:eastAsia="宋体" w:cs="宋体"/>
          <w:sz w:val="28"/>
          <w:szCs w:val="28"/>
        </w:rPr>
        <w:t>万元。</w:t>
      </w:r>
    </w:p>
    <w:p>
      <w:pPr>
        <w:numPr>
          <w:ilvl w:val="0"/>
          <w:numId w:val="0"/>
        </w:numPr>
        <w:spacing w:before="10" w:after="10"/>
        <w:outlineLvl w:val="5"/>
        <w:rPr>
          <w:rFonts w:hint="eastAsia" w:ascii="宋体" w:hAnsi="宋体" w:eastAsia="宋体" w:cs="宋体"/>
          <w:color w:val="000000"/>
          <w:sz w:val="28"/>
          <w:szCs w:val="28"/>
        </w:rPr>
      </w:pPr>
    </w:p>
    <w:tbl>
      <w:tblPr>
        <w:tblStyle w:val="8"/>
        <w:tblW w:w="0" w:type="auto"/>
        <w:tblInd w:w="782" w:type="dxa"/>
        <w:tblLayout w:type="fixed"/>
        <w:tblCellMar>
          <w:top w:w="0" w:type="dxa"/>
          <w:left w:w="108" w:type="dxa"/>
          <w:bottom w:w="0" w:type="dxa"/>
          <w:right w:w="108" w:type="dxa"/>
        </w:tblCellMar>
      </w:tblPr>
      <w:tblGrid>
        <w:gridCol w:w="3045"/>
        <w:gridCol w:w="2250"/>
        <w:gridCol w:w="2055"/>
        <w:gridCol w:w="2115"/>
        <w:gridCol w:w="4470"/>
      </w:tblGrid>
      <w:tr>
        <w:tblPrEx>
          <w:tblCellMar>
            <w:top w:w="0" w:type="dxa"/>
            <w:left w:w="108" w:type="dxa"/>
            <w:bottom w:w="0" w:type="dxa"/>
            <w:right w:w="108" w:type="dxa"/>
          </w:tblCellMar>
        </w:tblPrEx>
        <w:trPr>
          <w:trHeight w:val="221" w:hRule="atLeast"/>
        </w:trPr>
        <w:tc>
          <w:tcPr>
            <w:tcW w:w="3045" w:type="dxa"/>
            <w:tcBorders>
              <w:top w:val="nil"/>
              <w:left w:val="nil"/>
              <w:bottom w:val="nil"/>
              <w:right w:val="nil"/>
            </w:tcBorders>
            <w:vAlign w:val="center"/>
          </w:tcPr>
          <w:p>
            <w:pPr>
              <w:rPr>
                <w:rFonts w:hint="eastAsia" w:ascii="宋体" w:hAnsi="宋体" w:eastAsia="宋体" w:cs="宋体"/>
                <w:sz w:val="28"/>
                <w:szCs w:val="28"/>
              </w:rPr>
            </w:pPr>
          </w:p>
        </w:tc>
        <w:tc>
          <w:tcPr>
            <w:tcW w:w="2250" w:type="dxa"/>
            <w:tcBorders>
              <w:top w:val="nil"/>
              <w:left w:val="nil"/>
              <w:bottom w:val="nil"/>
              <w:right w:val="nil"/>
            </w:tcBorders>
            <w:vAlign w:val="center"/>
          </w:tcPr>
          <w:p>
            <w:pPr>
              <w:rPr>
                <w:rFonts w:hint="eastAsia" w:ascii="宋体" w:hAnsi="宋体" w:eastAsia="宋体" w:cs="宋体"/>
                <w:sz w:val="28"/>
                <w:szCs w:val="28"/>
              </w:rPr>
            </w:pPr>
          </w:p>
        </w:tc>
        <w:tc>
          <w:tcPr>
            <w:tcW w:w="2055" w:type="dxa"/>
            <w:tcBorders>
              <w:top w:val="nil"/>
              <w:left w:val="nil"/>
              <w:bottom w:val="nil"/>
              <w:right w:val="nil"/>
            </w:tcBorders>
            <w:vAlign w:val="center"/>
          </w:tcPr>
          <w:p>
            <w:pPr>
              <w:rPr>
                <w:rFonts w:hint="eastAsia" w:ascii="宋体" w:hAnsi="宋体" w:eastAsia="宋体" w:cs="宋体"/>
                <w:sz w:val="28"/>
                <w:szCs w:val="28"/>
              </w:rPr>
            </w:pPr>
          </w:p>
        </w:tc>
        <w:tc>
          <w:tcPr>
            <w:tcW w:w="2115" w:type="dxa"/>
            <w:tcBorders>
              <w:top w:val="nil"/>
              <w:left w:val="nil"/>
              <w:bottom w:val="nil"/>
              <w:right w:val="nil"/>
            </w:tcBorders>
            <w:vAlign w:val="center"/>
          </w:tcPr>
          <w:p>
            <w:pPr>
              <w:rPr>
                <w:rFonts w:hint="eastAsia" w:ascii="宋体" w:hAnsi="宋体" w:eastAsia="宋体" w:cs="宋体"/>
                <w:sz w:val="28"/>
                <w:szCs w:val="28"/>
              </w:rPr>
            </w:pPr>
          </w:p>
        </w:tc>
        <w:tc>
          <w:tcPr>
            <w:tcW w:w="4470" w:type="dxa"/>
            <w:tcBorders>
              <w:top w:val="nil"/>
              <w:left w:val="nil"/>
              <w:bottom w:val="nil"/>
              <w:right w:val="nil"/>
            </w:tcBorders>
            <w:vAlign w:val="center"/>
          </w:tcPr>
          <w:p>
            <w:pPr>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CellMar>
            <w:top w:w="0" w:type="dxa"/>
            <w:left w:w="108" w:type="dxa"/>
            <w:bottom w:w="0" w:type="dxa"/>
            <w:right w:w="108" w:type="dxa"/>
          </w:tblCellMar>
        </w:tblPrEx>
        <w:trPr>
          <w:trHeight w:val="567" w:hRule="atLeast"/>
        </w:trPr>
        <w:tc>
          <w:tcPr>
            <w:tcW w:w="3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2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eastAsia="zh-CN"/>
              </w:rPr>
              <w:t>1</w:t>
            </w:r>
            <w:r>
              <w:rPr>
                <w:rFonts w:hint="eastAsia" w:ascii="宋体" w:hAnsi="宋体" w:eastAsia="宋体" w:cs="宋体"/>
                <w:sz w:val="24"/>
                <w:szCs w:val="24"/>
              </w:rPr>
              <w:t>年度预算</w:t>
            </w:r>
          </w:p>
        </w:tc>
        <w:tc>
          <w:tcPr>
            <w:tcW w:w="205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eastAsia="zh-CN"/>
              </w:rPr>
              <w:t>2</w:t>
            </w:r>
            <w:r>
              <w:rPr>
                <w:rFonts w:hint="eastAsia" w:ascii="宋体" w:hAnsi="宋体" w:eastAsia="宋体" w:cs="宋体"/>
                <w:sz w:val="24"/>
                <w:szCs w:val="24"/>
              </w:rPr>
              <w:t>年度预算</w:t>
            </w:r>
          </w:p>
        </w:tc>
        <w:tc>
          <w:tcPr>
            <w:tcW w:w="21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增减金额</w:t>
            </w:r>
          </w:p>
        </w:tc>
        <w:tc>
          <w:tcPr>
            <w:tcW w:w="44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变化原因</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因公出国经费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公务用车购置经费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公务用车运行经费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公务接待费支出</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0.6</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0.9</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shd w:val="clear" w:color="auto" w:fill="auto"/>
                <w:lang w:val="en-US" w:eastAsia="zh-CN"/>
              </w:rPr>
              <w:t>-0.3</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按要求压减开支</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合计</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rPr>
            </w:pPr>
            <w:r>
              <w:rPr>
                <w:rFonts w:hint="eastAsia" w:ascii="宋体" w:hAnsi="宋体" w:eastAsia="宋体" w:cs="宋体"/>
                <w:kern w:val="0"/>
                <w:sz w:val="24"/>
                <w:szCs w:val="24"/>
                <w:lang w:val="en-US" w:eastAsia="zh-CN"/>
              </w:rPr>
              <w:t>2.6</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lang w:val="en-US" w:eastAsia="zh-CN"/>
              </w:rPr>
              <w:t>2.9</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shd w:val="clear" w:color="auto" w:fill="auto"/>
                <w:lang w:val="en-US" w:eastAsia="zh-CN"/>
              </w:rPr>
              <w:t>-0.3</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rPr>
            </w:pPr>
            <w:r>
              <w:rPr>
                <w:rFonts w:hint="eastAsia" w:ascii="宋体" w:hAnsi="宋体" w:eastAsia="宋体" w:cs="宋体"/>
                <w:sz w:val="24"/>
                <w:szCs w:val="24"/>
                <w:lang w:eastAsia="zh-CN"/>
              </w:rPr>
              <w:t>按要求压减开支</w:t>
            </w:r>
          </w:p>
        </w:tc>
      </w:tr>
    </w:tbl>
    <w:p>
      <w:pPr>
        <w:pStyle w:val="33"/>
      </w:pPr>
    </w:p>
    <w:p>
      <w:pPr>
        <w:spacing w:before="10" w:after="10"/>
        <w:ind w:firstLine="640"/>
        <w:outlineLvl w:val="5"/>
        <w:rPr>
          <w:rFonts w:hint="eastAsia" w:ascii="黑体" w:hAnsi="黑体" w:eastAsia="黑体" w:cs="黑体"/>
          <w:color w:val="000000"/>
          <w:sz w:val="32"/>
        </w:rPr>
      </w:pPr>
    </w:p>
    <w:p>
      <w:pPr>
        <w:spacing w:before="0" w:beforeLines="0" w:after="0" w:afterLines="0"/>
        <w:ind w:firstLine="560"/>
        <w:jc w:val="left"/>
        <w:outlineLvl w:val="3"/>
        <w:rPr>
          <w:rFonts w:hint="eastAsia" w:ascii="黑体" w:hAnsi="黑体" w:eastAsia="黑体" w:cs="黑体"/>
          <w:color w:val="000000"/>
          <w:sz w:val="28"/>
          <w:lang w:eastAsia="zh-CN"/>
        </w:rPr>
      </w:pPr>
      <w:bookmarkStart w:id="1" w:name="_Toc_4_4_0000000004"/>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p>
    <w:p>
      <w:pPr>
        <w:spacing w:before="0" w:beforeLines="0" w:after="0" w:afterLines="0"/>
        <w:ind w:firstLine="560"/>
        <w:jc w:val="left"/>
        <w:outlineLvl w:val="3"/>
        <w:rPr>
          <w:rFonts w:hint="eastAsia" w:ascii="黑体" w:hAnsi="黑体" w:eastAsia="黑体" w:cs="黑体"/>
          <w:color w:val="000000"/>
          <w:sz w:val="28"/>
          <w:lang w:eastAsia="zh-CN"/>
        </w:rPr>
      </w:pPr>
      <w:r>
        <w:rPr>
          <w:rFonts w:hint="eastAsia" w:ascii="黑体" w:hAnsi="黑体" w:eastAsia="黑体" w:cs="黑体"/>
          <w:color w:val="000000"/>
          <w:sz w:val="28"/>
          <w:lang w:eastAsia="zh-CN"/>
        </w:rPr>
        <w:t>五、预算绩效信息</w:t>
      </w:r>
    </w:p>
    <w:bookmarkEnd w:id="1"/>
    <w:p>
      <w:bookmarkStart w:id="2" w:name="_Toc62804914"/>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《统计年鉴》印刷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1.收集整理2021年统计数据，2022年7--9月完成编辑.印刷.发行工作,保持统计资料连续性达到可对外公布需求.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60" w:lineRule="exact"/>
              <w:textAlignment w:val="auto"/>
            </w:pPr>
            <w:r>
              <w:t>产出指标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统计公报/统计年鉴数据或文字差</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方正书宋_GBK" w:hAnsi="方正书宋_GBK" w:eastAsia="方正书宋_GBK" w:cs="方正书宋_GBK"/>
                <w:sz w:val="21"/>
                <w:szCs w:val="24"/>
                <w:lang w:val="en-US" w:eastAsia="zh-CN" w:bidi="ar-SA"/>
              </w:rPr>
            </w:pPr>
            <w:r>
              <w:t>统计公报/统计年鉴数据或文字差错率</w:t>
            </w:r>
            <w:r>
              <w:rPr>
                <w:rFonts w:hint="eastAsia"/>
                <w:lang w:eastAsia="zh-CN"/>
              </w:rPr>
              <w:t>小于</w:t>
            </w:r>
            <w:r>
              <w:rPr>
                <w:rFonts w:hint="eastAsia"/>
                <w:lang w:val="en-US" w:eastAsia="zh-CN"/>
              </w:rPr>
              <w:t>10%</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≤10百分比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印刷合格率</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方正书宋_GBK" w:hAnsi="方正书宋_GBK" w:eastAsia="方正书宋_GBK" w:cs="方正书宋_GBK"/>
                <w:sz w:val="21"/>
                <w:szCs w:val="24"/>
                <w:lang w:val="en-US" w:eastAsia="zh-CN" w:bidi="ar-SA"/>
              </w:rPr>
            </w:pPr>
            <w:r>
              <w:t>印刷合格率</w:t>
            </w:r>
            <w:r>
              <w:rPr>
                <w:rFonts w:hint="eastAsia"/>
                <w:lang w:eastAsia="zh-CN"/>
              </w:rPr>
              <w:t>大于</w:t>
            </w:r>
            <w:r>
              <w:t>95</w:t>
            </w:r>
            <w:r>
              <w:rPr>
                <w:rFonts w:hint="eastAsia"/>
                <w:lang w:val="en-US" w:eastAsia="zh-CN"/>
              </w:rPr>
              <w:t>%</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按时完成印刷任务</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按时完成印刷任务良好</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良好</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按时交付统计局使用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印刷成本</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编印年鉴的单册成本</w:t>
            </w:r>
            <w:r>
              <w:rPr>
                <w:rFonts w:hint="eastAsia"/>
                <w:lang w:val="en-US" w:eastAsia="zh-CN"/>
              </w:rPr>
              <w:t>100</w:t>
            </w:r>
            <w:r>
              <w:t>元</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3万元</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pageBreakBefore w:val="0"/>
              <w:widowControl w:val="0"/>
              <w:kinsoku/>
              <w:wordWrap/>
              <w:overflowPunct/>
              <w:topLinePunct w:val="0"/>
              <w:autoSpaceDE/>
              <w:autoSpaceDN/>
              <w:bidi w:val="0"/>
              <w:adjustRightInd/>
              <w:snapToGrid/>
              <w:spacing w:line="260" w:lineRule="exact"/>
              <w:textAlignment w:val="auto"/>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可持续影响指标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长期使用性</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能够长期使用年鉴数据</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良好</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保障数据的连续性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pageBreakBefore w:val="0"/>
              <w:widowControl w:val="0"/>
              <w:kinsoku/>
              <w:wordWrap/>
              <w:overflowPunct/>
              <w:topLinePunct w:val="0"/>
              <w:autoSpaceDE/>
              <w:autoSpaceDN/>
              <w:bidi w:val="0"/>
              <w:adjustRightInd/>
              <w:snapToGrid/>
              <w:spacing w:line="260" w:lineRule="exact"/>
              <w:textAlignment w:val="auto"/>
            </w:pPr>
            <w:r>
              <w:t>满意度指标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方正书宋_GBK" w:hAnsi="方正书宋_GBK" w:eastAsia="方正书宋_GBK" w:cs="方正书宋_GBK"/>
                <w:sz w:val="21"/>
                <w:szCs w:val="24"/>
                <w:lang w:val="en-US" w:eastAsia="zh-CN" w:bidi="ar-SA"/>
              </w:rPr>
            </w:pPr>
            <w:r>
              <w:t>根据服务单位综合评价结果评分</w:t>
            </w:r>
            <w:r>
              <w:rPr>
                <w:rFonts w:hint="eastAsia"/>
                <w:lang w:eastAsia="zh-CN"/>
              </w:rPr>
              <w:t>大于</w:t>
            </w:r>
            <w:r>
              <w:rPr>
                <w:rFonts w:hint="eastAsia"/>
                <w:lang w:val="en-US" w:eastAsia="zh-CN"/>
              </w:rPr>
              <w:t>95%</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数据的可靠性</w:t>
            </w:r>
          </w:p>
        </w:tc>
      </w:tr>
    </w:tbl>
    <w:p>
      <w:pPr>
        <w:sectPr>
          <w:type w:val="continuous"/>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第七次全国人口普查经费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1.根据省市要求，完成普查数据的开发利用，为政府提供可靠数据来源。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印刷册数250本</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完成印刷册数</w:t>
            </w:r>
            <w:r>
              <w:rPr>
                <w:rFonts w:hint="eastAsia"/>
                <w:lang w:eastAsia="zh-CN"/>
              </w:rPr>
              <w:t>大于等于</w:t>
            </w:r>
            <w:r>
              <w:rPr>
                <w:rFonts w:hint="eastAsia"/>
                <w:lang w:val="en-US" w:eastAsia="zh-CN"/>
              </w:rPr>
              <w:t>250本</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≥250本</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完成印刷数量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文件印刷合格率</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方正书宋_GBK"/>
                <w:lang w:eastAsia="zh-CN"/>
              </w:rPr>
            </w:pPr>
            <w:r>
              <w:t>文件印刷合格率100</w:t>
            </w:r>
            <w:r>
              <w:rPr>
                <w:rFonts w:hint="eastAsia"/>
                <w:lang w:val="en-US" w:eastAsia="zh-CN"/>
              </w:rPr>
              <w:t>%</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100百分比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完成印刷册数的质量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按时完成印刷任务</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按时完成印刷任务按规定时间交付</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按规定时间交付</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按规定时间交付的日期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成本控制率(%)</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成本控制率</w:t>
            </w:r>
            <w:r>
              <w:rPr>
                <w:rFonts w:hint="eastAsia"/>
                <w:lang w:eastAsia="zh-CN"/>
              </w:rPr>
              <w:t>大于</w:t>
            </w:r>
            <w:r>
              <w:rPr>
                <w:rFonts w:hint="eastAsia"/>
                <w:lang w:val="en-US" w:eastAsia="zh-CN"/>
              </w:rPr>
              <w:t>95%</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社会效益指标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数据共享率（%）</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数据共享率</w:t>
            </w:r>
            <w:r>
              <w:rPr>
                <w:rFonts w:hint="eastAsia"/>
                <w:lang w:eastAsia="zh-CN"/>
              </w:rPr>
              <w:t>大于等于</w:t>
            </w:r>
            <w:r>
              <w:rPr>
                <w:rFonts w:hint="eastAsia"/>
                <w:lang w:val="en-US" w:eastAsia="zh-CN"/>
              </w:rPr>
              <w:t>95%</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数据能够对外提供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提供科学数据单位满意度</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lang w:val="en-US"/>
              </w:rPr>
            </w:pPr>
            <w:r>
              <w:t>提供科学数据单位满意度</w:t>
            </w:r>
            <w:r>
              <w:rPr>
                <w:rFonts w:hint="eastAsia"/>
                <w:lang w:eastAsia="zh-CN"/>
              </w:rPr>
              <w:t>大于等于</w:t>
            </w:r>
            <w:r>
              <w:rPr>
                <w:rFonts w:hint="eastAsia"/>
                <w:lang w:val="en-US" w:eastAsia="zh-CN"/>
              </w:rPr>
              <w:t>95%</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入统企业统计报表人员工作补贴</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1.提高企业人员上报数据的积极性和准确性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完成统计工作数量</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规模以上企业数量118家</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118家</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规模以上企业数量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报送数据及时性</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是否按时按质报送数据</w:t>
            </w:r>
            <w:r>
              <w:rPr>
                <w:rFonts w:hint="eastAsia"/>
                <w:lang w:eastAsia="zh-CN"/>
              </w:rPr>
              <w:t>大于等于</w:t>
            </w:r>
            <w:r>
              <w:rPr>
                <w:rFonts w:hint="eastAsia"/>
                <w:lang w:val="en-US" w:eastAsia="zh-CN"/>
              </w:rPr>
              <w:t>95%</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完成上报数据的真实和及时性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工作任务完成及时率</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是否按时完成任务</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是否在规定时间内上报完成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预算控制数</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预算控制数7.08万元</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7.08万元</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经济效益指标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规模以上企业增加比例</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规模以上企业增加大于</w:t>
            </w:r>
            <w:r>
              <w:rPr>
                <w:rFonts w:hint="eastAsia"/>
                <w:lang w:eastAsia="zh-CN"/>
              </w:rPr>
              <w:t>等于</w:t>
            </w:r>
            <w:r>
              <w:rPr>
                <w:rFonts w:hint="eastAsia"/>
                <w:lang w:val="en-US" w:eastAsia="zh-CN"/>
              </w:rPr>
              <w:t>95%</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能否按时完成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企业满意度</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企业报表人员满意度</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统计工作专项经费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1.12万元于年底发放完毕,确保统计等各项工作的正常运转、职工满意度、高提高工作积极性。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数量指标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完成统计工作数量</w:t>
            </w:r>
          </w:p>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方正书宋_GBK"/>
                <w:lang w:val="en-US" w:eastAsia="zh-CN"/>
              </w:rPr>
            </w:pPr>
            <w:r>
              <w:t>是否各项统计工作</w:t>
            </w:r>
            <w:r>
              <w:rPr>
                <w:rFonts w:hint="eastAsia"/>
                <w:lang w:eastAsia="zh-CN"/>
              </w:rPr>
              <w:t>大于等于</w:t>
            </w:r>
            <w:r>
              <w:rPr>
                <w:rFonts w:hint="eastAsia"/>
                <w:lang w:val="en-US" w:eastAsia="zh-CN"/>
              </w:rPr>
              <w:t>95%</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完成各项统计工作任务量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业务工作完成率（%）</w:t>
            </w:r>
          </w:p>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方正书宋_GBK"/>
                <w:lang w:val="en-US" w:eastAsia="zh-CN"/>
              </w:rPr>
            </w:pPr>
            <w:r>
              <w:t>业务工作完成率</w:t>
            </w:r>
            <w:r>
              <w:rPr>
                <w:rFonts w:hint="eastAsia"/>
                <w:lang w:eastAsia="zh-CN"/>
              </w:rPr>
              <w:t>大于</w:t>
            </w:r>
            <w:r>
              <w:rPr>
                <w:rFonts w:hint="eastAsia"/>
                <w:lang w:val="en-US" w:eastAsia="zh-CN"/>
              </w:rPr>
              <w:t>90%</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≥90百分比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各项任务完成及时率（%）</w:t>
            </w:r>
          </w:p>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方正书宋_GBK"/>
                <w:lang w:val="en-US" w:eastAsia="zh-CN"/>
              </w:rPr>
            </w:pPr>
            <w:r>
              <w:t>各项任务完成及时率</w:t>
            </w:r>
            <w:r>
              <w:rPr>
                <w:rFonts w:hint="eastAsia"/>
                <w:lang w:eastAsia="zh-CN"/>
              </w:rPr>
              <w:t>大于等于</w:t>
            </w:r>
            <w:r>
              <w:rPr>
                <w:rFonts w:hint="eastAsia"/>
                <w:lang w:val="en-US" w:eastAsia="zh-CN"/>
              </w:rPr>
              <w:t>95%</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按时完成各项统计工作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预算控制数</w:t>
            </w:r>
          </w:p>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预算控制数12万</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12万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经济效益指标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保障机关单位正常运转</w:t>
            </w:r>
          </w:p>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保障机关单位正常运转良好</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良好</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保障机关正常办公秩序，保障机关正常运转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机关工作人员满意度（%）</w:t>
            </w:r>
          </w:p>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方正书宋_GBK"/>
                <w:lang w:val="en-US" w:eastAsia="zh-CN"/>
              </w:rPr>
            </w:pPr>
            <w:r>
              <w:t>机关工作人员满意度</w:t>
            </w:r>
            <w:r>
              <w:rPr>
                <w:rFonts w:hint="eastAsia"/>
                <w:lang w:eastAsia="zh-CN"/>
              </w:rPr>
              <w:t>大于等于</w:t>
            </w:r>
            <w:r>
              <w:rPr>
                <w:rFonts w:hint="eastAsia"/>
                <w:lang w:val="en-US" w:eastAsia="zh-CN"/>
              </w:rPr>
              <w:t>95%</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300" w:lineRule="exact"/>
              <w:textAlignment w:val="auto"/>
            </w:pPr>
            <w:r>
              <w:t>保障机关单位正常运转</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网络扩容线路费和乡镇统计专网电路使用费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1.每月按时交付县乡17条网络线路租用费，和网络扩容线路租用费，确保线路畅通，促进各项工作顺利开展。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网络和线路租赁数量</w:t>
            </w:r>
          </w:p>
          <w:p>
            <w:pPr>
              <w:pStyle w:val="17"/>
            </w:pPr>
          </w:p>
        </w:tc>
        <w:tc>
          <w:tcPr>
            <w:tcW w:w="2835" w:type="dxa"/>
            <w:vAlign w:val="center"/>
          </w:tcPr>
          <w:p>
            <w:pPr>
              <w:pStyle w:val="17"/>
            </w:pPr>
            <w:r>
              <w:t>租赁联通网络和线路数量17条</w:t>
            </w:r>
          </w:p>
        </w:tc>
        <w:tc>
          <w:tcPr>
            <w:tcW w:w="2551" w:type="dxa"/>
            <w:vAlign w:val="center"/>
          </w:tcPr>
          <w:p>
            <w:pPr>
              <w:pStyle w:val="17"/>
            </w:pPr>
            <w:r>
              <w:t>17条</w:t>
            </w:r>
          </w:p>
        </w:tc>
        <w:tc>
          <w:tcPr>
            <w:tcW w:w="2268" w:type="dxa"/>
            <w:vAlign w:val="center"/>
          </w:tcPr>
          <w:p>
            <w:pPr>
              <w:pStyle w:val="17"/>
            </w:pPr>
            <w:r>
              <w:t>租赁联通网络和线路数量17条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计算机通信网络正常运行保障率</w:t>
            </w:r>
          </w:p>
          <w:p>
            <w:pPr>
              <w:pStyle w:val="17"/>
            </w:pPr>
          </w:p>
        </w:tc>
        <w:tc>
          <w:tcPr>
            <w:tcW w:w="2835" w:type="dxa"/>
            <w:vAlign w:val="center"/>
          </w:tcPr>
          <w:p>
            <w:pPr>
              <w:pStyle w:val="17"/>
              <w:rPr>
                <w:rFonts w:hint="default" w:eastAsia="方正书宋_GBK"/>
                <w:lang w:val="en-US" w:eastAsia="zh-CN"/>
              </w:rPr>
            </w:pPr>
            <w:r>
              <w:t>计算机通信网络正常运行保障率</w:t>
            </w:r>
            <w:r>
              <w:rPr>
                <w:rFonts w:hint="eastAsia"/>
                <w:lang w:eastAsia="zh-CN"/>
              </w:rPr>
              <w:t>大于等于</w:t>
            </w:r>
            <w:r>
              <w:rPr>
                <w:rFonts w:hint="eastAsia"/>
                <w:lang w:val="en-US" w:eastAsia="zh-CN"/>
              </w:rPr>
              <w:t>95%</w:t>
            </w:r>
          </w:p>
        </w:tc>
        <w:tc>
          <w:tcPr>
            <w:tcW w:w="2551" w:type="dxa"/>
            <w:vAlign w:val="center"/>
          </w:tcPr>
          <w:p>
            <w:pPr>
              <w:pStyle w:val="17"/>
            </w:pPr>
            <w:r>
              <w:t>≥95百分比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网络连通率</w:t>
            </w:r>
          </w:p>
          <w:p>
            <w:pPr>
              <w:pStyle w:val="17"/>
            </w:pPr>
          </w:p>
        </w:tc>
        <w:tc>
          <w:tcPr>
            <w:tcW w:w="2835" w:type="dxa"/>
            <w:vAlign w:val="center"/>
          </w:tcPr>
          <w:p>
            <w:pPr>
              <w:pStyle w:val="17"/>
            </w:pPr>
            <w:r>
              <w:t>网络连通是否正常运行</w:t>
            </w:r>
          </w:p>
        </w:tc>
        <w:tc>
          <w:tcPr>
            <w:tcW w:w="2551" w:type="dxa"/>
            <w:vAlign w:val="center"/>
          </w:tcPr>
          <w:p>
            <w:pPr>
              <w:pStyle w:val="17"/>
            </w:pPr>
            <w:r>
              <w:t>≥95百分比</w:t>
            </w:r>
          </w:p>
        </w:tc>
        <w:tc>
          <w:tcPr>
            <w:tcW w:w="2268" w:type="dxa"/>
            <w:vAlign w:val="center"/>
          </w:tcPr>
          <w:p>
            <w:pPr>
              <w:pStyle w:val="17"/>
            </w:pPr>
            <w:r>
              <w:t>网络是否畅通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网点销售网络专线租用成本控制率</w:t>
            </w:r>
          </w:p>
          <w:p>
            <w:pPr>
              <w:pStyle w:val="17"/>
            </w:pPr>
          </w:p>
        </w:tc>
        <w:tc>
          <w:tcPr>
            <w:tcW w:w="2835" w:type="dxa"/>
            <w:vAlign w:val="center"/>
          </w:tcPr>
          <w:p>
            <w:pPr>
              <w:pStyle w:val="17"/>
            </w:pPr>
            <w:r>
              <w:t>预算控制数2.5万元</w:t>
            </w:r>
          </w:p>
        </w:tc>
        <w:tc>
          <w:tcPr>
            <w:tcW w:w="2551" w:type="dxa"/>
            <w:vAlign w:val="center"/>
          </w:tcPr>
          <w:p>
            <w:pPr>
              <w:pStyle w:val="17"/>
            </w:pPr>
            <w:r>
              <w:t>2.5万元</w:t>
            </w:r>
          </w:p>
        </w:tc>
        <w:tc>
          <w:tcPr>
            <w:tcW w:w="2268" w:type="dxa"/>
            <w:vAlign w:val="center"/>
          </w:tcPr>
          <w:p>
            <w:pPr>
              <w:pStyle w:val="17"/>
            </w:pPr>
            <w:r>
              <w:t>不超预算安排书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保障网络信息安全</w:t>
            </w:r>
          </w:p>
          <w:p>
            <w:pPr>
              <w:pStyle w:val="17"/>
            </w:pPr>
          </w:p>
        </w:tc>
        <w:tc>
          <w:tcPr>
            <w:tcW w:w="2835" w:type="dxa"/>
            <w:vAlign w:val="center"/>
          </w:tcPr>
          <w:p>
            <w:pPr>
              <w:pStyle w:val="17"/>
              <w:rPr>
                <w:rFonts w:hint="eastAsia" w:eastAsia="方正书宋_GBK"/>
                <w:lang w:eastAsia="zh-CN"/>
              </w:rPr>
            </w:pPr>
            <w:r>
              <w:t>利用专业技术手段保障网络信息安全</w:t>
            </w:r>
            <w:r>
              <w:rPr>
                <w:rFonts w:hint="eastAsia"/>
                <w:lang w:eastAsia="zh-CN"/>
              </w:rPr>
              <w:t>比率</w:t>
            </w:r>
          </w:p>
        </w:tc>
        <w:tc>
          <w:tcPr>
            <w:tcW w:w="2551" w:type="dxa"/>
            <w:vAlign w:val="center"/>
          </w:tcPr>
          <w:p>
            <w:pPr>
              <w:pStyle w:val="17"/>
            </w:pPr>
            <w:r>
              <w:t>≥95百分比</w:t>
            </w:r>
          </w:p>
        </w:tc>
        <w:tc>
          <w:tcPr>
            <w:tcW w:w="2268" w:type="dxa"/>
            <w:vAlign w:val="center"/>
          </w:tcPr>
          <w:p>
            <w:pPr>
              <w:pStyle w:val="17"/>
            </w:pPr>
            <w:r>
              <w:t>网络畅通保障工作按时完成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网络使用人员满意度</w:t>
            </w:r>
          </w:p>
          <w:p>
            <w:pPr>
              <w:pStyle w:val="17"/>
            </w:pPr>
          </w:p>
        </w:tc>
        <w:tc>
          <w:tcPr>
            <w:tcW w:w="2835" w:type="dxa"/>
            <w:vAlign w:val="center"/>
          </w:tcPr>
          <w:p>
            <w:pPr>
              <w:pStyle w:val="17"/>
              <w:rPr>
                <w:rFonts w:hint="eastAsia" w:eastAsia="方正书宋_GBK"/>
                <w:lang w:eastAsia="zh-CN"/>
              </w:rPr>
            </w:pPr>
            <w:r>
              <w:t>网络使用人员满意度</w:t>
            </w:r>
            <w:r>
              <w:rPr>
                <w:rFonts w:hint="eastAsia"/>
                <w:lang w:eastAsia="zh-CN"/>
              </w:rPr>
              <w:t>比率</w:t>
            </w:r>
          </w:p>
        </w:tc>
        <w:tc>
          <w:tcPr>
            <w:tcW w:w="2551" w:type="dxa"/>
            <w:vAlign w:val="center"/>
          </w:tcPr>
          <w:p>
            <w:pPr>
              <w:pStyle w:val="17"/>
            </w:pPr>
            <w:r>
              <w:t>≥95百分比</w:t>
            </w:r>
          </w:p>
        </w:tc>
        <w:tc>
          <w:tcPr>
            <w:tcW w:w="2268" w:type="dxa"/>
            <w:vAlign w:val="center"/>
          </w:tcPr>
          <w:p>
            <w:pPr>
              <w:pStyle w:val="17"/>
            </w:pPr>
            <w:r>
              <w:t>使用人员满意度</w:t>
            </w:r>
          </w:p>
        </w:tc>
      </w:tr>
    </w:tbl>
    <w:p/>
    <w:p/>
    <w:p/>
    <w:p/>
    <w:p/>
    <w:p/>
    <w:p/>
    <w:p/>
    <w:p/>
    <w:p/>
    <w:p/>
    <w:p/>
    <w:p/>
    <w:p/>
    <w:p/>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五项抽样调查</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1.按时按要求发放各项调查补贴，完成调查培训，科学组织合理安排调查实施，确保调查任务圆满完成。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调查企业户数</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调查企业户数160户</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160户</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按省市要求完成调查企业个数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信息统计调查完成率</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信息统计调查完成率</w:t>
            </w:r>
            <w:r>
              <w:rPr>
                <w:rFonts w:hint="eastAsia"/>
                <w:lang w:eastAsia="zh-CN"/>
              </w:rPr>
              <w:t>大于等于</w:t>
            </w:r>
            <w:r>
              <w:rPr>
                <w:rFonts w:hint="eastAsia"/>
                <w:lang w:val="en-US" w:eastAsia="zh-CN"/>
              </w:rPr>
              <w:t>95%</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是否按质量要求完成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数据统计调查、分析监测等完成时</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数据统计调查、分析监测等完成时限</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是否按时完成上报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成本控制</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成本控制42.92万元</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42.92万元</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社会效益指标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统计信息采用量</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反映统计信息、分析、课题受省领导批示或被采用情况</w:t>
            </w:r>
            <w:r>
              <w:rPr>
                <w:rFonts w:hint="eastAsia"/>
                <w:lang w:eastAsia="zh-CN"/>
              </w:rPr>
              <w:t>比率</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反映统计信息、分析、课题受省领导批示或被采用情况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通过问卷调查,满意和满意的对象占所有调查对象的比例</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调查对象满意度</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bookmarkEnd w:id="2"/>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rPr>
      </w:pPr>
    </w:p>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shd w:val="clear" w:color="auto" w:fill="auto"/>
        </w:rPr>
      </w:pP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2</w:t>
      </w:r>
      <w:r>
        <w:rPr>
          <w:rFonts w:hint="eastAsia" w:ascii="仿宋" w:hAnsi="仿宋" w:eastAsia="仿宋"/>
          <w:sz w:val="32"/>
          <w:szCs w:val="32"/>
          <w:shd w:val="clear" w:color="auto" w:fill="auto"/>
        </w:rPr>
        <w:t>年我</w:t>
      </w:r>
      <w:r>
        <w:rPr>
          <w:rFonts w:hint="eastAsia" w:ascii="仿宋" w:hAnsi="仿宋" w:eastAsia="仿宋"/>
          <w:sz w:val="32"/>
          <w:szCs w:val="32"/>
          <w:shd w:val="clear" w:color="auto" w:fill="auto"/>
          <w:lang w:eastAsia="zh-CN"/>
        </w:rPr>
        <w:t>单位</w:t>
      </w:r>
      <w:r>
        <w:rPr>
          <w:rFonts w:hint="eastAsia" w:ascii="仿宋" w:hAnsi="仿宋" w:eastAsia="仿宋"/>
          <w:sz w:val="32"/>
          <w:szCs w:val="32"/>
          <w:shd w:val="clear" w:color="auto" w:fill="auto"/>
        </w:rPr>
        <w:t>无政府采购预算</w:t>
      </w:r>
      <w:r>
        <w:rPr>
          <w:rFonts w:hint="eastAsia" w:ascii="仿宋" w:hAnsi="仿宋" w:eastAsia="仿宋"/>
          <w:sz w:val="32"/>
          <w:szCs w:val="32"/>
          <w:shd w:val="clear" w:color="auto" w:fill="auto"/>
          <w:lang w:eastAsia="zh-CN"/>
        </w:rPr>
        <w:t>，空表列示</w:t>
      </w:r>
      <w:r>
        <w:rPr>
          <w:rFonts w:hint="eastAsia" w:ascii="仿宋" w:hAnsi="仿宋" w:eastAsia="仿宋"/>
          <w:sz w:val="32"/>
          <w:szCs w:val="32"/>
          <w:shd w:val="clear" w:color="auto" w:fill="auto"/>
        </w:rPr>
        <w:t>。</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3"/>
        <w:gridCol w:w="1052"/>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410涞水县统计局</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13" w:type="dxa"/>
            <w:vAlign w:val="center"/>
          </w:tcPr>
          <w:p>
            <w:pPr>
              <w:pStyle w:val="15"/>
            </w:pPr>
            <w:r>
              <w:t>项目名称</w:t>
            </w:r>
          </w:p>
        </w:tc>
        <w:tc>
          <w:tcPr>
            <w:tcW w:w="1052"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9"/>
            </w:pPr>
            <w:r>
              <w:t>合  计</w:t>
            </w:r>
          </w:p>
        </w:tc>
        <w:tc>
          <w:tcPr>
            <w:tcW w:w="1052"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9"/>
            </w:pPr>
          </w:p>
        </w:tc>
        <w:tc>
          <w:tcPr>
            <w:tcW w:w="1052"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7"/>
            </w:pPr>
          </w:p>
          <w:p>
            <w:pPr>
              <w:pStyle w:val="17"/>
            </w:pPr>
          </w:p>
        </w:tc>
        <w:tc>
          <w:tcPr>
            <w:tcW w:w="1052"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rPr>
          <w:rFonts w:hint="eastAsia"/>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ind w:firstLine="640" w:firstLineChars="200"/>
        <w:jc w:val="both"/>
        <w:rPr>
          <w:rFonts w:hint="eastAsia" w:ascii="方正小标宋_GBK" w:hAnsi="方正小标宋_GBK" w:eastAsia="方正小标宋_GBK" w:cs="方正小标宋_GBK"/>
          <w:color w:val="000000"/>
          <w:sz w:val="36"/>
        </w:rPr>
      </w:pPr>
      <w:r>
        <w:rPr>
          <w:rFonts w:hint="eastAsia" w:ascii="宋体" w:hAnsi="宋体"/>
          <w:sz w:val="32"/>
          <w:szCs w:val="32"/>
        </w:rPr>
        <w:t>2</w:t>
      </w:r>
      <w:r>
        <w:rPr>
          <w:rFonts w:hint="eastAsia" w:ascii="仿宋" w:hAnsi="仿宋" w:eastAsia="仿宋"/>
          <w:sz w:val="32"/>
          <w:szCs w:val="32"/>
        </w:rPr>
        <w:t>0</w:t>
      </w:r>
      <w:r>
        <w:rPr>
          <w:rFonts w:hint="eastAsia" w:ascii="仿宋" w:hAnsi="仿宋" w:eastAsia="仿宋"/>
          <w:sz w:val="32"/>
          <w:szCs w:val="32"/>
          <w:lang w:val="en-US" w:eastAsia="zh-CN"/>
        </w:rPr>
        <w:t>21</w:t>
      </w:r>
      <w:r>
        <w:rPr>
          <w:rFonts w:hint="eastAsia" w:ascii="仿宋" w:hAnsi="仿宋" w:eastAsia="仿宋"/>
          <w:sz w:val="32"/>
          <w:szCs w:val="32"/>
        </w:rPr>
        <w:t>年末国有资产原值</w:t>
      </w:r>
      <w:r>
        <w:rPr>
          <w:rFonts w:hint="eastAsia" w:ascii="仿宋" w:hAnsi="仿宋" w:eastAsia="仿宋"/>
          <w:sz w:val="32"/>
          <w:szCs w:val="32"/>
          <w:lang w:val="en-US" w:eastAsia="zh-CN"/>
        </w:rPr>
        <w:t>87.72</w:t>
      </w:r>
      <w:r>
        <w:rPr>
          <w:rFonts w:hint="eastAsia" w:ascii="仿宋" w:hAnsi="仿宋" w:eastAsia="仿宋"/>
          <w:sz w:val="32"/>
          <w:szCs w:val="32"/>
        </w:rPr>
        <w:t>万元，比上年增加</w:t>
      </w:r>
      <w:r>
        <w:rPr>
          <w:rFonts w:hint="eastAsia" w:ascii="仿宋" w:hAnsi="仿宋" w:eastAsia="仿宋"/>
          <w:sz w:val="32"/>
          <w:szCs w:val="32"/>
          <w:lang w:val="en-US" w:eastAsia="zh-CN"/>
        </w:rPr>
        <w:t>31.31</w:t>
      </w:r>
      <w:r>
        <w:rPr>
          <w:rFonts w:hint="eastAsia" w:ascii="仿宋" w:hAnsi="仿宋" w:eastAsia="仿宋"/>
          <w:sz w:val="32"/>
          <w:szCs w:val="32"/>
        </w:rPr>
        <w:t>万元。其中公务用车1辆，价值13.58万元，其他固定资产（电脑、空调、复印机、打印机</w:t>
      </w:r>
      <w:r>
        <w:rPr>
          <w:rFonts w:hint="eastAsia" w:ascii="仿宋" w:hAnsi="仿宋" w:eastAsia="仿宋"/>
          <w:sz w:val="32"/>
          <w:szCs w:val="32"/>
          <w:lang w:eastAsia="zh-CN"/>
        </w:rPr>
        <w:t>、</w:t>
      </w:r>
      <w:r>
        <w:rPr>
          <w:rFonts w:hint="eastAsia" w:ascii="仿宋" w:hAnsi="仿宋" w:eastAsia="仿宋"/>
          <w:sz w:val="32"/>
          <w:szCs w:val="32"/>
          <w:lang w:val="en-US" w:eastAsia="zh-CN"/>
        </w:rPr>
        <w:t>PAD</w:t>
      </w:r>
      <w:r>
        <w:rPr>
          <w:rFonts w:hint="eastAsia" w:ascii="仿宋" w:hAnsi="仿宋" w:eastAsia="仿宋"/>
          <w:sz w:val="32"/>
          <w:szCs w:val="32"/>
        </w:rPr>
        <w:t>等）</w:t>
      </w:r>
      <w:r>
        <w:rPr>
          <w:rFonts w:hint="eastAsia" w:ascii="仿宋" w:hAnsi="仿宋" w:eastAsia="仿宋"/>
          <w:sz w:val="32"/>
          <w:szCs w:val="32"/>
          <w:lang w:val="en-US" w:eastAsia="zh-CN"/>
        </w:rPr>
        <w:t>74.14</w:t>
      </w:r>
      <w:r>
        <w:rPr>
          <w:rFonts w:hint="eastAsia" w:ascii="仿宋" w:hAnsi="仿宋" w:eastAsia="仿宋"/>
          <w:sz w:val="32"/>
          <w:szCs w:val="32"/>
        </w:rPr>
        <w:t>万元。我单位在政府楼办公，办公用房属政府办所有，无20万元以上的设备。</w:t>
      </w: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2</w:t>
      </w:r>
      <w:r>
        <w:rPr>
          <w:rFonts w:hint="eastAsia" w:ascii="仿宋" w:hAnsi="仿宋" w:eastAsia="仿宋"/>
          <w:sz w:val="32"/>
          <w:szCs w:val="32"/>
          <w:shd w:val="clear" w:color="auto" w:fill="auto"/>
        </w:rPr>
        <w:t>年</w:t>
      </w:r>
      <w:r>
        <w:rPr>
          <w:rFonts w:hint="eastAsia" w:ascii="仿宋" w:hAnsi="仿宋" w:eastAsia="仿宋"/>
          <w:sz w:val="32"/>
          <w:szCs w:val="32"/>
          <w:shd w:val="clear" w:color="auto" w:fill="auto"/>
          <w:lang w:eastAsia="zh-CN"/>
        </w:rPr>
        <w:t>我单位无</w:t>
      </w:r>
      <w:r>
        <w:rPr>
          <w:rFonts w:hint="eastAsia" w:ascii="仿宋" w:hAnsi="仿宋" w:eastAsia="仿宋"/>
          <w:sz w:val="32"/>
          <w:szCs w:val="32"/>
          <w:shd w:val="clear" w:color="auto" w:fill="auto"/>
        </w:rPr>
        <w:t>购置固定资产</w:t>
      </w:r>
      <w:r>
        <w:rPr>
          <w:rFonts w:hint="eastAsia" w:ascii="仿宋" w:hAnsi="仿宋" w:eastAsia="仿宋"/>
          <w:sz w:val="32"/>
          <w:szCs w:val="32"/>
          <w:shd w:val="clear" w:color="auto" w:fill="auto"/>
          <w:lang w:eastAsia="zh-CN"/>
        </w:rPr>
        <w:t>情况</w:t>
      </w:r>
      <w:r>
        <w:rPr>
          <w:rFonts w:hint="eastAsia" w:ascii="仿宋" w:hAnsi="仿宋" w:eastAsia="仿宋"/>
          <w:sz w:val="32"/>
          <w:szCs w:val="32"/>
          <w:shd w:val="clear" w:color="auto" w:fill="auto"/>
        </w:rPr>
        <w:t xml:space="preserve">。 </w:t>
      </w:r>
    </w:p>
    <w:p>
      <w:pPr>
        <w:jc w:val="center"/>
        <w:rPr>
          <w:rFonts w:hint="eastAsia" w:ascii="方正小标宋_GBK" w:hAnsi="方正小标宋_GBK" w:eastAsia="方正小标宋_GBK" w:cs="方正小标宋_GBK"/>
          <w:color w:val="000000"/>
          <w:sz w:val="36"/>
          <w:u w:val="none"/>
        </w:rPr>
      </w:pPr>
    </w:p>
    <w:p>
      <w:pPr>
        <w:jc w:val="center"/>
        <w:rPr>
          <w:u w:val="none"/>
        </w:rPr>
      </w:pPr>
      <w:r>
        <w:rPr>
          <w:rFonts w:hint="eastAsia" w:ascii="方正小标宋_GBK" w:hAnsi="方正小标宋_GBK" w:eastAsia="方正小标宋_GBK" w:cs="方正小标宋_GBK"/>
          <w:color w:val="000000"/>
          <w:sz w:val="36"/>
          <w:u w:val="none"/>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rHeight w:val="351" w:hRule="atLeast"/>
          <w:tblHeader/>
          <w:jc w:val="center"/>
        </w:trPr>
        <w:tc>
          <w:tcPr>
            <w:tcW w:w="7370" w:type="dxa"/>
            <w:gridSpan w:val="2"/>
            <w:tcBorders>
              <w:top w:val="single" w:color="FFFFFF" w:sz="6" w:space="0"/>
              <w:left w:val="single" w:color="FFFFFF" w:sz="6" w:space="0"/>
              <w:right w:val="single" w:color="FFFFFF" w:sz="6" w:space="0"/>
            </w:tcBorders>
            <w:vAlign w:val="center"/>
          </w:tcPr>
          <w:p>
            <w:pPr>
              <w:pStyle w:val="14"/>
              <w:rPr>
                <w:u w:val="none"/>
              </w:rPr>
            </w:pPr>
            <w:r>
              <w:rPr>
                <w:rFonts w:hint="eastAsia"/>
                <w:u w:val="none"/>
                <w:lang w:val="en-US" w:eastAsia="zh-CN"/>
              </w:rPr>
              <w:t>410001涞水县统计局</w:t>
            </w:r>
          </w:p>
        </w:tc>
        <w:tc>
          <w:tcPr>
            <w:tcW w:w="5670" w:type="dxa"/>
            <w:gridSpan w:val="3"/>
            <w:tcBorders>
              <w:top w:val="single" w:color="FFFFFF" w:sz="6" w:space="0"/>
              <w:left w:val="single" w:color="FFFFFF" w:sz="6" w:space="0"/>
              <w:right w:val="single" w:color="FFFFFF" w:sz="6" w:space="0"/>
            </w:tcBorders>
            <w:vAlign w:val="center"/>
          </w:tcPr>
          <w:p>
            <w:pPr>
              <w:pStyle w:val="12"/>
              <w:rPr>
                <w:u w:val="none"/>
              </w:rPr>
            </w:pPr>
            <w:r>
              <w:rPr>
                <w:rFonts w:hint="eastAsia"/>
                <w:u w:val="none"/>
              </w:rPr>
              <w:t>截止时间：</w:t>
            </w:r>
            <w:r>
              <w:rPr>
                <w:u w:val="none"/>
              </w:rP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数量</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textAlignment w:val="center"/>
              <w:rPr>
                <w:rFonts w:hint="eastAsia" w:ascii="宋体" w:hAnsi="宋体" w:eastAsia="宋体"/>
                <w:color w:val="000000"/>
                <w:sz w:val="21"/>
                <w:szCs w:val="21"/>
                <w:lang w:eastAsia="zh-CN"/>
              </w:rPr>
            </w:pPr>
            <w:r>
              <w:rPr>
                <w:rFonts w:hint="eastAsia" w:ascii="宋体" w:hAnsi="宋体"/>
                <w:color w:val="000000"/>
                <w:sz w:val="21"/>
                <w:szCs w:val="21"/>
                <w:lang w:eastAsia="zh-CN"/>
              </w:rPr>
              <w:t>固定资产总额</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cs="宋体"/>
                <w:kern w:val="2"/>
                <w:sz w:val="21"/>
                <w:szCs w:val="21"/>
                <w:lang w:val="en-US" w:eastAsia="zh-CN"/>
              </w:rPr>
              <w:t>87.72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val="en-US" w:eastAsia="zh-CN"/>
              </w:rPr>
              <w:t>13</w:t>
            </w:r>
            <w:r>
              <w:rPr>
                <w:rFonts w:hint="eastAsia" w:ascii="宋体" w:hAnsi="宋体" w:eastAsiaTheme="minorEastAsia"/>
                <w:color w:val="000000"/>
                <w:sz w:val="21"/>
                <w:szCs w:val="21"/>
                <w:lang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74.14</w:t>
            </w:r>
          </w:p>
        </w:tc>
      </w:tr>
    </w:tbl>
    <w:p>
      <w:pPr>
        <w:ind w:firstLine="420"/>
        <w:rPr>
          <w:rFonts w:hint="eastAsia" w:ascii="方正书宋_GBK" w:hAnsi="方正书宋_GBK" w:eastAsia="方正书宋_GBK" w:cs="方正书宋_GBK"/>
          <w:color w:val="000000"/>
          <w:sz w:val="21"/>
        </w:rPr>
      </w:pPr>
    </w:p>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firstLineChars="20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firstLineChars="20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九、其他需要说明的事项</w:t>
      </w:r>
    </w:p>
    <w:p>
      <w:pPr>
        <w:spacing w:line="500" w:lineRule="exact"/>
        <w:ind w:firstLine="640" w:firstLineChars="200"/>
        <w:rPr>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r>
        <w:rPr>
          <w:rFonts w:hint="eastAsia" w:ascii="仿宋" w:hAnsi="仿宋" w:eastAsia="仿宋" w:cs="宋体"/>
          <w:sz w:val="32"/>
          <w:szCs w:val="32"/>
        </w:rPr>
        <w:t>我</w:t>
      </w:r>
      <w:r>
        <w:rPr>
          <w:rFonts w:hint="eastAsia" w:ascii="仿宋" w:hAnsi="仿宋" w:eastAsia="仿宋" w:cs="宋体"/>
          <w:sz w:val="32"/>
          <w:szCs w:val="32"/>
          <w:lang w:eastAsia="zh-CN"/>
        </w:rPr>
        <w:t>单位</w:t>
      </w:r>
      <w:r>
        <w:rPr>
          <w:rFonts w:hint="eastAsia" w:ascii="仿宋" w:hAnsi="仿宋" w:eastAsia="仿宋" w:cs="宋体"/>
          <w:sz w:val="32"/>
          <w:szCs w:val="32"/>
        </w:rPr>
        <w:t>无</w:t>
      </w:r>
      <w:r>
        <w:rPr>
          <w:rFonts w:hint="eastAsia" w:ascii="仿宋" w:hAnsi="仿宋" w:eastAsia="仿宋" w:cs="宋体"/>
          <w:sz w:val="32"/>
          <w:szCs w:val="32"/>
          <w:lang w:eastAsia="zh-CN"/>
        </w:rPr>
        <w:t>其他需要说明的事项。</w:t>
      </w:r>
    </w:p>
    <w:p>
      <w:pPr>
        <w:jc w:val="center"/>
        <w:outlineLvl w:val="3"/>
        <w:rPr>
          <w:rFonts w:hint="eastAsia" w:ascii="方正小标宋_GBK" w:hAnsi="方正小标宋_GBK" w:eastAsia="方正小标宋_GBK" w:cs="方正小标宋_GBK"/>
          <w:color w:val="000000"/>
          <w:sz w:val="44"/>
        </w:rPr>
      </w:pPr>
      <w:bookmarkStart w:id="3" w:name="_Toc_4_4_0000000020"/>
    </w:p>
    <w:bookmarkEnd w:id="3"/>
    <w:p>
      <w:pPr>
        <w:jc w:val="both"/>
        <w:outlineLvl w:val="3"/>
      </w:pPr>
    </w:p>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C628B"/>
    <w:multiLevelType w:val="singleLevel"/>
    <w:tmpl w:val="8CCC628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TY3NzU0NDM5MWFkMmY4ZmZmZjJjODBjMzI2N2ZmYWUifQ=="/>
  </w:docVars>
  <w:rsids>
    <w:rsidRoot w:val="00172A27"/>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8A0707"/>
    <w:rsid w:val="052B4646"/>
    <w:rsid w:val="05962A91"/>
    <w:rsid w:val="099E37EA"/>
    <w:rsid w:val="0C80315D"/>
    <w:rsid w:val="0C831A08"/>
    <w:rsid w:val="0D9A0C44"/>
    <w:rsid w:val="0DF26FDB"/>
    <w:rsid w:val="11E076D8"/>
    <w:rsid w:val="13B74DFE"/>
    <w:rsid w:val="158F5031"/>
    <w:rsid w:val="15CE3B81"/>
    <w:rsid w:val="163A7CB6"/>
    <w:rsid w:val="1BF468E2"/>
    <w:rsid w:val="22090B6C"/>
    <w:rsid w:val="2232322B"/>
    <w:rsid w:val="22405E06"/>
    <w:rsid w:val="29D72646"/>
    <w:rsid w:val="2AC135BE"/>
    <w:rsid w:val="2B0B2850"/>
    <w:rsid w:val="2FD45DE0"/>
    <w:rsid w:val="34A331D6"/>
    <w:rsid w:val="37E74B44"/>
    <w:rsid w:val="391B70EA"/>
    <w:rsid w:val="3A4B0C5C"/>
    <w:rsid w:val="3B8F458E"/>
    <w:rsid w:val="3F033BBB"/>
    <w:rsid w:val="45C25D0E"/>
    <w:rsid w:val="475F7987"/>
    <w:rsid w:val="47870BFB"/>
    <w:rsid w:val="48390A7E"/>
    <w:rsid w:val="4CD03BD8"/>
    <w:rsid w:val="4FDC2DF0"/>
    <w:rsid w:val="517F39A6"/>
    <w:rsid w:val="56261924"/>
    <w:rsid w:val="562A7E7A"/>
    <w:rsid w:val="59E31874"/>
    <w:rsid w:val="5D495856"/>
    <w:rsid w:val="5E457D25"/>
    <w:rsid w:val="61D86616"/>
    <w:rsid w:val="66884C53"/>
    <w:rsid w:val="66F631F6"/>
    <w:rsid w:val="678533FB"/>
    <w:rsid w:val="68E271A4"/>
    <w:rsid w:val="69700315"/>
    <w:rsid w:val="73BA1A60"/>
    <w:rsid w:val="74375FCC"/>
    <w:rsid w:val="74745854"/>
    <w:rsid w:val="76EE7BCE"/>
    <w:rsid w:val="7A2B7977"/>
    <w:rsid w:val="7A3A5694"/>
    <w:rsid w:val="7F1B445E"/>
    <w:rsid w:val="7FBA3C7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7067</Words>
  <Characters>8556</Characters>
  <Lines>127</Lines>
  <Paragraphs>36</Paragraphs>
  <TotalTime>0</TotalTime>
  <ScaleCrop>false</ScaleCrop>
  <LinksUpToDate>false</LinksUpToDate>
  <CharactersWithSpaces>8717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2024-01-26T07:41:03Z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