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涞水县统计局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315.54</w:t>
            </w:r>
          </w:p>
        </w:tc>
        <w:tc>
          <w:tcPr>
            <w:tcW w:w="4535" w:type="dxa"/>
            <w:vAlign w:val="center"/>
          </w:tcPr>
          <w:p>
            <w:pPr>
              <w:pStyle w:val="16"/>
            </w:pPr>
            <w:r>
              <w:t>一、一般公共服务支出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rFonts w:ascii="方正书宋_GBK" w:hAnsi="方正书宋_GBK" w:eastAsia="方正书宋_GBK" w:cs="方正书宋_GBK"/>
                <w:sz w:val="21"/>
                <w:szCs w:val="24"/>
                <w:lang w:val="en-US" w:eastAsia="uk-UA" w:bidi="ar-SA"/>
              </w:rPr>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rPr>
                <w:rFonts w:hint="eastAsia"/>
                <w:lang w:val="en-US" w:eastAsia="zh-CN"/>
              </w:rPr>
              <w:t>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rPr>
                <w:rFonts w:hint="eastAsia"/>
                <w:lang w:val="en-US" w:eastAsia="zh-CN"/>
              </w:rPr>
              <w:t>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rPr>
                <w:rFonts w:hint="eastAsia"/>
                <w:lang w:val="en-US" w:eastAsia="zh-CN"/>
              </w:rPr>
              <w:t>315.54</w:t>
            </w:r>
          </w:p>
        </w:tc>
        <w:tc>
          <w:tcPr>
            <w:tcW w:w="4535" w:type="dxa"/>
            <w:vAlign w:val="center"/>
          </w:tcPr>
          <w:p>
            <w:pPr>
              <w:pStyle w:val="18"/>
            </w:pPr>
            <w:r>
              <w:t>本年支出合计</w:t>
            </w:r>
          </w:p>
        </w:tc>
        <w:tc>
          <w:tcPr>
            <w:tcW w:w="2126" w:type="dxa"/>
            <w:vAlign w:val="center"/>
          </w:tcPr>
          <w:p>
            <w:pPr>
              <w:pStyle w:val="19"/>
            </w:pPr>
            <w:r>
              <w:rPr>
                <w:rFonts w:hint="eastAsia"/>
                <w:lang w:val="en-US" w:eastAsia="zh-CN"/>
              </w:rPr>
              <w:t>315.54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rPr>
                <w:rFonts w:hint="eastAsia"/>
                <w:lang w:val="en-US" w:eastAsia="zh-CN"/>
              </w:rPr>
              <w:t>315.54</w:t>
            </w:r>
          </w:p>
        </w:tc>
        <w:tc>
          <w:tcPr>
            <w:tcW w:w="4535" w:type="dxa"/>
            <w:vAlign w:val="center"/>
          </w:tcPr>
          <w:p>
            <w:pPr>
              <w:pStyle w:val="18"/>
            </w:pPr>
            <w:r>
              <w:t>支出总计</w:t>
            </w:r>
          </w:p>
        </w:tc>
        <w:tc>
          <w:tcPr>
            <w:tcW w:w="2126" w:type="dxa"/>
            <w:vAlign w:val="center"/>
          </w:tcPr>
          <w:p>
            <w:pPr>
              <w:pStyle w:val="19"/>
            </w:pPr>
            <w:r>
              <w:rPr>
                <w:rFonts w:hint="eastAsia"/>
                <w:lang w:val="en-US" w:eastAsia="zh-CN"/>
              </w:rPr>
              <w:t>315.54</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132"/>
        <w:gridCol w:w="1020"/>
        <w:gridCol w:w="1005"/>
        <w:gridCol w:w="1290"/>
        <w:gridCol w:w="1080"/>
        <w:gridCol w:w="840"/>
        <w:gridCol w:w="750"/>
        <w:gridCol w:w="855"/>
        <w:gridCol w:w="1410"/>
        <w:gridCol w:w="765"/>
        <w:gridCol w:w="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3210"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4532"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4124" w:type="dxa"/>
            <w:gridSpan w:val="2"/>
            <w:vAlign w:val="center"/>
          </w:tcPr>
          <w:p>
            <w:pPr>
              <w:pStyle w:val="14"/>
            </w:pPr>
            <w:r>
              <w:t>功能分类科目</w:t>
            </w:r>
          </w:p>
        </w:tc>
        <w:tc>
          <w:tcPr>
            <w:tcW w:w="1020" w:type="dxa"/>
            <w:vMerge w:val="restart"/>
            <w:vAlign w:val="center"/>
          </w:tcPr>
          <w:p>
            <w:pPr>
              <w:pStyle w:val="14"/>
            </w:pPr>
            <w:r>
              <w:t>合计</w:t>
            </w:r>
          </w:p>
        </w:tc>
        <w:tc>
          <w:tcPr>
            <w:tcW w:w="7995" w:type="dxa"/>
            <w:gridSpan w:val="8"/>
            <w:vAlign w:val="center"/>
          </w:tcPr>
          <w:p>
            <w:pPr>
              <w:pStyle w:val="14"/>
            </w:pPr>
            <w:r>
              <w:t>本年收入</w:t>
            </w:r>
          </w:p>
        </w:tc>
        <w:tc>
          <w:tcPr>
            <w:tcW w:w="75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3132" w:type="dxa"/>
            <w:vAlign w:val="center"/>
          </w:tcPr>
          <w:p>
            <w:pPr>
              <w:pStyle w:val="14"/>
            </w:pPr>
            <w:r>
              <w:t>科目名称</w:t>
            </w:r>
          </w:p>
        </w:tc>
        <w:tc>
          <w:tcPr>
            <w:tcW w:w="1020" w:type="dxa"/>
            <w:vMerge w:val="continue"/>
          </w:tcPr>
          <w:p/>
        </w:tc>
        <w:tc>
          <w:tcPr>
            <w:tcW w:w="1005" w:type="dxa"/>
            <w:vAlign w:val="center"/>
          </w:tcPr>
          <w:p>
            <w:pPr>
              <w:pStyle w:val="14"/>
            </w:pPr>
            <w:r>
              <w:t>小计</w:t>
            </w:r>
          </w:p>
        </w:tc>
        <w:tc>
          <w:tcPr>
            <w:tcW w:w="1290" w:type="dxa"/>
            <w:vAlign w:val="center"/>
          </w:tcPr>
          <w:p>
            <w:pPr>
              <w:pStyle w:val="14"/>
            </w:pPr>
            <w:r>
              <w:t>财政拨款 收入</w:t>
            </w:r>
          </w:p>
        </w:tc>
        <w:tc>
          <w:tcPr>
            <w:tcW w:w="1080" w:type="dxa"/>
            <w:vAlign w:val="center"/>
          </w:tcPr>
          <w:p>
            <w:pPr>
              <w:pStyle w:val="14"/>
            </w:pPr>
            <w:r>
              <w:t>财政专户 收入</w:t>
            </w:r>
          </w:p>
        </w:tc>
        <w:tc>
          <w:tcPr>
            <w:tcW w:w="840" w:type="dxa"/>
            <w:vAlign w:val="center"/>
          </w:tcPr>
          <w:p>
            <w:pPr>
              <w:pStyle w:val="14"/>
            </w:pPr>
            <w:r>
              <w:t>事业收入</w:t>
            </w:r>
          </w:p>
        </w:tc>
        <w:tc>
          <w:tcPr>
            <w:tcW w:w="750" w:type="dxa"/>
            <w:vAlign w:val="center"/>
          </w:tcPr>
          <w:p>
            <w:pPr>
              <w:pStyle w:val="14"/>
            </w:pPr>
            <w:r>
              <w:t>经营收入</w:t>
            </w:r>
          </w:p>
        </w:tc>
        <w:tc>
          <w:tcPr>
            <w:tcW w:w="855" w:type="dxa"/>
            <w:vAlign w:val="center"/>
          </w:tcPr>
          <w:p>
            <w:pPr>
              <w:pStyle w:val="14"/>
            </w:pPr>
            <w:r>
              <w:t>上级补助收入</w:t>
            </w:r>
          </w:p>
        </w:tc>
        <w:tc>
          <w:tcPr>
            <w:tcW w:w="1410" w:type="dxa"/>
            <w:vAlign w:val="center"/>
          </w:tcPr>
          <w:p>
            <w:pPr>
              <w:pStyle w:val="14"/>
            </w:pPr>
            <w:r>
              <w:t>附属单位上缴收入</w:t>
            </w:r>
          </w:p>
        </w:tc>
        <w:tc>
          <w:tcPr>
            <w:tcW w:w="765" w:type="dxa"/>
            <w:vAlign w:val="center"/>
          </w:tcPr>
          <w:p>
            <w:pPr>
              <w:pStyle w:val="14"/>
            </w:pPr>
            <w:r>
              <w:t>其他收入</w:t>
            </w:r>
          </w:p>
        </w:tc>
        <w:tc>
          <w:tcPr>
            <w:tcW w:w="7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3132" w:type="dxa"/>
            <w:vAlign w:val="center"/>
          </w:tcPr>
          <w:p>
            <w:pPr>
              <w:pStyle w:val="14"/>
            </w:pPr>
            <w:r>
              <w:t>2</w:t>
            </w:r>
          </w:p>
        </w:tc>
        <w:tc>
          <w:tcPr>
            <w:tcW w:w="1020" w:type="dxa"/>
            <w:vAlign w:val="center"/>
          </w:tcPr>
          <w:p>
            <w:pPr>
              <w:pStyle w:val="14"/>
            </w:pPr>
            <w:r>
              <w:t>3</w:t>
            </w:r>
          </w:p>
        </w:tc>
        <w:tc>
          <w:tcPr>
            <w:tcW w:w="1005" w:type="dxa"/>
            <w:vAlign w:val="center"/>
          </w:tcPr>
          <w:p>
            <w:pPr>
              <w:pStyle w:val="14"/>
            </w:pPr>
            <w:r>
              <w:t>4</w:t>
            </w:r>
          </w:p>
        </w:tc>
        <w:tc>
          <w:tcPr>
            <w:tcW w:w="1290" w:type="dxa"/>
            <w:vAlign w:val="center"/>
          </w:tcPr>
          <w:p>
            <w:pPr>
              <w:pStyle w:val="14"/>
            </w:pPr>
            <w:r>
              <w:t>5</w:t>
            </w:r>
          </w:p>
        </w:tc>
        <w:tc>
          <w:tcPr>
            <w:tcW w:w="1080" w:type="dxa"/>
            <w:vAlign w:val="center"/>
          </w:tcPr>
          <w:p>
            <w:pPr>
              <w:pStyle w:val="14"/>
            </w:pPr>
            <w:r>
              <w:t>6</w:t>
            </w:r>
          </w:p>
        </w:tc>
        <w:tc>
          <w:tcPr>
            <w:tcW w:w="840" w:type="dxa"/>
            <w:vAlign w:val="center"/>
          </w:tcPr>
          <w:p>
            <w:pPr>
              <w:pStyle w:val="14"/>
            </w:pPr>
            <w:r>
              <w:t>7</w:t>
            </w:r>
          </w:p>
        </w:tc>
        <w:tc>
          <w:tcPr>
            <w:tcW w:w="750" w:type="dxa"/>
            <w:vAlign w:val="center"/>
          </w:tcPr>
          <w:p>
            <w:pPr>
              <w:pStyle w:val="14"/>
            </w:pPr>
            <w:r>
              <w:t>8</w:t>
            </w:r>
          </w:p>
        </w:tc>
        <w:tc>
          <w:tcPr>
            <w:tcW w:w="855" w:type="dxa"/>
            <w:vAlign w:val="center"/>
          </w:tcPr>
          <w:p>
            <w:pPr>
              <w:pStyle w:val="14"/>
            </w:pPr>
            <w:r>
              <w:t>9</w:t>
            </w:r>
          </w:p>
        </w:tc>
        <w:tc>
          <w:tcPr>
            <w:tcW w:w="1410" w:type="dxa"/>
            <w:vAlign w:val="center"/>
          </w:tcPr>
          <w:p>
            <w:pPr>
              <w:pStyle w:val="14"/>
            </w:pPr>
            <w:r>
              <w:t>10</w:t>
            </w:r>
          </w:p>
        </w:tc>
        <w:tc>
          <w:tcPr>
            <w:tcW w:w="765" w:type="dxa"/>
            <w:vAlign w:val="center"/>
          </w:tcPr>
          <w:p>
            <w:pPr>
              <w:pStyle w:val="14"/>
            </w:pPr>
            <w:r>
              <w:t>11</w:t>
            </w:r>
          </w:p>
        </w:tc>
        <w:tc>
          <w:tcPr>
            <w:tcW w:w="75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w:t>
            </w:r>
          </w:p>
        </w:tc>
        <w:tc>
          <w:tcPr>
            <w:tcW w:w="992" w:type="dxa"/>
            <w:vAlign w:val="center"/>
          </w:tcPr>
          <w:p>
            <w:pPr>
              <w:pStyle w:val="20"/>
            </w:pPr>
          </w:p>
        </w:tc>
        <w:tc>
          <w:tcPr>
            <w:tcW w:w="3132" w:type="dxa"/>
            <w:vAlign w:val="center"/>
          </w:tcPr>
          <w:p>
            <w:pPr>
              <w:pStyle w:val="18"/>
            </w:pPr>
            <w:r>
              <w:rPr>
                <w:rFonts w:hint="eastAsia" w:ascii="宋体" w:hAnsi="宋体" w:eastAsia="宋体" w:cs="宋体"/>
                <w:sz w:val="21"/>
                <w:szCs w:val="21"/>
              </w:rPr>
              <w:t>合计</w:t>
            </w:r>
          </w:p>
        </w:tc>
        <w:tc>
          <w:tcPr>
            <w:tcW w:w="1020" w:type="dxa"/>
            <w:vAlign w:val="center"/>
          </w:tcPr>
          <w:p>
            <w:pPr>
              <w:pStyle w:val="19"/>
            </w:pPr>
            <w:r>
              <w:rPr>
                <w:rFonts w:hint="eastAsia" w:ascii="宋体" w:hAnsi="宋体" w:eastAsia="宋体" w:cs="宋体"/>
                <w:sz w:val="21"/>
                <w:szCs w:val="21"/>
                <w:lang w:val="en-US" w:eastAsia="zh-CN"/>
              </w:rPr>
              <w:t>315.54</w:t>
            </w:r>
          </w:p>
        </w:tc>
        <w:tc>
          <w:tcPr>
            <w:tcW w:w="1005" w:type="dxa"/>
            <w:vAlign w:val="center"/>
          </w:tcPr>
          <w:p>
            <w:pPr>
              <w:pStyle w:val="19"/>
            </w:pPr>
            <w:r>
              <w:rPr>
                <w:rFonts w:hint="eastAsia" w:ascii="宋体" w:hAnsi="宋体" w:eastAsia="宋体" w:cs="宋体"/>
                <w:sz w:val="21"/>
                <w:szCs w:val="21"/>
                <w:lang w:val="en-US" w:eastAsia="zh-CN"/>
              </w:rPr>
              <w:t>315.54</w:t>
            </w:r>
          </w:p>
        </w:tc>
        <w:tc>
          <w:tcPr>
            <w:tcW w:w="1290" w:type="dxa"/>
            <w:vAlign w:val="center"/>
          </w:tcPr>
          <w:p>
            <w:pPr>
              <w:pStyle w:val="19"/>
            </w:pPr>
            <w:r>
              <w:rPr>
                <w:rFonts w:hint="eastAsia" w:ascii="宋体" w:hAnsi="宋体" w:eastAsia="宋体" w:cs="宋体"/>
                <w:sz w:val="21"/>
                <w:szCs w:val="21"/>
                <w:lang w:val="en-US" w:eastAsia="zh-CN"/>
              </w:rPr>
              <w:t>315.54</w:t>
            </w:r>
          </w:p>
        </w:tc>
        <w:tc>
          <w:tcPr>
            <w:tcW w:w="1080" w:type="dxa"/>
            <w:vAlign w:val="center"/>
          </w:tcPr>
          <w:p>
            <w:pPr>
              <w:pStyle w:val="19"/>
            </w:pPr>
          </w:p>
        </w:tc>
        <w:tc>
          <w:tcPr>
            <w:tcW w:w="840" w:type="dxa"/>
            <w:vAlign w:val="center"/>
          </w:tcPr>
          <w:p>
            <w:pPr>
              <w:pStyle w:val="19"/>
            </w:pPr>
          </w:p>
        </w:tc>
        <w:tc>
          <w:tcPr>
            <w:tcW w:w="750" w:type="dxa"/>
            <w:vAlign w:val="center"/>
          </w:tcPr>
          <w:p>
            <w:pPr>
              <w:pStyle w:val="19"/>
            </w:pPr>
          </w:p>
        </w:tc>
        <w:tc>
          <w:tcPr>
            <w:tcW w:w="855" w:type="dxa"/>
            <w:vAlign w:val="center"/>
          </w:tcPr>
          <w:p>
            <w:pPr>
              <w:pStyle w:val="19"/>
            </w:pPr>
          </w:p>
        </w:tc>
        <w:tc>
          <w:tcPr>
            <w:tcW w:w="1410" w:type="dxa"/>
            <w:vAlign w:val="center"/>
          </w:tcPr>
          <w:p>
            <w:pPr>
              <w:pStyle w:val="19"/>
            </w:pPr>
          </w:p>
        </w:tc>
        <w:tc>
          <w:tcPr>
            <w:tcW w:w="765" w:type="dxa"/>
            <w:vAlign w:val="center"/>
          </w:tcPr>
          <w:p>
            <w:pPr>
              <w:pStyle w:val="19"/>
            </w:pPr>
          </w:p>
        </w:tc>
        <w:tc>
          <w:tcPr>
            <w:tcW w:w="75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一般公共服务支出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统计信息事务</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行政运行</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217.43</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217.43</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217.43</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2010502</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一般行政管理事务</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24.58</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24.58</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24.58</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2010507</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专项普查活动</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5.00</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5.00</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5.00</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2010508</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统计抽样调查</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42.92</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社会保障和就业支出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2080505</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卫生健康支出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21011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行政事业单位医疗</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2101101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行政单位医疗</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住房保障支出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22102</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住房改革支出</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rPr>
                <w:rFonts w:hint="eastAsia" w:ascii="宋体" w:hAnsi="宋体" w:eastAsia="宋体" w:cs="宋体"/>
                <w:sz w:val="21"/>
                <w:szCs w:val="21"/>
              </w:rPr>
              <w:t>16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2210201</w:t>
            </w:r>
          </w:p>
        </w:tc>
        <w:tc>
          <w:tcPr>
            <w:tcW w:w="313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1"/>
                <w:szCs w:val="21"/>
                <w:u w:val="none"/>
                <w:lang w:val="en-US" w:eastAsia="zh-CN" w:bidi="ar"/>
              </w:rPr>
              <w:t>住房公积金</w:t>
            </w:r>
          </w:p>
        </w:tc>
        <w:tc>
          <w:tcPr>
            <w:tcW w:w="102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005"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290"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080" w:type="dxa"/>
            <w:vAlign w:val="center"/>
          </w:tcPr>
          <w:p>
            <w:pPr>
              <w:pStyle w:val="15"/>
            </w:pPr>
          </w:p>
        </w:tc>
        <w:tc>
          <w:tcPr>
            <w:tcW w:w="840" w:type="dxa"/>
            <w:vAlign w:val="center"/>
          </w:tcPr>
          <w:p>
            <w:pPr>
              <w:pStyle w:val="15"/>
            </w:pPr>
          </w:p>
        </w:tc>
        <w:tc>
          <w:tcPr>
            <w:tcW w:w="750" w:type="dxa"/>
            <w:vAlign w:val="center"/>
          </w:tcPr>
          <w:p>
            <w:pPr>
              <w:pStyle w:val="15"/>
            </w:pPr>
          </w:p>
        </w:tc>
        <w:tc>
          <w:tcPr>
            <w:tcW w:w="855" w:type="dxa"/>
            <w:vAlign w:val="center"/>
          </w:tcPr>
          <w:p>
            <w:pPr>
              <w:pStyle w:val="15"/>
            </w:pPr>
          </w:p>
        </w:tc>
        <w:tc>
          <w:tcPr>
            <w:tcW w:w="1410" w:type="dxa"/>
            <w:vAlign w:val="center"/>
          </w:tcPr>
          <w:p>
            <w:pPr>
              <w:pStyle w:val="15"/>
            </w:pPr>
          </w:p>
        </w:tc>
        <w:tc>
          <w:tcPr>
            <w:tcW w:w="765" w:type="dxa"/>
            <w:vAlign w:val="center"/>
          </w:tcPr>
          <w:p>
            <w:pPr>
              <w:pStyle w:val="15"/>
            </w:pPr>
          </w:p>
        </w:tc>
        <w:tc>
          <w:tcPr>
            <w:tcW w:w="7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rPr>
                <w:rFonts w:hint="eastAsia"/>
              </w:rPr>
              <w:t>合计</w:t>
            </w:r>
          </w:p>
        </w:tc>
        <w:tc>
          <w:tcPr>
            <w:tcW w:w="136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315.54</w:t>
            </w:r>
          </w:p>
        </w:tc>
        <w:tc>
          <w:tcPr>
            <w:tcW w:w="136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243.04</w:t>
            </w:r>
          </w:p>
        </w:tc>
        <w:tc>
          <w:tcPr>
            <w:tcW w:w="136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72.50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1361" w:type="dxa"/>
            <w:vAlign w:val="top"/>
          </w:tcPr>
          <w:p>
            <w:pPr>
              <w:jc w:val="right"/>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rPr>
                <w:rFonts w:hint="eastAsia" w:ascii="宋体" w:hAnsi="宋体" w:eastAsia="宋体" w:cs="宋体"/>
                <w:i w:val="0"/>
                <w:iCs w:val="0"/>
                <w:color w:val="000000"/>
                <w:kern w:val="0"/>
                <w:sz w:val="21"/>
                <w:szCs w:val="21"/>
                <w:u w:val="none"/>
                <w:lang w:val="en-US" w:eastAsia="zh-CN" w:bidi="ar"/>
              </w:rPr>
              <w:t>315.54</w:t>
            </w:r>
          </w:p>
        </w:tc>
        <w:tc>
          <w:tcPr>
            <w:tcW w:w="3402" w:type="dxa"/>
            <w:vAlign w:val="center"/>
          </w:tcPr>
          <w:p>
            <w:pPr>
              <w:pStyle w:val="16"/>
            </w:pPr>
            <w:r>
              <w:t>一、一般公共服务支出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289.93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47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7.69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315.54</w:t>
            </w:r>
          </w:p>
        </w:tc>
        <w:tc>
          <w:tcPr>
            <w:tcW w:w="3402" w:type="dxa"/>
            <w:vAlign w:val="center"/>
          </w:tcPr>
          <w:p>
            <w:pPr>
              <w:pStyle w:val="18"/>
            </w:pPr>
            <w:r>
              <w:t>本年支出合计</w:t>
            </w:r>
          </w:p>
        </w:tc>
        <w:tc>
          <w:tcPr>
            <w:tcW w:w="1474"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top"/>
          </w:tcPr>
          <w:p>
            <w:pPr>
              <w:jc w:val="right"/>
            </w:pPr>
          </w:p>
        </w:tc>
        <w:tc>
          <w:tcPr>
            <w:tcW w:w="3402" w:type="dxa"/>
            <w:vAlign w:val="center"/>
          </w:tcPr>
          <w:p>
            <w:pPr>
              <w:pStyle w:val="16"/>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top"/>
          </w:tcPr>
          <w:p>
            <w:pPr>
              <w:jc w:val="right"/>
            </w:pPr>
          </w:p>
        </w:tc>
        <w:tc>
          <w:tcPr>
            <w:tcW w:w="3402"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top"/>
          </w:tcPr>
          <w:p>
            <w:pPr>
              <w:jc w:val="right"/>
            </w:pPr>
          </w:p>
        </w:tc>
        <w:tc>
          <w:tcPr>
            <w:tcW w:w="3402"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top"/>
          </w:tcPr>
          <w:p>
            <w:pPr>
              <w:jc w:val="right"/>
            </w:pPr>
          </w:p>
        </w:tc>
        <w:tc>
          <w:tcPr>
            <w:tcW w:w="3402" w:type="dxa"/>
            <w:vAlign w:val="center"/>
          </w:tcPr>
          <w:p>
            <w:pPr>
              <w:pStyle w:val="16"/>
            </w:pPr>
          </w:p>
        </w:tc>
        <w:tc>
          <w:tcPr>
            <w:tcW w:w="1474" w:type="dxa"/>
            <w:vAlign w:val="top"/>
          </w:tcPr>
          <w:p>
            <w:pPr>
              <w:jc w:val="right"/>
            </w:pPr>
          </w:p>
        </w:tc>
        <w:tc>
          <w:tcPr>
            <w:tcW w:w="1474" w:type="dxa"/>
            <w:vAlign w:val="top"/>
          </w:tcPr>
          <w:p>
            <w:pPr>
              <w:jc w:val="right"/>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315.54</w:t>
            </w:r>
          </w:p>
        </w:tc>
        <w:tc>
          <w:tcPr>
            <w:tcW w:w="3402" w:type="dxa"/>
            <w:vAlign w:val="center"/>
          </w:tcPr>
          <w:p>
            <w:pPr>
              <w:pStyle w:val="18"/>
            </w:pPr>
            <w:r>
              <w:t>支出总计</w:t>
            </w:r>
          </w:p>
        </w:tc>
        <w:tc>
          <w:tcPr>
            <w:tcW w:w="1474"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1"/>
                <w:szCs w:val="21"/>
                <w:u w:val="none"/>
                <w:lang w:val="en-US" w:eastAsia="zh-CN" w:bidi="ar"/>
              </w:rPr>
              <w:t>315.54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315.54</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243.04</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72.50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289.93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217.43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50" w:type="dxa"/>
            <w:vAlign w:val="center"/>
          </w:tcPr>
          <w:p>
            <w:pPr>
              <w:pStyle w:val="17"/>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243.04</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128.85</w:t>
            </w:r>
          </w:p>
        </w:tc>
        <w:tc>
          <w:tcPr>
            <w:tcW w:w="2551" w:type="dxa"/>
            <w:vAlign w:val="top"/>
          </w:tcPr>
          <w:p>
            <w:pPr>
              <w:keepNext w:val="0"/>
              <w:keepLines w:val="0"/>
              <w:widowControl/>
              <w:suppressLineNumbers w:val="0"/>
              <w:jc w:val="right"/>
              <w:textAlignment w:val="top"/>
            </w:pPr>
            <w:r>
              <w:rPr>
                <w:rFonts w:hint="eastAsia" w:ascii="宋体" w:hAnsi="宋体" w:eastAsia="宋体" w:cs="宋体"/>
                <w:b/>
                <w:bCs/>
                <w:i w:val="0"/>
                <w:iCs w:val="0"/>
                <w:color w:val="000000"/>
                <w:kern w:val="0"/>
                <w:sz w:val="20"/>
                <w:szCs w:val="20"/>
                <w:u w:val="none"/>
                <w:lang w:val="en-US" w:eastAsia="zh-CN" w:bidi="ar"/>
              </w:rPr>
              <w:t>114.19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128.12</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128.12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54.26</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21.48</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21.48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2.41</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10.63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12.99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4.93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7.69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30199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其他工资福利支出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13.20</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13.20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114.19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114.19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98.15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98.15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2.93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7"/>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0"/>
                <w:szCs w:val="20"/>
                <w:u w:val="none"/>
                <w:lang w:val="en-US" w:eastAsia="zh-CN" w:bidi="ar"/>
              </w:rPr>
              <w:t>0.73</w:t>
            </w:r>
          </w:p>
        </w:tc>
        <w:tc>
          <w:tcPr>
            <w:tcW w:w="255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2.6</w:t>
            </w:r>
          </w:p>
        </w:tc>
        <w:tc>
          <w:tcPr>
            <w:tcW w:w="2381" w:type="dxa"/>
            <w:vAlign w:val="center"/>
          </w:tcPr>
          <w:p>
            <w:pPr>
              <w:pStyle w:val="19"/>
              <w:rPr>
                <w:rFonts w:hint="default" w:eastAsia="方正书宋_GBK"/>
                <w:lang w:val="en-US" w:eastAsia="zh-CN"/>
              </w:rPr>
            </w:pPr>
            <w:r>
              <w:rPr>
                <w:rFonts w:hint="eastAsia"/>
                <w:lang w:val="en-US" w:eastAsia="zh-CN"/>
              </w:rPr>
              <w:t>2.6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2.6</w:t>
            </w:r>
          </w:p>
        </w:tc>
        <w:tc>
          <w:tcPr>
            <w:tcW w:w="238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2.6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0.60</w:t>
            </w:r>
          </w:p>
        </w:tc>
        <w:tc>
          <w:tcPr>
            <w:tcW w:w="238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0.60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top"/>
          </w:tcPr>
          <w:p>
            <w:pPr>
              <w:jc w:val="right"/>
            </w:pPr>
          </w:p>
        </w:tc>
        <w:tc>
          <w:tcPr>
            <w:tcW w:w="2381" w:type="dxa"/>
            <w:vAlign w:val="top"/>
          </w:tcPr>
          <w:p>
            <w:pPr>
              <w:jc w:val="right"/>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jc w:val="both"/>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2022年部门预算信息公开情况说明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bookmarkStart w:id="8" w:name="_Toc_3_3_0000000014"/>
      <w:r>
        <w:rPr>
          <w:rFonts w:hint="eastAsia" w:ascii="宋体" w:hAnsi="宋体" w:eastAsia="宋体" w:cs="宋体"/>
          <w:color w:val="000000"/>
          <w:sz w:val="28"/>
          <w:szCs w:val="28"/>
        </w:rPr>
        <w:t>按照《</w:t>
      </w:r>
      <w:r>
        <w:rPr>
          <w:rFonts w:hint="eastAsia" w:ascii="宋体" w:hAnsi="宋体" w:eastAsia="宋体" w:cs="宋体"/>
          <w:color w:val="000000"/>
          <w:sz w:val="28"/>
          <w:szCs w:val="28"/>
          <w:lang w:eastAsia="zh-CN"/>
        </w:rPr>
        <w:t>中华人民共和国预算法</w:t>
      </w:r>
      <w:r>
        <w:rPr>
          <w:rFonts w:hint="eastAsia" w:ascii="宋体" w:hAnsi="宋体" w:eastAsia="宋体" w:cs="宋体"/>
          <w:color w:val="000000"/>
          <w:sz w:val="28"/>
          <w:szCs w:val="28"/>
        </w:rPr>
        <w:t>》、《地方预决算公开操作规程》和《关于进一步推进预算公开工作的实施意见》规定，现将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2022年单位预算公开如下：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制定全县统计调查标准和统计调查制度；组织管理、审批全县各级各部门统计调查项目（包括社会和涉外调查）、调查计划、调查方案。</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1"/>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（八）、承办县委、县政府交办的其他事项。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4"/>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w:t>
      </w:r>
      <w:r>
        <w:rPr>
          <w:rFonts w:hint="eastAsia" w:ascii="宋体" w:hAnsi="宋体" w:eastAsia="宋体" w:cs="宋体"/>
          <w:b/>
          <w:bCs/>
          <w:color w:val="000000"/>
          <w:sz w:val="28"/>
          <w:szCs w:val="28"/>
          <w:lang w:eastAsia="zh-CN"/>
        </w:rPr>
        <w:t>部门</w:t>
      </w:r>
      <w:r>
        <w:rPr>
          <w:rFonts w:hint="eastAsia" w:ascii="宋体" w:hAnsi="宋体" w:eastAsia="宋体" w:cs="宋体"/>
          <w:b/>
          <w:bCs/>
          <w:color w:val="000000"/>
          <w:sz w:val="28"/>
          <w:szCs w:val="28"/>
        </w:rPr>
        <w:t>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万元，其中：基本支出预算</w:t>
      </w:r>
      <w:r>
        <w:rPr>
          <w:rFonts w:hint="eastAsia" w:ascii="宋体" w:hAnsi="宋体" w:eastAsia="宋体" w:cs="宋体"/>
          <w:color w:val="000000"/>
          <w:sz w:val="28"/>
          <w:szCs w:val="28"/>
          <w:lang w:val="en-US" w:eastAsia="zh-CN"/>
        </w:rPr>
        <w:t>243.04</w:t>
      </w:r>
      <w:r>
        <w:rPr>
          <w:rFonts w:hint="eastAsia" w:ascii="宋体" w:hAnsi="宋体" w:eastAsia="宋体" w:cs="宋体"/>
          <w:color w:val="000000"/>
          <w:sz w:val="28"/>
          <w:szCs w:val="28"/>
        </w:rPr>
        <w:t>万元（其中人员支出预算1</w:t>
      </w:r>
      <w:r>
        <w:rPr>
          <w:rFonts w:hint="eastAsia" w:ascii="宋体" w:hAnsi="宋体" w:eastAsia="宋体" w:cs="宋体"/>
          <w:color w:val="000000"/>
          <w:sz w:val="28"/>
          <w:szCs w:val="28"/>
          <w:lang w:val="en-US" w:eastAsia="zh-CN"/>
        </w:rPr>
        <w:t>28.85</w:t>
      </w:r>
      <w:r>
        <w:rPr>
          <w:rFonts w:hint="eastAsia" w:ascii="宋体" w:hAnsi="宋体" w:eastAsia="宋体" w:cs="宋体"/>
          <w:color w:val="000000"/>
          <w:sz w:val="28"/>
          <w:szCs w:val="28"/>
        </w:rPr>
        <w:t>万元，日常公用支出预算1</w:t>
      </w:r>
      <w:r>
        <w:rPr>
          <w:rFonts w:hint="eastAsia" w:ascii="宋体" w:hAnsi="宋体" w:eastAsia="宋体" w:cs="宋体"/>
          <w:color w:val="000000"/>
          <w:sz w:val="28"/>
          <w:szCs w:val="28"/>
          <w:lang w:val="en-US" w:eastAsia="zh-CN"/>
        </w:rPr>
        <w:t>14.19</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72.5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，主要是一般行政管理事务</w:t>
      </w:r>
      <w:r>
        <w:rPr>
          <w:rFonts w:hint="eastAsia" w:ascii="宋体" w:hAnsi="宋体" w:eastAsia="宋体" w:cs="宋体"/>
          <w:color w:val="000000"/>
          <w:sz w:val="28"/>
          <w:szCs w:val="28"/>
          <w:lang w:val="en-US" w:eastAsia="zh-CN"/>
        </w:rPr>
        <w:t>24.58万元，专项普查活动5万元，统计抽样调查42.92万元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315.54</w:t>
      </w:r>
      <w:r>
        <w:rPr>
          <w:rFonts w:hint="eastAsia" w:ascii="宋体" w:hAnsi="宋体" w:eastAsia="宋体" w:cs="宋体"/>
          <w:color w:val="000000"/>
          <w:sz w:val="28"/>
          <w:szCs w:val="28"/>
        </w:rPr>
        <w:t>万元，比上年</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241.68</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6.2</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2021年7月新增一名</w:t>
      </w:r>
      <w:r>
        <w:rPr>
          <w:rFonts w:hint="eastAsia" w:ascii="宋体" w:hAnsi="宋体" w:eastAsia="宋体" w:cs="宋体"/>
          <w:color w:val="000000"/>
          <w:sz w:val="28"/>
          <w:szCs w:val="28"/>
          <w:lang w:eastAsia="zh-CN"/>
        </w:rPr>
        <w:t>公务员</w:t>
      </w:r>
      <w:r>
        <w:rPr>
          <w:rFonts w:hint="eastAsia" w:ascii="宋体" w:hAnsi="宋体" w:eastAsia="宋体" w:cs="宋体"/>
          <w:color w:val="000000"/>
          <w:sz w:val="28"/>
          <w:szCs w:val="28"/>
          <w:lang w:val="en-US" w:eastAsia="zh-CN"/>
        </w:rPr>
        <w:t>2021年的工资、福利费等相应增加</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项目支出预算比上年</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247.88</w:t>
      </w:r>
      <w:r>
        <w:rPr>
          <w:rFonts w:hint="eastAsia" w:ascii="宋体" w:hAnsi="宋体" w:eastAsia="宋体" w:cs="宋体"/>
          <w:color w:val="000000"/>
          <w:sz w:val="28"/>
          <w:szCs w:val="28"/>
        </w:rPr>
        <w:t>万元。原因是：全国第七次人口普查</w:t>
      </w:r>
      <w:r>
        <w:rPr>
          <w:rFonts w:hint="eastAsia" w:ascii="宋体" w:hAnsi="宋体" w:eastAsia="宋体" w:cs="宋体"/>
          <w:color w:val="000000"/>
          <w:sz w:val="28"/>
          <w:szCs w:val="28"/>
          <w:lang w:eastAsia="zh-CN"/>
        </w:rPr>
        <w:t>“两员”补贴</w:t>
      </w:r>
      <w:r>
        <w:rPr>
          <w:rFonts w:hint="eastAsia" w:ascii="宋体" w:hAnsi="宋体" w:eastAsia="宋体" w:cs="宋体"/>
          <w:color w:val="000000"/>
          <w:sz w:val="28"/>
          <w:szCs w:val="28"/>
          <w:lang w:val="en-US" w:eastAsia="zh-CN"/>
        </w:rPr>
        <w:t>242万元</w:t>
      </w:r>
      <w:r>
        <w:rPr>
          <w:rFonts w:hint="eastAsia" w:ascii="宋体" w:hAnsi="宋体" w:eastAsia="宋体" w:cs="宋体"/>
          <w:color w:val="000000"/>
          <w:sz w:val="28"/>
          <w:szCs w:val="28"/>
          <w:lang w:eastAsia="zh-CN"/>
        </w:rPr>
        <w:t>在</w:t>
      </w:r>
      <w:r>
        <w:rPr>
          <w:rFonts w:hint="eastAsia" w:ascii="宋体" w:hAnsi="宋体" w:eastAsia="宋体" w:cs="宋体"/>
          <w:color w:val="000000"/>
          <w:sz w:val="28"/>
          <w:szCs w:val="28"/>
          <w:lang w:val="en-US" w:eastAsia="zh-CN"/>
        </w:rPr>
        <w:t>2021年发放</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2022年无此补贴发放项目。</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114.19</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64</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2</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98.15</w:t>
      </w:r>
      <w:r>
        <w:rPr>
          <w:rFonts w:hint="eastAsia" w:ascii="宋体" w:hAnsi="宋体" w:eastAsia="宋体" w:cs="宋体"/>
          <w:sz w:val="28"/>
          <w:szCs w:val="28"/>
        </w:rPr>
        <w:t>万元，工会经费0.9</w:t>
      </w:r>
      <w:r>
        <w:rPr>
          <w:rFonts w:hint="eastAsia" w:ascii="宋体" w:hAnsi="宋体" w:eastAsia="宋体" w:cs="宋体"/>
          <w:sz w:val="28"/>
          <w:szCs w:val="28"/>
          <w:lang w:val="en-US" w:eastAsia="zh-CN"/>
        </w:rPr>
        <w:t>3</w:t>
      </w:r>
      <w:r>
        <w:rPr>
          <w:rFonts w:hint="eastAsia" w:ascii="宋体" w:hAnsi="宋体" w:eastAsia="宋体" w:cs="宋体"/>
          <w:sz w:val="28"/>
          <w:szCs w:val="28"/>
        </w:rPr>
        <w:t>万元，公务</w:t>
      </w:r>
      <w:r>
        <w:rPr>
          <w:rFonts w:hint="eastAsia" w:ascii="宋体" w:hAnsi="宋体" w:eastAsia="宋体" w:cs="宋体"/>
          <w:bCs/>
          <w:sz w:val="28"/>
          <w:szCs w:val="28"/>
        </w:rPr>
        <w:t>用车运行维护费2.0万元，其他交通费用</w:t>
      </w:r>
      <w:r>
        <w:rPr>
          <w:rFonts w:hint="eastAsia" w:ascii="宋体" w:hAnsi="宋体" w:eastAsia="宋体" w:cs="宋体"/>
          <w:bCs/>
          <w:sz w:val="28"/>
          <w:szCs w:val="28"/>
          <w:lang w:val="en-US" w:eastAsia="zh-CN"/>
        </w:rPr>
        <w:t>5.46</w:t>
      </w:r>
      <w:r>
        <w:rPr>
          <w:rFonts w:hint="eastAsia" w:ascii="宋体" w:hAnsi="宋体" w:eastAsia="宋体" w:cs="宋体"/>
          <w:bCs/>
          <w:sz w:val="28"/>
          <w:szCs w:val="28"/>
        </w:rPr>
        <w:t>万元，</w:t>
      </w:r>
      <w:r>
        <w:rPr>
          <w:rFonts w:hint="eastAsia" w:ascii="宋体" w:hAnsi="宋体" w:eastAsia="宋体" w:cs="宋体"/>
          <w:bCs/>
          <w:sz w:val="28"/>
          <w:szCs w:val="28"/>
          <w:lang w:eastAsia="zh-CN"/>
        </w:rPr>
        <w:t>福利费</w:t>
      </w:r>
      <w:r>
        <w:rPr>
          <w:rFonts w:hint="eastAsia" w:ascii="宋体" w:hAnsi="宋体" w:eastAsia="宋体" w:cs="宋体"/>
          <w:bCs/>
          <w:sz w:val="28"/>
          <w:szCs w:val="28"/>
          <w:lang w:val="en-US" w:eastAsia="zh-CN"/>
        </w:rPr>
        <w:t>2.93万元，</w:t>
      </w:r>
      <w:r>
        <w:rPr>
          <w:rFonts w:hint="eastAsia" w:ascii="宋体" w:hAnsi="宋体" w:eastAsia="宋体" w:cs="宋体"/>
          <w:bCs/>
          <w:sz w:val="28"/>
          <w:szCs w:val="28"/>
        </w:rPr>
        <w:t>其他商品和服务支出</w:t>
      </w:r>
      <w:r>
        <w:rPr>
          <w:rFonts w:hint="eastAsia" w:ascii="宋体" w:hAnsi="宋体" w:eastAsia="宋体" w:cs="宋体"/>
          <w:bCs/>
          <w:sz w:val="28"/>
          <w:szCs w:val="28"/>
          <w:lang w:val="en-US" w:eastAsia="zh-CN"/>
        </w:rPr>
        <w:t>0.52</w:t>
      </w:r>
      <w:r>
        <w:rPr>
          <w:rFonts w:hint="eastAsia" w:ascii="宋体" w:hAnsi="宋体" w:eastAsia="宋体" w:cs="宋体"/>
          <w:bCs/>
          <w:sz w:val="28"/>
          <w:szCs w:val="28"/>
        </w:rPr>
        <w:t>万元。</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1.2</w:t>
      </w:r>
      <w:r>
        <w:rPr>
          <w:rFonts w:hint="eastAsia" w:ascii="宋体" w:hAnsi="宋体" w:eastAsia="宋体" w:cs="宋体"/>
          <w:sz w:val="28"/>
          <w:szCs w:val="28"/>
        </w:rPr>
        <w:t>万元，原因是：</w:t>
      </w:r>
      <w:r>
        <w:rPr>
          <w:rFonts w:hint="eastAsia" w:ascii="宋体" w:hAnsi="宋体" w:eastAsia="宋体" w:cs="宋体"/>
          <w:sz w:val="28"/>
          <w:szCs w:val="28"/>
          <w:lang w:eastAsia="zh-CN"/>
        </w:rPr>
        <w:t>新增</w:t>
      </w:r>
      <w:r>
        <w:rPr>
          <w:rFonts w:hint="eastAsia" w:ascii="宋体" w:hAnsi="宋体" w:eastAsia="宋体" w:cs="宋体"/>
          <w:sz w:val="28"/>
          <w:szCs w:val="28"/>
          <w:lang w:val="en-US" w:eastAsia="zh-CN"/>
        </w:rPr>
        <w:t>1名公务员，交通补贴增加</w:t>
      </w:r>
      <w:r>
        <w:rPr>
          <w:rFonts w:hint="eastAsia" w:ascii="宋体" w:hAnsi="宋体" w:eastAsia="宋体" w:cs="宋体"/>
          <w:sz w:val="28"/>
          <w:szCs w:val="28"/>
        </w:rPr>
        <w:t>。</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kern w:val="0"/>
          <w:sz w:val="28"/>
          <w:szCs w:val="28"/>
          <w:lang w:bidi="ar"/>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2.6</w:t>
      </w:r>
      <w:r>
        <w:rPr>
          <w:rFonts w:hint="eastAsia" w:ascii="宋体" w:hAnsi="宋体" w:eastAsia="宋体" w:cs="宋体"/>
          <w:sz w:val="28"/>
          <w:szCs w:val="28"/>
        </w:rPr>
        <w:t>万元，比上年</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0.3</w:t>
      </w:r>
      <w:r>
        <w:rPr>
          <w:rFonts w:hint="eastAsia" w:ascii="宋体" w:hAnsi="宋体" w:eastAsia="宋体" w:cs="宋体"/>
          <w:sz w:val="28"/>
          <w:szCs w:val="28"/>
        </w:rPr>
        <w:t>万元，其中：</w:t>
      </w:r>
      <w:r>
        <w:rPr>
          <w:rFonts w:hint="eastAsia" w:ascii="宋体" w:hAnsi="宋体" w:eastAsia="宋体" w:cs="宋体"/>
          <w:bCs/>
          <w:sz w:val="28"/>
          <w:szCs w:val="28"/>
        </w:rPr>
        <w:t>公务用车运行维护费</w:t>
      </w:r>
      <w:r>
        <w:rPr>
          <w:rFonts w:hint="eastAsia" w:ascii="宋体" w:hAnsi="宋体" w:eastAsia="宋体" w:cs="宋体"/>
          <w:sz w:val="28"/>
          <w:szCs w:val="28"/>
        </w:rPr>
        <w:t>2.0万元，与上年持平，</w:t>
      </w:r>
      <w:r>
        <w:rPr>
          <w:rFonts w:hint="eastAsia" w:ascii="宋体" w:hAnsi="宋体" w:eastAsia="宋体" w:cs="宋体"/>
          <w:kern w:val="0"/>
          <w:sz w:val="28"/>
          <w:szCs w:val="28"/>
          <w:lang w:bidi="ar"/>
        </w:rPr>
        <w:t>公务接待费</w:t>
      </w:r>
      <w:r>
        <w:rPr>
          <w:rFonts w:hint="eastAsia" w:ascii="宋体" w:hAnsi="宋体" w:eastAsia="宋体" w:cs="宋体"/>
          <w:kern w:val="0"/>
          <w:sz w:val="28"/>
          <w:szCs w:val="28"/>
          <w:lang w:val="en-US" w:eastAsia="zh-CN" w:bidi="ar"/>
        </w:rPr>
        <w:t>0.6</w:t>
      </w:r>
      <w:r>
        <w:rPr>
          <w:rFonts w:hint="eastAsia" w:ascii="宋体" w:hAnsi="宋体" w:eastAsia="宋体" w:cs="宋体"/>
          <w:kern w:val="0"/>
          <w:sz w:val="28"/>
          <w:szCs w:val="28"/>
          <w:lang w:bidi="ar"/>
        </w:rPr>
        <w:t>万元，比上年</w:t>
      </w:r>
      <w:r>
        <w:rPr>
          <w:rFonts w:hint="eastAsia" w:ascii="宋体" w:hAnsi="宋体" w:eastAsia="宋体" w:cs="宋体"/>
          <w:kern w:val="0"/>
          <w:sz w:val="28"/>
          <w:szCs w:val="28"/>
          <w:lang w:eastAsia="zh-CN" w:bidi="ar"/>
        </w:rPr>
        <w:t>减少</w:t>
      </w:r>
      <w:r>
        <w:rPr>
          <w:rFonts w:hint="eastAsia" w:ascii="宋体" w:hAnsi="宋体" w:eastAsia="宋体" w:cs="宋体"/>
          <w:kern w:val="0"/>
          <w:sz w:val="28"/>
          <w:szCs w:val="28"/>
          <w:lang w:val="en-US" w:eastAsia="zh-CN" w:bidi="ar"/>
        </w:rPr>
        <w:t>0.3</w:t>
      </w:r>
      <w:r>
        <w:rPr>
          <w:rFonts w:hint="eastAsia" w:ascii="宋体" w:hAnsi="宋体" w:eastAsia="宋体" w:cs="宋体"/>
          <w:kern w:val="0"/>
          <w:sz w:val="28"/>
          <w:szCs w:val="28"/>
          <w:lang w:bidi="ar"/>
        </w:rPr>
        <w:t>万元，因公出国支出未做预算安排。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会议费预算</w:t>
      </w:r>
      <w:r>
        <w:rPr>
          <w:rFonts w:hint="eastAsia" w:ascii="宋体" w:hAnsi="宋体" w:eastAsia="宋体" w:cs="宋体"/>
          <w:sz w:val="28"/>
          <w:szCs w:val="28"/>
          <w:lang w:val="en-US" w:eastAsia="zh-CN"/>
        </w:rPr>
        <w:t>0.6</w:t>
      </w:r>
      <w:r>
        <w:rPr>
          <w:rFonts w:hint="eastAsia" w:ascii="宋体" w:hAnsi="宋体" w:eastAsia="宋体" w:cs="宋体"/>
          <w:sz w:val="28"/>
          <w:szCs w:val="28"/>
        </w:rPr>
        <w:t>万元，培训费预算</w:t>
      </w:r>
      <w:r>
        <w:rPr>
          <w:rFonts w:hint="eastAsia" w:ascii="宋体" w:hAnsi="宋体" w:eastAsia="宋体" w:cs="宋体"/>
          <w:sz w:val="28"/>
          <w:szCs w:val="28"/>
          <w:lang w:val="en-US" w:eastAsia="zh-CN"/>
        </w:rPr>
        <w:t>0.7</w:t>
      </w:r>
      <w:r>
        <w:rPr>
          <w:rFonts w:hint="eastAsia" w:ascii="宋体" w:hAnsi="宋体" w:eastAsia="宋体" w:cs="宋体"/>
          <w:sz w:val="28"/>
          <w:szCs w:val="28"/>
        </w:rPr>
        <w:t>万元，其中：抽样调查</w:t>
      </w:r>
      <w:r>
        <w:rPr>
          <w:rFonts w:hint="eastAsia" w:ascii="宋体" w:hAnsi="宋体" w:eastAsia="宋体" w:cs="宋体"/>
          <w:sz w:val="28"/>
          <w:szCs w:val="28"/>
          <w:lang w:val="en-US" w:eastAsia="zh-CN"/>
        </w:rPr>
        <w:t>4</w:t>
      </w:r>
      <w:r>
        <w:rPr>
          <w:rFonts w:hint="eastAsia" w:ascii="宋体" w:hAnsi="宋体" w:eastAsia="宋体" w:cs="宋体"/>
          <w:sz w:val="28"/>
          <w:szCs w:val="28"/>
        </w:rPr>
        <w:t>次会议</w:t>
      </w:r>
      <w:r>
        <w:rPr>
          <w:rFonts w:hint="eastAsia" w:ascii="宋体" w:hAnsi="宋体" w:eastAsia="宋体" w:cs="宋体"/>
          <w:sz w:val="28"/>
          <w:szCs w:val="28"/>
          <w:lang w:val="en-US" w:eastAsia="zh-CN"/>
        </w:rPr>
        <w:t>120</w:t>
      </w:r>
      <w:r>
        <w:rPr>
          <w:rFonts w:hint="eastAsia" w:ascii="宋体" w:hAnsi="宋体" w:eastAsia="宋体" w:cs="宋体"/>
          <w:sz w:val="28"/>
          <w:szCs w:val="28"/>
        </w:rPr>
        <w:t>人次，共计0.</w:t>
      </w:r>
      <w:r>
        <w:rPr>
          <w:rFonts w:hint="eastAsia" w:ascii="宋体" w:hAnsi="宋体" w:eastAsia="宋体" w:cs="宋体"/>
          <w:sz w:val="28"/>
          <w:szCs w:val="28"/>
          <w:lang w:val="en-US" w:eastAsia="zh-CN"/>
        </w:rPr>
        <w:t>6</w:t>
      </w:r>
      <w:r>
        <w:rPr>
          <w:rFonts w:hint="eastAsia" w:ascii="宋体" w:hAnsi="宋体" w:eastAsia="宋体" w:cs="宋体"/>
          <w:sz w:val="28"/>
          <w:szCs w:val="28"/>
        </w:rPr>
        <w:t>万元；5次培训，</w:t>
      </w:r>
      <w:r>
        <w:rPr>
          <w:rFonts w:hint="eastAsia" w:ascii="宋体" w:hAnsi="宋体" w:eastAsia="宋体" w:cs="宋体"/>
          <w:sz w:val="28"/>
          <w:szCs w:val="28"/>
          <w:lang w:val="en-US" w:eastAsia="zh-CN"/>
        </w:rPr>
        <w:t>150</w:t>
      </w:r>
      <w:r>
        <w:rPr>
          <w:rFonts w:hint="eastAsia" w:ascii="宋体" w:hAnsi="宋体" w:eastAsia="宋体" w:cs="宋体"/>
          <w:sz w:val="28"/>
          <w:szCs w:val="28"/>
        </w:rPr>
        <w:t>人次，共计</w:t>
      </w:r>
      <w:r>
        <w:rPr>
          <w:rFonts w:hint="eastAsia" w:ascii="宋体" w:hAnsi="宋体" w:eastAsia="宋体" w:cs="宋体"/>
          <w:sz w:val="28"/>
          <w:szCs w:val="28"/>
          <w:lang w:val="en-US" w:eastAsia="zh-CN"/>
        </w:rPr>
        <w:t>0.7</w:t>
      </w:r>
      <w:r>
        <w:rPr>
          <w:rFonts w:hint="eastAsia" w:ascii="宋体" w:hAnsi="宋体" w:eastAsia="宋体" w:cs="宋体"/>
          <w:sz w:val="28"/>
          <w:szCs w:val="28"/>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eastAsia="zh-CN"/>
              </w:rPr>
              <w:t>1</w:t>
            </w:r>
            <w:r>
              <w:rPr>
                <w:rFonts w:hint="eastAsia" w:ascii="宋体" w:hAnsi="宋体" w:eastAsia="宋体" w:cs="宋体"/>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eastAsia="zh-CN"/>
              </w:rPr>
              <w:t>2</w:t>
            </w:r>
            <w:r>
              <w:rPr>
                <w:rFonts w:hint="eastAsia" w:ascii="宋体" w:hAnsi="宋体" w:eastAsia="宋体" w:cs="宋体"/>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0.6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-0.3</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按要求压减开支</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lang w:val="en-US" w:eastAsia="zh-CN"/>
              </w:rPr>
              <w:t>2.6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2.9</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-0.3</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sz w:val="24"/>
                <w:szCs w:val="24"/>
                <w:lang w:eastAsia="zh-CN"/>
              </w:rPr>
              <w:t>按要求压减开支</w:t>
            </w:r>
          </w:p>
        </w:tc>
      </w:tr>
    </w:tbl>
    <w:p>
      <w:pPr>
        <w:spacing w:before="10" w:after="10"/>
        <w:outlineLvl w:val="5"/>
        <w:rPr>
          <w:rFonts w:hint="eastAsia" w:ascii="黑体" w:hAnsi="黑体" w:eastAsia="黑体" w:cs="黑体"/>
          <w:color w:val="000000"/>
          <w:sz w:val="32"/>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8"/>
    </w:p>
    <w:p>
      <w:pPr>
        <w:keepNext w:val="0"/>
        <w:keepLines w:val="0"/>
        <w:pageBreakBefore w:val="0"/>
        <w:kinsoku/>
        <w:wordWrap/>
        <w:overflowPunct/>
        <w:topLinePunct w:val="0"/>
        <w:autoSpaceDE/>
        <w:autoSpaceDN/>
        <w:bidi w:val="0"/>
        <w:adjustRightInd/>
        <w:snapToGrid/>
        <w:spacing w:line="520" w:lineRule="exact"/>
        <w:ind w:firstLine="640"/>
        <w:textAlignment w:val="auto"/>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（一）总体绩效目标</w:t>
      </w:r>
      <w:bookmarkStart w:id="13" w:name="_GoBack"/>
      <w:bookmarkEnd w:id="13"/>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 w:hAnsi="仿宋" w:eastAsia="仿宋"/>
          <w:sz w:val="32"/>
          <w:szCs w:val="32"/>
        </w:rPr>
      </w:pPr>
      <w:r>
        <w:rPr>
          <w:rFonts w:ascii="仿宋" w:hAnsi="仿宋" w:eastAsia="仿宋"/>
          <w:sz w:val="32"/>
          <w:szCs w:val="32"/>
        </w:rPr>
        <w:t xml:space="preserve">坚持以习近平新时代中国特色社会主义思想为指导，深入贯彻党的十九大和十九届二中、三中、四中全会精神，全面落实省委九届九次全会精神，围绕县委和县政府和上级统计局决策部署，以加强党的政治建设为统领，以提高数据真实性为核心，以加强统计法治建设为保障，进一步加强和改进统计工作，建立健全高质量发展统计体系，发挥统计监督职能作用，不断提高统计能力、数据质量和服务水平，为推动创新发展、绿色发展、高质量发展提供优质统计服务。强化统计法治宣传，增强防范和惩治统计造假的责任意识，认真开展统计“七五”法治宣传教育，提高社会公众对统计法的认识。加强统计执法检查监督，组织开展好整治统计造假专项行动。严格执行数据质量管理办法，规范数据生产流程，加强基础数据质量管理。为推进国家治理体系和治理能力现代化提供坚实统计保障，为新时代全面建设经济强省、美丽涞水贡献统计智慧和力量。  </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（二）分项绩效目标</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outlineLvl w:val="1"/>
        <w:rPr>
          <w:rFonts w:hint="eastAsia" w:ascii="楷体" w:hAnsi="楷体" w:eastAsia="楷体" w:cs="楷体"/>
          <w:sz w:val="32"/>
          <w:szCs w:val="32"/>
        </w:rPr>
      </w:pPr>
      <w:r>
        <w:rPr>
          <w:rFonts w:hint="eastAsia" w:ascii="楷体" w:hAnsi="楷体" w:eastAsia="楷体" w:cs="楷体"/>
          <w:b/>
          <w:bCs/>
          <w:sz w:val="32"/>
          <w:szCs w:val="32"/>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国民经济核算</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绩效目标：完成全县年度、季度数据的测算审核认定工作；完成必要分析，对相关经济决策提供重要依据。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绩效指标：统计信息上报量不少于30篇；统计资料开发编印种类不少于2类；统计信息发布量不少于10篇；统计专报数量不少于4篇；年度预算资金执行率不低于90%。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国情国力普查及重要调查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绩效目标：完成国情国力普查及重要调查任务，研究提出重大县情县力普查和抽样调查计划并组织实施，汇总、整理和提供有关县情县力方面的统计数据。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绩效指标：人口普查登记数量不少于普查方案规定个数；普查数据上报及时率不低于95%；统计信息上报量不少于5篇；统计资料编印种类至少1类；年度预算资金执行率不低于90%。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专项统计调查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组织开展农业统计与产业化、企业创新、服务业统计、工业统计、能源统计、投资统计等专项统计调查工作；完成统计数据采集和上报工作，进行统计分析，为经济决策提供依据。严格执行数据质量管理办法，加强基础数据质量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绩效指标：统计资料编印种类至少1类；统计专报数量不少于8篇；确保统计数据采集上报确认11次；年度预算资金执行率不低于90%。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统计数据管理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统计数据采集决策咨询服务：完成全县统计系统各级各专业实施以企业一套表制度为核心的统计四大工程：建立并管理全县统计信息自动化和数据库系统；出版《统计公报》和《统计年鉴》，做好统计咨询服务。</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绩效指标：系统正常运行率不低于90%；平台使用满意度不低于90%；年度预算资金执行率90%。</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统计政务管理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0" w:firstLineChars="200"/>
        <w:jc w:val="left"/>
        <w:textAlignment w:val="auto"/>
        <w:rPr>
          <w:rFonts w:ascii="仿宋" w:hAnsi="仿宋" w:eastAsia="仿宋"/>
          <w:sz w:val="32"/>
          <w:szCs w:val="32"/>
        </w:rPr>
      </w:pPr>
      <w:r>
        <w:rPr>
          <w:rFonts w:ascii="仿宋" w:hAnsi="仿宋" w:eastAsia="仿宋"/>
          <w:sz w:val="32"/>
          <w:szCs w:val="32"/>
        </w:rPr>
        <w:t>绩效目标：健全全县统计法制建设，严格查处统计违法现象；加强统计执法检查监督，依纪依法查处统计违法案件。认真落实上级要求，组织开展好整治统计造假专项行动。保障统计资料科学管理与应用和机关正常运转；加强全县统计专业技术队伍建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 w:hAnsi="仿宋" w:eastAsia="仿宋"/>
          <w:sz w:val="32"/>
          <w:szCs w:val="32"/>
        </w:rPr>
      </w:pPr>
      <w:r>
        <w:rPr>
          <w:rFonts w:ascii="仿宋" w:hAnsi="仿宋" w:eastAsia="仿宋"/>
          <w:sz w:val="32"/>
          <w:szCs w:val="32"/>
        </w:rPr>
        <w:t>绩效指标：年度预算资金执行率不低于90%。</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（三）工作保障措施</w:t>
      </w:r>
    </w:p>
    <w:p>
      <w:pPr>
        <w:pStyle w:val="27"/>
        <w:keepNext w:val="0"/>
        <w:keepLines w:val="0"/>
        <w:pageBreakBefore w:val="0"/>
        <w:kinsoku/>
        <w:wordWrap/>
        <w:overflowPunct/>
        <w:topLinePunct w:val="0"/>
        <w:autoSpaceDE/>
        <w:autoSpaceDN/>
        <w:bidi w:val="0"/>
        <w:adjustRightInd/>
        <w:snapToGrid/>
        <w:spacing w:line="520" w:lineRule="exact"/>
        <w:textAlignment w:val="auto"/>
      </w:pPr>
      <w:r>
        <w:t>为保证年度发展规划目标的实现，特制定以下保障措施：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lang w:eastAsia="zh-CN"/>
        </w:rPr>
        <w:t>、</w:t>
      </w:r>
      <w:r>
        <w:rPr>
          <w:rFonts w:ascii="仿宋" w:hAnsi="仿宋" w:eastAsia="仿宋"/>
          <w:b/>
          <w:bCs/>
          <w:sz w:val="32"/>
          <w:szCs w:val="32"/>
        </w:rPr>
        <w:t>加强制度建设。</w:t>
      </w:r>
      <w:r>
        <w:rPr>
          <w:rFonts w:ascii="仿宋" w:hAnsi="仿宋" w:eastAsia="仿宋"/>
          <w:sz w:val="32"/>
          <w:szCs w:val="32"/>
        </w:rPr>
        <w:t>认真贯国家省市县由关财经方针、政策，根据预算绩效管理相关要求，修订和完善各项制度和办法，202</w:t>
      </w:r>
      <w:r>
        <w:rPr>
          <w:rFonts w:hint="eastAsia" w:ascii="仿宋" w:hAnsi="仿宋" w:eastAsia="仿宋"/>
          <w:sz w:val="32"/>
          <w:szCs w:val="32"/>
          <w:lang w:val="en-US" w:eastAsia="zh-CN"/>
        </w:rPr>
        <w:t>1</w:t>
      </w:r>
      <w:r>
        <w:rPr>
          <w:rFonts w:ascii="仿宋" w:hAnsi="仿宋" w:eastAsia="仿宋"/>
          <w:sz w:val="32"/>
          <w:szCs w:val="32"/>
        </w:rPr>
        <w:t>年制定完善机关资金管理、绩效管理办法，为绩效目标的实现奠定制度基础。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2</w:t>
      </w:r>
      <w:r>
        <w:rPr>
          <w:rFonts w:hint="eastAsia" w:ascii="仿宋" w:hAnsi="仿宋" w:eastAsia="仿宋"/>
          <w:b/>
          <w:bCs/>
          <w:sz w:val="32"/>
          <w:szCs w:val="32"/>
          <w:lang w:eastAsia="zh-CN"/>
        </w:rPr>
        <w:t>、</w:t>
      </w:r>
      <w:r>
        <w:rPr>
          <w:rFonts w:ascii="仿宋" w:hAnsi="仿宋" w:eastAsia="仿宋"/>
          <w:b/>
          <w:bCs/>
          <w:sz w:val="32"/>
          <w:szCs w:val="32"/>
        </w:rPr>
        <w:t>加快支出管理。</w:t>
      </w:r>
      <w:r>
        <w:rPr>
          <w:rFonts w:ascii="仿宋" w:hAnsi="仿宋" w:eastAsia="仿宋"/>
          <w:sz w:val="32"/>
          <w:szCs w:val="32"/>
        </w:rPr>
        <w:t>强化协调沟通机制，由财务处督导、协调各业务处制定详细的支出计划加快进度执行，对月底达不到计划要求的，予以通报并提请分管局领导专门督导。确保从3月起每月支出进度达到要求。</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3</w:t>
      </w:r>
      <w:r>
        <w:rPr>
          <w:rFonts w:hint="eastAsia" w:ascii="仿宋" w:hAnsi="仿宋" w:eastAsia="仿宋"/>
          <w:b/>
          <w:bCs/>
          <w:sz w:val="32"/>
          <w:szCs w:val="32"/>
          <w:lang w:eastAsia="zh-CN"/>
        </w:rPr>
        <w:t>、</w:t>
      </w:r>
      <w:r>
        <w:rPr>
          <w:rFonts w:ascii="仿宋" w:hAnsi="仿宋" w:eastAsia="仿宋"/>
          <w:b/>
          <w:bCs/>
          <w:sz w:val="32"/>
          <w:szCs w:val="32"/>
        </w:rPr>
        <w:t>加强内部控制。</w:t>
      </w:r>
      <w:r>
        <w:rPr>
          <w:rFonts w:ascii="仿宋" w:hAnsi="仿宋" w:eastAsia="仿宋"/>
          <w:sz w:val="32"/>
          <w:szCs w:val="32"/>
        </w:rPr>
        <w:t>全面推进财务管理工作的开展，进一步加强内部控制制度的管理，规范财会基础工作，提高财会工作质量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b/>
          <w:bCs/>
          <w:sz w:val="32"/>
          <w:szCs w:val="32"/>
        </w:rPr>
        <w:t>4</w:t>
      </w:r>
      <w:r>
        <w:rPr>
          <w:rFonts w:hint="eastAsia" w:ascii="仿宋" w:hAnsi="仿宋" w:eastAsia="仿宋"/>
          <w:b/>
          <w:bCs/>
          <w:sz w:val="32"/>
          <w:szCs w:val="32"/>
          <w:lang w:eastAsia="zh-CN"/>
        </w:rPr>
        <w:t>、</w:t>
      </w:r>
      <w:r>
        <w:rPr>
          <w:rFonts w:ascii="仿宋" w:hAnsi="仿宋" w:eastAsia="仿宋"/>
          <w:b/>
          <w:bCs/>
          <w:sz w:val="32"/>
          <w:szCs w:val="32"/>
        </w:rPr>
        <w:t>规范财务管理制度。</w:t>
      </w:r>
      <w:r>
        <w:rPr>
          <w:rFonts w:ascii="仿宋" w:hAnsi="仿宋" w:eastAsia="仿宋"/>
          <w:sz w:val="32"/>
          <w:szCs w:val="32"/>
        </w:rPr>
        <w:t>一是会计记录与财产保管，业务经办与授权批准监督检查相分开。二是加强固定资产登记使用和报废处置管理，资产的报废原因，报废后在处置方法，要严格按照报废流程，报废资料必须完整保留，财务人员不可以擅自对固定资产进行报废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做好绩效自评工作</w:t>
      </w:r>
      <w:r>
        <w:rPr>
          <w:rFonts w:ascii="仿宋" w:hAnsi="仿宋" w:eastAsia="仿宋"/>
          <w:b/>
          <w:bCs/>
          <w:sz w:val="32"/>
          <w:szCs w:val="32"/>
        </w:rPr>
        <w:t>。</w:t>
      </w:r>
      <w:r>
        <w:rPr>
          <w:rFonts w:ascii="仿宋" w:hAnsi="仿宋" w:eastAsia="仿宋"/>
          <w:sz w:val="32"/>
          <w:szCs w:val="32"/>
        </w:rPr>
        <w:t>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加强绩效运行监控。</w:t>
      </w:r>
      <w:r>
        <w:rPr>
          <w:rFonts w:ascii="仿宋" w:hAnsi="仿宋" w:eastAsia="仿宋"/>
          <w:sz w:val="32"/>
          <w:szCs w:val="32"/>
        </w:rPr>
        <w:t>按要求开展绩效运行监控，每月按要求对部门整体绩效目标和预算项目绩效目标实现情况和预算执行进度进行监控，发现问题及时采取措施，确保绩效目标如期保质实现。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hint="eastAsia" w:ascii="黑体" w:hAnsi="黑体" w:eastAsia="黑体"/>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加强宣传培训调研等。</w:t>
      </w:r>
      <w:r>
        <w:rPr>
          <w:rFonts w:ascii="仿宋" w:hAnsi="仿宋" w:eastAsia="仿宋"/>
          <w:sz w:val="32"/>
          <w:szCs w:val="32"/>
        </w:rPr>
        <w:t>组织全县统计业务技术培训、岗位培训和知识更新培训，开展统计科学研究。对调查项目进行摸底走访，而了解资金运用和使用情况。加强对普查和调查的宣传力度，促进普查工作的顺利开展。</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1.收集整理2021年统计数据，2022年7--9月完成编辑.印刷.发行工作,保持统计资料连续性达到可对外公布需求.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统计公报/统计年鉴数据或文字差</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方正书宋_GBK" w:hAnsi="方正书宋_GBK" w:eastAsia="方正书宋_GBK" w:cs="方正书宋_GBK"/>
                <w:sz w:val="21"/>
                <w:szCs w:val="24"/>
                <w:lang w:val="en-US" w:eastAsia="zh-CN" w:bidi="ar-SA"/>
              </w:rPr>
            </w:pPr>
            <w:r>
              <w:t>统计公报/统计年鉴数据或文字差错率</w:t>
            </w:r>
            <w:r>
              <w:rPr>
                <w:rFonts w:hint="eastAsia"/>
                <w:lang w:eastAsia="zh-CN"/>
              </w:rPr>
              <w:t>小于</w:t>
            </w:r>
            <w:r>
              <w:rPr>
                <w:rFonts w:hint="eastAsia"/>
                <w:lang w:val="en-US" w:eastAsia="zh-CN"/>
              </w:rPr>
              <w:t>10%</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≤10百分比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印刷合格率</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方正书宋_GBK" w:hAnsi="方正书宋_GBK" w:eastAsia="方正书宋_GBK" w:cs="方正书宋_GBK"/>
                <w:sz w:val="21"/>
                <w:szCs w:val="24"/>
                <w:lang w:val="en-US" w:eastAsia="zh-CN" w:bidi="ar-SA"/>
              </w:rPr>
            </w:pPr>
            <w:r>
              <w:t>印刷合格率</w:t>
            </w:r>
            <w:r>
              <w:rPr>
                <w:rFonts w:hint="eastAsia"/>
                <w:lang w:eastAsia="zh-CN"/>
              </w:rPr>
              <w:t>大于</w:t>
            </w:r>
            <w:r>
              <w:t>95</w:t>
            </w:r>
            <w:r>
              <w:rPr>
                <w:rFonts w:hint="eastAsia"/>
                <w:lang w:val="en-US" w:eastAsia="zh-CN"/>
              </w:rPr>
              <w:t>%</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按时完成印刷任务</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按时完成印刷任务良好</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印刷成本</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编印年鉴的单册成本</w:t>
            </w:r>
            <w:r>
              <w:rPr>
                <w:rFonts w:hint="eastAsia"/>
                <w:lang w:val="en-US" w:eastAsia="zh-CN"/>
              </w:rPr>
              <w:t>100</w:t>
            </w:r>
            <w:r>
              <w:t>元</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3万元</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长期使用性</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能够长期使用年鉴数据</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方正书宋_GBK" w:hAnsi="方正书宋_GBK" w:eastAsia="方正书宋_GBK" w:cs="方正书宋_GBK"/>
                <w:sz w:val="21"/>
                <w:szCs w:val="24"/>
                <w:lang w:val="en-US" w:eastAsia="zh-CN" w:bidi="ar-SA"/>
              </w:rPr>
            </w:pPr>
            <w:r>
              <w:t>根据服务单位综合评价结果评分</w:t>
            </w:r>
            <w:r>
              <w:rPr>
                <w:rFonts w:hint="eastAsia"/>
                <w:lang w:eastAsia="zh-CN"/>
              </w:rPr>
              <w:t>大于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数据的可靠性</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第七次全国人口普查经费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1.根据省市要求，完成普查数据的开发利用，为政府提供可靠数据来源。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印刷册数250本</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完成印刷册数</w:t>
            </w:r>
            <w:r>
              <w:rPr>
                <w:rFonts w:hint="eastAsia"/>
                <w:lang w:eastAsia="zh-CN"/>
              </w:rPr>
              <w:t>大于等于</w:t>
            </w:r>
            <w:r>
              <w:rPr>
                <w:rFonts w:hint="eastAsia"/>
                <w:lang w:val="en-US" w:eastAsia="zh-CN"/>
              </w:rPr>
              <w:t>250本</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≥250本</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完成印刷数量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文件印刷合格率</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eastAsia="方正书宋_GBK"/>
                <w:lang w:eastAsia="zh-CN"/>
              </w:rPr>
            </w:pPr>
            <w:r>
              <w:t>文件印刷合格率100</w:t>
            </w:r>
            <w:r>
              <w:rPr>
                <w:rFonts w:hint="eastAsia"/>
                <w:lang w:val="en-US" w:eastAsia="zh-CN"/>
              </w:rPr>
              <w:t>%</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100百分比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完成印刷册数的质量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按时完成印刷任务</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按时完成印刷任务按规定时间交付</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按规定时间交付</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按规定时间交付的日期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成本控制率(%)</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成本控制率</w:t>
            </w:r>
            <w:r>
              <w:rPr>
                <w:rFonts w:hint="eastAsia"/>
                <w:lang w:eastAsia="zh-CN"/>
              </w:rPr>
              <w:t>大于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数据共享率（%）</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数据共享率</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数据能够对外提供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提供科学数据单位满意度</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lang w:val="en-US"/>
              </w:rPr>
            </w:pPr>
            <w:r>
              <w:t>提供科学数据单位满意度</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1.提高企业人员上报数据的积极性和准确性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完成统计工作数量</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规模以上企业数量118家</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118家</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报送数据及时性</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是否按时按质报送数据</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工作任务完成及时率</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是否按时完成任务</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是否在规定时间内上报完成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预算控制数</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预算控制数7.08万元</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7.08万元</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经济效益指标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规模以上企业增加比例</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规模以上企业增加大于</w:t>
            </w:r>
            <w:r>
              <w:rPr>
                <w:rFonts w:hint="eastAsia"/>
                <w:lang w:eastAsia="zh-CN"/>
              </w:rPr>
              <w:t>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能否按时完成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企业满意度</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企业报表人员满意度</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完成的指标值比率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1.12万元于年底发放完毕,确保统计等各项工作的正常运转、职工满意度、高提高工作积极性。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数量指标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完成统计工作数量</w:t>
            </w:r>
          </w:p>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是否各项统计工作</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完成各项统计工作任务量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质量指标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业务工作完成率（%）</w:t>
            </w:r>
          </w:p>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业务工作完成率</w:t>
            </w:r>
            <w:r>
              <w:rPr>
                <w:rFonts w:hint="eastAsia"/>
                <w:lang w:eastAsia="zh-CN"/>
              </w:rPr>
              <w:t>大于</w:t>
            </w:r>
            <w:r>
              <w:rPr>
                <w:rFonts w:hint="eastAsia"/>
                <w:lang w:val="en-US" w:eastAsia="zh-CN"/>
              </w:rPr>
              <w:t>90%</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≥90百分比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时效指标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各项任务完成及时率（%）</w:t>
            </w:r>
          </w:p>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各项任务完成及时率</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成本指标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预算控制数</w:t>
            </w:r>
          </w:p>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预算控制数12万</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12万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经济效益指标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w:t>
            </w:r>
          </w:p>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保障机关单位正常运转良好</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良好</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保障机关正常办公秩序，保障机关正常运转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服务对象满意度指标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机关工作人员满意度（%）</w:t>
            </w:r>
          </w:p>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方正书宋_GBK"/>
                <w:lang w:val="en-US" w:eastAsia="zh-CN"/>
              </w:rPr>
            </w:pPr>
            <w:r>
              <w:t>机关工作人员满意度</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300" w:lineRule="exact"/>
              <w:textAlignment w:val="auto"/>
            </w:pPr>
            <w:r>
              <w:t>保障机关单位正常运转</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1.每月按时交付县乡17条网络线路租用费，和网络扩容线路租用费，确保线路畅通，促进各项工作顺利开展。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网络和线路租赁数量</w:t>
            </w:r>
          </w:p>
          <w:p>
            <w:pPr>
              <w:pStyle w:val="16"/>
            </w:pPr>
          </w:p>
        </w:tc>
        <w:tc>
          <w:tcPr>
            <w:tcW w:w="2835" w:type="dxa"/>
            <w:vAlign w:val="center"/>
          </w:tcPr>
          <w:p>
            <w:pPr>
              <w:pStyle w:val="16"/>
            </w:pPr>
            <w:r>
              <w:t>租赁联通网络和线路数量17条</w:t>
            </w:r>
          </w:p>
        </w:tc>
        <w:tc>
          <w:tcPr>
            <w:tcW w:w="2551" w:type="dxa"/>
            <w:vAlign w:val="center"/>
          </w:tcPr>
          <w:p>
            <w:pPr>
              <w:pStyle w:val="16"/>
            </w:pPr>
            <w:r>
              <w:t>17条</w:t>
            </w:r>
          </w:p>
        </w:tc>
        <w:tc>
          <w:tcPr>
            <w:tcW w:w="2268" w:type="dxa"/>
            <w:vAlign w:val="center"/>
          </w:tcPr>
          <w:p>
            <w:pPr>
              <w:pStyle w:val="16"/>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计算机通信网络正常运行保障率</w:t>
            </w:r>
          </w:p>
          <w:p>
            <w:pPr>
              <w:pStyle w:val="16"/>
            </w:pPr>
          </w:p>
        </w:tc>
        <w:tc>
          <w:tcPr>
            <w:tcW w:w="2835" w:type="dxa"/>
            <w:vAlign w:val="center"/>
          </w:tcPr>
          <w:p>
            <w:pPr>
              <w:pStyle w:val="16"/>
              <w:rPr>
                <w:rFonts w:hint="default" w:eastAsia="方正书宋_GBK"/>
                <w:lang w:val="en-US" w:eastAsia="zh-CN"/>
              </w:rPr>
            </w:pPr>
            <w:r>
              <w:t>计算机通信网络正常运行保障率</w:t>
            </w:r>
            <w:r>
              <w:rPr>
                <w:rFonts w:hint="eastAsia"/>
                <w:lang w:eastAsia="zh-CN"/>
              </w:rPr>
              <w:t>大于等于</w:t>
            </w:r>
            <w:r>
              <w:rPr>
                <w:rFonts w:hint="eastAsia"/>
                <w:lang w:val="en-US" w:eastAsia="zh-CN"/>
              </w:rPr>
              <w:t>95%</w:t>
            </w:r>
          </w:p>
        </w:tc>
        <w:tc>
          <w:tcPr>
            <w:tcW w:w="2551" w:type="dxa"/>
            <w:vAlign w:val="center"/>
          </w:tcPr>
          <w:p>
            <w:pPr>
              <w:pStyle w:val="16"/>
            </w:pPr>
            <w:r>
              <w:t>≥95百分比</w:t>
            </w:r>
          </w:p>
        </w:tc>
        <w:tc>
          <w:tcPr>
            <w:tcW w:w="2268"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网络连通率</w:t>
            </w:r>
          </w:p>
          <w:p>
            <w:pPr>
              <w:pStyle w:val="16"/>
            </w:pPr>
          </w:p>
        </w:tc>
        <w:tc>
          <w:tcPr>
            <w:tcW w:w="2835" w:type="dxa"/>
            <w:vAlign w:val="center"/>
          </w:tcPr>
          <w:p>
            <w:pPr>
              <w:pStyle w:val="16"/>
            </w:pPr>
            <w:r>
              <w:t>网络连通是否正常运行</w:t>
            </w:r>
          </w:p>
        </w:tc>
        <w:tc>
          <w:tcPr>
            <w:tcW w:w="2551" w:type="dxa"/>
            <w:vAlign w:val="center"/>
          </w:tcPr>
          <w:p>
            <w:pPr>
              <w:pStyle w:val="16"/>
            </w:pPr>
            <w:r>
              <w:t>≥95百分比</w:t>
            </w:r>
          </w:p>
        </w:tc>
        <w:tc>
          <w:tcPr>
            <w:tcW w:w="2268" w:type="dxa"/>
            <w:vAlign w:val="center"/>
          </w:tcPr>
          <w:p>
            <w:pPr>
              <w:pStyle w:val="16"/>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网点销售网络专线租用成本控制率</w:t>
            </w:r>
          </w:p>
          <w:p>
            <w:pPr>
              <w:pStyle w:val="16"/>
            </w:pPr>
          </w:p>
        </w:tc>
        <w:tc>
          <w:tcPr>
            <w:tcW w:w="2835" w:type="dxa"/>
            <w:vAlign w:val="center"/>
          </w:tcPr>
          <w:p>
            <w:pPr>
              <w:pStyle w:val="16"/>
            </w:pPr>
            <w:r>
              <w:t>预算控制数2.5万元</w:t>
            </w:r>
          </w:p>
        </w:tc>
        <w:tc>
          <w:tcPr>
            <w:tcW w:w="2551" w:type="dxa"/>
            <w:vAlign w:val="center"/>
          </w:tcPr>
          <w:p>
            <w:pPr>
              <w:pStyle w:val="16"/>
            </w:pPr>
            <w:r>
              <w:t>2.5万元</w:t>
            </w:r>
          </w:p>
        </w:tc>
        <w:tc>
          <w:tcPr>
            <w:tcW w:w="2268" w:type="dxa"/>
            <w:vAlign w:val="center"/>
          </w:tcPr>
          <w:p>
            <w:pPr>
              <w:pStyle w:val="16"/>
            </w:pPr>
            <w:r>
              <w:t>不超预算安排书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保障网络信息安全</w:t>
            </w:r>
          </w:p>
          <w:p>
            <w:pPr>
              <w:pStyle w:val="16"/>
            </w:pPr>
          </w:p>
        </w:tc>
        <w:tc>
          <w:tcPr>
            <w:tcW w:w="2835" w:type="dxa"/>
            <w:vAlign w:val="center"/>
          </w:tcPr>
          <w:p>
            <w:pPr>
              <w:pStyle w:val="16"/>
              <w:rPr>
                <w:rFonts w:hint="eastAsia" w:eastAsia="方正书宋_GBK"/>
                <w:lang w:eastAsia="zh-CN"/>
              </w:rPr>
            </w:pPr>
            <w:r>
              <w:t>利用专业技术手段保障网络信息安全</w:t>
            </w:r>
            <w:r>
              <w:rPr>
                <w:rFonts w:hint="eastAsia"/>
                <w:lang w:eastAsia="zh-CN"/>
              </w:rPr>
              <w:t>比率</w:t>
            </w:r>
          </w:p>
        </w:tc>
        <w:tc>
          <w:tcPr>
            <w:tcW w:w="2551" w:type="dxa"/>
            <w:vAlign w:val="center"/>
          </w:tcPr>
          <w:p>
            <w:pPr>
              <w:pStyle w:val="16"/>
            </w:pPr>
            <w:r>
              <w:t>≥95百分比</w:t>
            </w:r>
          </w:p>
        </w:tc>
        <w:tc>
          <w:tcPr>
            <w:tcW w:w="2268" w:type="dxa"/>
            <w:vAlign w:val="center"/>
          </w:tcPr>
          <w:p>
            <w:pPr>
              <w:pStyle w:val="16"/>
            </w:pPr>
            <w:r>
              <w:t>网络畅通保障工作按时完成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网络使用人员满意度</w:t>
            </w:r>
          </w:p>
          <w:p>
            <w:pPr>
              <w:pStyle w:val="16"/>
            </w:pPr>
          </w:p>
        </w:tc>
        <w:tc>
          <w:tcPr>
            <w:tcW w:w="2835" w:type="dxa"/>
            <w:vAlign w:val="center"/>
          </w:tcPr>
          <w:p>
            <w:pPr>
              <w:pStyle w:val="16"/>
              <w:rPr>
                <w:rFonts w:hint="eastAsia" w:eastAsia="方正书宋_GBK"/>
                <w:lang w:eastAsia="zh-CN"/>
              </w:rPr>
            </w:pPr>
            <w:r>
              <w:t>网络使用人员满意度</w:t>
            </w:r>
            <w:r>
              <w:rPr>
                <w:rFonts w:hint="eastAsia"/>
                <w:lang w:eastAsia="zh-CN"/>
              </w:rPr>
              <w:t>比率</w:t>
            </w:r>
          </w:p>
        </w:tc>
        <w:tc>
          <w:tcPr>
            <w:tcW w:w="2551" w:type="dxa"/>
            <w:vAlign w:val="center"/>
          </w:tcPr>
          <w:p>
            <w:pPr>
              <w:pStyle w:val="16"/>
            </w:pPr>
            <w:r>
              <w:t>≥95百分比</w:t>
            </w:r>
          </w:p>
        </w:tc>
        <w:tc>
          <w:tcPr>
            <w:tcW w:w="2268" w:type="dxa"/>
            <w:vAlign w:val="center"/>
          </w:tcPr>
          <w:p>
            <w:pPr>
              <w:pStyle w:val="16"/>
            </w:pPr>
            <w:r>
              <w:t>使用人员满意度</w:t>
            </w:r>
          </w:p>
        </w:tc>
      </w:tr>
    </w:tbl>
    <w:p/>
    <w:p/>
    <w:p/>
    <w:p/>
    <w:p/>
    <w:p/>
    <w:p/>
    <w:p/>
    <w:p/>
    <w:p/>
    <w:p/>
    <w:p/>
    <w:p/>
    <w:p/>
    <w:p/>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五项抽样调查</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1.按时按要求发放各项调查补贴，完成调查培训，科学组织合理安排调查实施，确保调查任务圆满完成。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调查企业户数</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调查企业户数160户</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160户</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质量指标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信息统计调查完成率</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eastAsia="方正书宋_GBK"/>
                <w:lang w:val="en-US" w:eastAsia="zh-CN"/>
              </w:rPr>
            </w:pPr>
            <w:r>
              <w:t>信息统计调查完成率</w:t>
            </w:r>
            <w:r>
              <w:rPr>
                <w:rFonts w:hint="eastAsia"/>
                <w:lang w:eastAsia="zh-CN"/>
              </w:rPr>
              <w:t>大于等于</w:t>
            </w:r>
            <w:r>
              <w:rPr>
                <w:rFonts w:hint="eastAsia"/>
                <w:lang w:val="en-US" w:eastAsia="zh-CN"/>
              </w:rPr>
              <w:t>95%</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时效指标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数据统计调查、分析监测等完成时</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数据统计调查、分析监测等完成时限</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成本控制</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成本控制42.92万元</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42.92万元</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社会效益指标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统计信息采用量</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反映统计信息、分析、课题受省领导批示或被采用情况</w:t>
            </w:r>
            <w:r>
              <w:rPr>
                <w:rFonts w:hint="eastAsia"/>
                <w:lang w:eastAsia="zh-CN"/>
              </w:rPr>
              <w:t>比率</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反映统计信息、分析、课题受省领导批示或被采用情况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服务对象满意度指标</w:t>
            </w: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服务对象满意度</w:t>
            </w:r>
          </w:p>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通过问卷调查,满意和满意的对象占所有调查对象的比例</w:t>
            </w:r>
          </w:p>
        </w:tc>
        <w:tc>
          <w:tcPr>
            <w:tcW w:w="2551"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≥95百分比</w:t>
            </w:r>
          </w:p>
        </w:tc>
        <w:tc>
          <w:tcPr>
            <w:tcW w:w="2268" w:type="dxa"/>
            <w:vAlign w:val="center"/>
          </w:tcPr>
          <w:p>
            <w:pPr>
              <w:pStyle w:val="16"/>
              <w:keepNext w:val="0"/>
              <w:keepLines w:val="0"/>
              <w:pageBreakBefore w:val="0"/>
              <w:widowControl w:val="0"/>
              <w:kinsoku/>
              <w:wordWrap/>
              <w:overflowPunct/>
              <w:topLinePunct w:val="0"/>
              <w:autoSpaceDE/>
              <w:autoSpaceDN/>
              <w:bidi w:val="0"/>
              <w:adjustRightInd/>
              <w:snapToGrid/>
              <w:spacing w:line="260" w:lineRule="exact"/>
              <w:textAlignment w:val="auto"/>
            </w:pPr>
            <w:r>
              <w:t>调查对象满意度</w:t>
            </w:r>
          </w:p>
        </w:tc>
      </w:tr>
    </w:tbl>
    <w:p>
      <w:pPr>
        <w:sectPr>
          <w:pgSz w:w="16840" w:h="11900" w:orient="landscape"/>
          <w:pgMar w:top="1361" w:right="1020" w:bottom="1134" w:left="1020" w:header="720" w:footer="720" w:gutter="0"/>
          <w:cols w:space="720" w:num="1"/>
        </w:sectPr>
      </w:pPr>
    </w:p>
    <w:p>
      <w:pPr>
        <w:spacing w:before="10" w:after="10"/>
        <w:ind w:firstLine="640" w:firstLineChars="200"/>
        <w:outlineLvl w:val="2"/>
      </w:pPr>
      <w:bookmarkStart w:id="9" w:name="_Toc_3_3_0000000015"/>
      <w:r>
        <w:rPr>
          <w:rFonts w:ascii="黑体" w:hAnsi="黑体" w:eastAsia="黑体" w:cs="黑体"/>
          <w:color w:val="000000"/>
          <w:sz w:val="32"/>
        </w:rPr>
        <w:t>六、政府采购预算情况</w:t>
      </w:r>
      <w:bookmarkEnd w:id="9"/>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lang w:eastAsia="zh-CN"/>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2</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部门</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4"/>
            </w:pPr>
            <w:r>
              <w:t>项目名称</w:t>
            </w:r>
          </w:p>
        </w:tc>
        <w:tc>
          <w:tcPr>
            <w:tcW w:w="1052"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8"/>
            </w:pPr>
            <w:r>
              <w:t>合  计</w:t>
            </w:r>
          </w:p>
        </w:tc>
        <w:tc>
          <w:tcPr>
            <w:tcW w:w="105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8"/>
            </w:pPr>
          </w:p>
        </w:tc>
        <w:tc>
          <w:tcPr>
            <w:tcW w:w="1052"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6"/>
            </w:pPr>
          </w:p>
          <w:p>
            <w:pPr>
              <w:pStyle w:val="16"/>
            </w:pPr>
          </w:p>
        </w:tc>
        <w:tc>
          <w:tcPr>
            <w:tcW w:w="1052"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0"/>
    </w:p>
    <w:p>
      <w:pPr>
        <w:spacing w:line="500" w:lineRule="exact"/>
        <w:ind w:firstLine="560"/>
        <w:rPr>
          <w:rFonts w:eastAsia="方正仿宋_GBK"/>
          <w:color w:val="000000"/>
          <w:sz w:val="28"/>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21</w:t>
      </w:r>
      <w:r>
        <w:rPr>
          <w:rFonts w:hint="eastAsia" w:ascii="仿宋" w:hAnsi="仿宋" w:eastAsia="仿宋"/>
          <w:sz w:val="32"/>
          <w:szCs w:val="32"/>
        </w:rPr>
        <w:t>年末国有资产原值</w:t>
      </w:r>
      <w:r>
        <w:rPr>
          <w:rFonts w:hint="eastAsia" w:ascii="仿宋" w:hAnsi="仿宋" w:eastAsia="仿宋"/>
          <w:sz w:val="32"/>
          <w:szCs w:val="32"/>
          <w:lang w:val="en-US" w:eastAsia="zh-CN"/>
        </w:rPr>
        <w:t>87.72</w:t>
      </w:r>
      <w:r>
        <w:rPr>
          <w:rFonts w:hint="eastAsia" w:ascii="仿宋" w:hAnsi="仿宋" w:eastAsia="仿宋"/>
          <w:sz w:val="32"/>
          <w:szCs w:val="32"/>
        </w:rPr>
        <w:t>万元，比上年增加</w:t>
      </w:r>
      <w:r>
        <w:rPr>
          <w:rFonts w:hint="eastAsia" w:ascii="仿宋" w:hAnsi="仿宋" w:eastAsia="仿宋"/>
          <w:sz w:val="32"/>
          <w:szCs w:val="32"/>
          <w:lang w:val="en-US" w:eastAsia="zh-CN"/>
        </w:rPr>
        <w:t>31.31</w:t>
      </w:r>
      <w:r>
        <w:rPr>
          <w:rFonts w:hint="eastAsia" w:ascii="仿宋" w:hAnsi="仿宋" w:eastAsia="仿宋"/>
          <w:sz w:val="32"/>
          <w:szCs w:val="32"/>
        </w:rPr>
        <w:t>万元。其中公务用车1辆，价值13.58万元，其他固定资产（电脑、空调、复印机、打印机</w:t>
      </w:r>
      <w:r>
        <w:rPr>
          <w:rFonts w:hint="eastAsia" w:ascii="仿宋" w:hAnsi="仿宋" w:eastAsia="仿宋"/>
          <w:sz w:val="32"/>
          <w:szCs w:val="32"/>
          <w:lang w:eastAsia="zh-CN"/>
        </w:rPr>
        <w:t>、</w:t>
      </w:r>
      <w:r>
        <w:rPr>
          <w:rFonts w:hint="eastAsia" w:ascii="仿宋" w:hAnsi="仿宋" w:eastAsia="仿宋"/>
          <w:sz w:val="32"/>
          <w:szCs w:val="32"/>
          <w:lang w:val="en-US" w:eastAsia="zh-CN"/>
        </w:rPr>
        <w:t>PAD</w:t>
      </w:r>
      <w:r>
        <w:rPr>
          <w:rFonts w:hint="eastAsia" w:ascii="仿宋" w:hAnsi="仿宋" w:eastAsia="仿宋"/>
          <w:sz w:val="32"/>
          <w:szCs w:val="32"/>
        </w:rPr>
        <w:t>等）</w:t>
      </w:r>
      <w:r>
        <w:rPr>
          <w:rFonts w:hint="eastAsia" w:ascii="仿宋" w:hAnsi="仿宋" w:eastAsia="仿宋"/>
          <w:sz w:val="32"/>
          <w:szCs w:val="32"/>
          <w:lang w:val="en-US" w:eastAsia="zh-CN"/>
        </w:rPr>
        <w:t>74.14</w:t>
      </w:r>
      <w:r>
        <w:rPr>
          <w:rFonts w:hint="eastAsia" w:ascii="仿宋" w:hAnsi="仿宋" w:eastAsia="仿宋"/>
          <w:sz w:val="32"/>
          <w:szCs w:val="32"/>
        </w:rPr>
        <w:t>万元。我单位在政府楼办公，办公用房属政府办所有，无20万元以上的设备。</w:t>
      </w: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2</w:t>
      </w:r>
      <w:r>
        <w:rPr>
          <w:rFonts w:hint="eastAsia" w:ascii="仿宋" w:hAnsi="仿宋" w:eastAsia="仿宋"/>
          <w:sz w:val="32"/>
          <w:szCs w:val="32"/>
          <w:shd w:val="clear" w:color="auto" w:fill="auto"/>
        </w:rPr>
        <w:t>年</w:t>
      </w:r>
      <w:r>
        <w:rPr>
          <w:rFonts w:hint="eastAsia" w:ascii="仿宋" w:hAnsi="仿宋" w:eastAsia="仿宋"/>
          <w:sz w:val="32"/>
          <w:szCs w:val="32"/>
          <w:shd w:val="clear" w:color="auto" w:fill="auto"/>
          <w:lang w:eastAsia="zh-CN"/>
        </w:rPr>
        <w:t>我部门无购</w:t>
      </w:r>
      <w:r>
        <w:rPr>
          <w:rFonts w:hint="eastAsia" w:ascii="仿宋" w:hAnsi="仿宋" w:eastAsia="仿宋"/>
          <w:sz w:val="32"/>
          <w:szCs w:val="32"/>
          <w:shd w:val="clear" w:color="auto" w:fill="auto"/>
        </w:rPr>
        <w:t>置固定资产</w:t>
      </w:r>
      <w:r>
        <w:rPr>
          <w:rFonts w:hint="eastAsia" w:ascii="仿宋" w:hAnsi="仿宋" w:eastAsia="仿宋"/>
          <w:sz w:val="32"/>
          <w:szCs w:val="32"/>
          <w:shd w:val="clear" w:color="auto" w:fill="auto"/>
          <w:lang w:eastAsia="zh-CN"/>
        </w:rPr>
        <w:t>情况</w:t>
      </w:r>
      <w:r>
        <w:rPr>
          <w:rFonts w:hint="eastAsia" w:ascii="仿宋" w:hAnsi="仿宋" w:eastAsia="仿宋"/>
          <w:sz w:val="32"/>
          <w:szCs w:val="32"/>
          <w:shd w:val="clear" w:color="auto" w:fill="auto"/>
        </w:rPr>
        <w:t>。</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410涞水县统计局</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tbl>
      <w:tblPr>
        <w:tblStyle w:val="8"/>
        <w:tblpPr w:leftFromText="180" w:rightFromText="180" w:vertAnchor="text" w:horzAnchor="page" w:tblpX="2017" w:tblpY="787"/>
        <w:tblOverlap w:val="never"/>
        <w:tblW w:w="0" w:type="auto"/>
        <w:tblInd w:w="0"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ind w:firstLine="1260" w:firstLineChars="600"/>
              <w:jc w:val="both"/>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87.72</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13.5</w:t>
            </w:r>
            <w:r>
              <w:rPr>
                <w:rFonts w:hint="eastAsia" w:ascii="宋体" w:hAnsi="宋体" w:eastAsiaTheme="minorEastAsia"/>
                <w:color w:val="000000"/>
                <w:sz w:val="21"/>
                <w:szCs w:val="21"/>
                <w:lang w:eastAsia="zh-CN"/>
              </w:rPr>
              <w:t>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74.14</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1"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rPr>
          <w:rFonts w:ascii="黑体" w:hAnsi="黑体" w:eastAsia="黑体" w:cs="黑体"/>
          <w:color w:val="000000"/>
          <w:sz w:val="32"/>
        </w:rPr>
      </w:pPr>
      <w:bookmarkStart w:id="12" w:name="_Toc_3_3_0000000018"/>
    </w:p>
    <w:p>
      <w:pPr>
        <w:spacing w:before="10" w:after="10"/>
        <w:ind w:firstLine="640" w:firstLineChars="200"/>
        <w:outlineLvl w:val="2"/>
        <w:rPr>
          <w:rFonts w:ascii="黑体" w:hAnsi="黑体" w:eastAsia="黑体" w:cs="黑体"/>
          <w:color w:val="000000"/>
          <w:sz w:val="32"/>
        </w:rPr>
      </w:pPr>
    </w:p>
    <w:p>
      <w:pPr>
        <w:numPr>
          <w:ilvl w:val="0"/>
          <w:numId w:val="2"/>
        </w:numPr>
        <w:spacing w:before="10" w:after="10"/>
        <w:ind w:firstLine="640" w:firstLineChars="200"/>
        <w:outlineLvl w:val="2"/>
        <w:rPr>
          <w:rFonts w:ascii="黑体" w:hAnsi="黑体" w:eastAsia="黑体" w:cs="黑体"/>
          <w:color w:val="000000"/>
          <w:sz w:val="32"/>
        </w:rPr>
      </w:pPr>
      <w:r>
        <w:rPr>
          <w:rFonts w:ascii="黑体" w:hAnsi="黑体" w:eastAsia="黑体" w:cs="黑体"/>
          <w:color w:val="000000"/>
          <w:sz w:val="32"/>
        </w:rPr>
        <w:t>其他需要说明的事项</w:t>
      </w:r>
      <w:bookmarkEnd w:id="12"/>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abstractNum w:abstractNumId="1">
    <w:nsid w:val="4DD8D9E8"/>
    <w:multiLevelType w:val="singleLevel"/>
    <w:tmpl w:val="4DD8D9E8"/>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8A3CC9"/>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2F6441F"/>
    <w:rsid w:val="054B4674"/>
    <w:rsid w:val="069F14D3"/>
    <w:rsid w:val="08785681"/>
    <w:rsid w:val="0A140428"/>
    <w:rsid w:val="0A3A1862"/>
    <w:rsid w:val="0C295BFC"/>
    <w:rsid w:val="10AD0C8E"/>
    <w:rsid w:val="146D0808"/>
    <w:rsid w:val="15924739"/>
    <w:rsid w:val="16A834AF"/>
    <w:rsid w:val="18E62796"/>
    <w:rsid w:val="1AD82DAC"/>
    <w:rsid w:val="1B3A1D27"/>
    <w:rsid w:val="1F001077"/>
    <w:rsid w:val="1F12372B"/>
    <w:rsid w:val="20E3722F"/>
    <w:rsid w:val="210E23ED"/>
    <w:rsid w:val="228238D9"/>
    <w:rsid w:val="25B141D7"/>
    <w:rsid w:val="2942211F"/>
    <w:rsid w:val="2B0025D7"/>
    <w:rsid w:val="2C7965AC"/>
    <w:rsid w:val="2D505C98"/>
    <w:rsid w:val="325E3764"/>
    <w:rsid w:val="36330CB4"/>
    <w:rsid w:val="37CF26CA"/>
    <w:rsid w:val="3A053765"/>
    <w:rsid w:val="3CC176EC"/>
    <w:rsid w:val="3D346BE7"/>
    <w:rsid w:val="3F573360"/>
    <w:rsid w:val="428C0EAD"/>
    <w:rsid w:val="45CF0738"/>
    <w:rsid w:val="473579EB"/>
    <w:rsid w:val="48BA73C9"/>
    <w:rsid w:val="48CB5B7A"/>
    <w:rsid w:val="4A6E08DD"/>
    <w:rsid w:val="4D556553"/>
    <w:rsid w:val="51F10ACE"/>
    <w:rsid w:val="5381361A"/>
    <w:rsid w:val="53BB19B4"/>
    <w:rsid w:val="541F4ED1"/>
    <w:rsid w:val="55DD1A43"/>
    <w:rsid w:val="5B01542B"/>
    <w:rsid w:val="5D061E08"/>
    <w:rsid w:val="5D7C2D12"/>
    <w:rsid w:val="5DFC4AD4"/>
    <w:rsid w:val="5EAB6B0A"/>
    <w:rsid w:val="5F0608C4"/>
    <w:rsid w:val="618868A7"/>
    <w:rsid w:val="61CC0880"/>
    <w:rsid w:val="62DF2AF1"/>
    <w:rsid w:val="635748D2"/>
    <w:rsid w:val="68587E50"/>
    <w:rsid w:val="6D773C65"/>
    <w:rsid w:val="6DBE7D6B"/>
    <w:rsid w:val="6F56473C"/>
    <w:rsid w:val="755463B2"/>
    <w:rsid w:val="76041807"/>
    <w:rsid w:val="780E0561"/>
    <w:rsid w:val="79BD45FC"/>
    <w:rsid w:val="7BD375DD"/>
    <w:rsid w:val="7FE70E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F40C868-CD10-4565-BD6F-28B55B247751}">
  <ds:schemaRefs/>
</ds:datastoreItem>
</file>

<file path=customXml/itemProps10.xml><?xml version="1.0" encoding="utf-8"?>
<ds:datastoreItem xmlns:ds="http://schemas.openxmlformats.org/officeDocument/2006/customXml" ds:itemID="{B9E9C162-3959-4E09-8552-3788A3BCB94D}">
  <ds:schemaRefs/>
</ds:datastoreItem>
</file>

<file path=customXml/itemProps11.xml><?xml version="1.0" encoding="utf-8"?>
<ds:datastoreItem xmlns:ds="http://schemas.openxmlformats.org/officeDocument/2006/customXml" ds:itemID="{526561F4-D429-4474-A75E-30A59CF88000}">
  <ds:schemaRefs/>
</ds:datastoreItem>
</file>

<file path=customXml/itemProps12.xml><?xml version="1.0" encoding="utf-8"?>
<ds:datastoreItem xmlns:ds="http://schemas.openxmlformats.org/officeDocument/2006/customXml" ds:itemID="{3300B263-A8B2-4577-A8B1-07D060066AC1}">
  <ds:schemaRefs/>
</ds:datastoreItem>
</file>

<file path=customXml/itemProps13.xml><?xml version="1.0" encoding="utf-8"?>
<ds:datastoreItem xmlns:ds="http://schemas.openxmlformats.org/officeDocument/2006/customXml" ds:itemID="{1C4E702D-2594-4689-8404-84AFD7E73E52}">
  <ds:schemaRefs/>
</ds:datastoreItem>
</file>

<file path=customXml/itemProps14.xml><?xml version="1.0" encoding="utf-8"?>
<ds:datastoreItem xmlns:ds="http://schemas.openxmlformats.org/officeDocument/2006/customXml" ds:itemID="{C593EC27-B89C-46A8-9CF9-3B5AE2B23C20}">
  <ds:schemaRefs/>
</ds:datastoreItem>
</file>

<file path=customXml/itemProps15.xml><?xml version="1.0" encoding="utf-8"?>
<ds:datastoreItem xmlns:ds="http://schemas.openxmlformats.org/officeDocument/2006/customXml" ds:itemID="{BC8B0B68-B399-4D6D-AE2B-284CCF1A5CB6}">
  <ds:schemaRefs/>
</ds:datastoreItem>
</file>

<file path=customXml/itemProps16.xml><?xml version="1.0" encoding="utf-8"?>
<ds:datastoreItem xmlns:ds="http://schemas.openxmlformats.org/officeDocument/2006/customXml" ds:itemID="{C486A553-0F69-4945-B340-E49BCA32411A}">
  <ds:schemaRefs/>
</ds:datastoreItem>
</file>

<file path=customXml/itemProps17.xml><?xml version="1.0" encoding="utf-8"?>
<ds:datastoreItem xmlns:ds="http://schemas.openxmlformats.org/officeDocument/2006/customXml" ds:itemID="{C66F43F9-0AB8-4241-BA67-D8AE60CF6C21}">
  <ds:schemaRefs/>
</ds:datastoreItem>
</file>

<file path=customXml/itemProps18.xml><?xml version="1.0" encoding="utf-8"?>
<ds:datastoreItem xmlns:ds="http://schemas.openxmlformats.org/officeDocument/2006/customXml" ds:itemID="{989DA21E-0CDF-4E3D-84F6-1D172BF7F4B9}">
  <ds:schemaRefs/>
</ds:datastoreItem>
</file>

<file path=customXml/itemProps19.xml><?xml version="1.0" encoding="utf-8"?>
<ds:datastoreItem xmlns:ds="http://schemas.openxmlformats.org/officeDocument/2006/customXml" ds:itemID="{4074F53B-6AA8-493B-96FF-0D7EB858216C}">
  <ds:schemaRefs/>
</ds:datastoreItem>
</file>

<file path=customXml/itemProps2.xml><?xml version="1.0" encoding="utf-8"?>
<ds:datastoreItem xmlns:ds="http://schemas.openxmlformats.org/officeDocument/2006/customXml" ds:itemID="{55A60376-5F1A-4B58-BE70-A0B8CD8AC393}">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CB6B8C05-D526-4E72-8AB4-B1FB0F487636}">
  <ds:schemaRefs/>
</ds:datastoreItem>
</file>

<file path=customXml/itemProps22.xml><?xml version="1.0" encoding="utf-8"?>
<ds:datastoreItem xmlns:ds="http://schemas.openxmlformats.org/officeDocument/2006/customXml" ds:itemID="{6A6DB8E6-5EDD-4508-B255-AD07BCA264C9}">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927546BB-28A9-4183-9889-130B2B46E760}">
  <ds:schemaRefs/>
</ds:datastoreItem>
</file>

<file path=customXml/itemProps25.xml><?xml version="1.0" encoding="utf-8"?>
<ds:datastoreItem xmlns:ds="http://schemas.openxmlformats.org/officeDocument/2006/customXml" ds:itemID="{328F8FAA-F9B6-48DE-ABD9-772610F9386F}">
  <ds:schemaRefs/>
</ds:datastoreItem>
</file>

<file path=customXml/itemProps26.xml><?xml version="1.0" encoding="utf-8"?>
<ds:datastoreItem xmlns:ds="http://schemas.openxmlformats.org/officeDocument/2006/customXml" ds:itemID="{127F30A9-AC64-4000-970B-04BBBAF6782F}">
  <ds:schemaRefs/>
</ds:datastoreItem>
</file>

<file path=customXml/itemProps27.xml><?xml version="1.0" encoding="utf-8"?>
<ds:datastoreItem xmlns:ds="http://schemas.openxmlformats.org/officeDocument/2006/customXml" ds:itemID="{9E39FA8A-0D5E-4C72-88C2-A4A5C9D016A3}">
  <ds:schemaRefs/>
</ds:datastoreItem>
</file>

<file path=customXml/itemProps28.xml><?xml version="1.0" encoding="utf-8"?>
<ds:datastoreItem xmlns:ds="http://schemas.openxmlformats.org/officeDocument/2006/customXml" ds:itemID="{BAA19A8D-5B92-489B-B169-BAD91A103344}">
  <ds:schemaRefs/>
</ds:datastoreItem>
</file>

<file path=customXml/itemProps29.xml><?xml version="1.0" encoding="utf-8"?>
<ds:datastoreItem xmlns:ds="http://schemas.openxmlformats.org/officeDocument/2006/customXml" ds:itemID="{6C8F0DDD-DA95-49D7-BEC9-54BED6023821}">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DD8D39B1-E032-4B64-9020-66CD65ABCD3B}">
  <ds:schemaRefs/>
</ds:datastoreItem>
</file>

<file path=customXml/itemProps31.xml><?xml version="1.0" encoding="utf-8"?>
<ds:datastoreItem xmlns:ds="http://schemas.openxmlformats.org/officeDocument/2006/customXml" ds:itemID="{DFFE41CD-7795-417D-8B3D-7B7E92ADCE28}">
  <ds:schemaRefs/>
</ds:datastoreItem>
</file>

<file path=customXml/itemProps32.xml><?xml version="1.0" encoding="utf-8"?>
<ds:datastoreItem xmlns:ds="http://schemas.openxmlformats.org/officeDocument/2006/customXml" ds:itemID="{240D75C0-5405-407A-9D88-451A6C53325C}">
  <ds:schemaRefs/>
</ds:datastoreItem>
</file>

<file path=customXml/itemProps33.xml><?xml version="1.0" encoding="utf-8"?>
<ds:datastoreItem xmlns:ds="http://schemas.openxmlformats.org/officeDocument/2006/customXml" ds:itemID="{7DA1E944-597F-4D9A-ADC8-E3A5D62388E9}">
  <ds:schemaRefs/>
</ds:datastoreItem>
</file>

<file path=customXml/itemProps34.xml><?xml version="1.0" encoding="utf-8"?>
<ds:datastoreItem xmlns:ds="http://schemas.openxmlformats.org/officeDocument/2006/customXml" ds:itemID="{82063DCE-E0D9-4D45-94AB-06A5849F123C}">
  <ds:schemaRefs/>
</ds:datastoreItem>
</file>

<file path=customXml/itemProps35.xml><?xml version="1.0" encoding="utf-8"?>
<ds:datastoreItem xmlns:ds="http://schemas.openxmlformats.org/officeDocument/2006/customXml" ds:itemID="{B8034E79-3EC9-4FB4-8900-8DB566ED87F2}">
  <ds:schemaRefs/>
</ds:datastoreItem>
</file>

<file path=customXml/itemProps36.xml><?xml version="1.0" encoding="utf-8"?>
<ds:datastoreItem xmlns:ds="http://schemas.openxmlformats.org/officeDocument/2006/customXml" ds:itemID="{4D21B174-EFD5-481F-8023-ECD2C99EA6A5}">
  <ds:schemaRefs/>
</ds:datastoreItem>
</file>

<file path=customXml/itemProps37.xml><?xml version="1.0" encoding="utf-8"?>
<ds:datastoreItem xmlns:ds="http://schemas.openxmlformats.org/officeDocument/2006/customXml" ds:itemID="{907DF196-29BA-4F64-A2E6-9B891D8DA970}">
  <ds:schemaRefs/>
</ds:datastoreItem>
</file>

<file path=customXml/itemProps38.xml><?xml version="1.0" encoding="utf-8"?>
<ds:datastoreItem xmlns:ds="http://schemas.openxmlformats.org/officeDocument/2006/customXml" ds:itemID="{BF249A3C-5046-4792-B1C7-86A45BD0F7B3}">
  <ds:schemaRefs/>
</ds:datastoreItem>
</file>

<file path=customXml/itemProps39.xml><?xml version="1.0" encoding="utf-8"?>
<ds:datastoreItem xmlns:ds="http://schemas.openxmlformats.org/officeDocument/2006/customXml" ds:itemID="{F2B0114A-1BF3-408C-A937-DBD594359DD7}">
  <ds:schemaRefs/>
</ds:datastoreItem>
</file>

<file path=customXml/itemProps4.xml><?xml version="1.0" encoding="utf-8"?>
<ds:datastoreItem xmlns:ds="http://schemas.openxmlformats.org/officeDocument/2006/customXml" ds:itemID="{C864F1CC-9C8C-41E6-8FD8-C85E12A44050}">
  <ds:schemaRefs/>
</ds:datastoreItem>
</file>

<file path=customXml/itemProps5.xml><?xml version="1.0" encoding="utf-8"?>
<ds:datastoreItem xmlns:ds="http://schemas.openxmlformats.org/officeDocument/2006/customXml" ds:itemID="{8807E301-CE3E-48B0-8F1B-BE48F29E1736}">
  <ds:schemaRefs/>
</ds:datastoreItem>
</file>

<file path=customXml/itemProps6.xml><?xml version="1.0" encoding="utf-8"?>
<ds:datastoreItem xmlns:ds="http://schemas.openxmlformats.org/officeDocument/2006/customXml" ds:itemID="{D5DDAF8B-C90E-40EE-B940-CCD547411B81}">
  <ds:schemaRefs/>
</ds:datastoreItem>
</file>

<file path=customXml/itemProps7.xml><?xml version="1.0" encoding="utf-8"?>
<ds:datastoreItem xmlns:ds="http://schemas.openxmlformats.org/officeDocument/2006/customXml" ds:itemID="{B52E45D6-0F3C-4B21-B161-FA591631F8EB}">
  <ds:schemaRefs/>
</ds:datastoreItem>
</file>

<file path=customXml/itemProps8.xml><?xml version="1.0" encoding="utf-8"?>
<ds:datastoreItem xmlns:ds="http://schemas.openxmlformats.org/officeDocument/2006/customXml" ds:itemID="{335668B4-649C-41E0-BC80-7D94ABF681A2}">
  <ds:schemaRefs/>
</ds:datastoreItem>
</file>

<file path=customXml/itemProps9.xml><?xml version="1.0" encoding="utf-8"?>
<ds:datastoreItem xmlns:ds="http://schemas.openxmlformats.org/officeDocument/2006/customXml" ds:itemID="{66CC41B6-D28D-4EED-B564-F0D3D013B8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9101</Words>
  <Characters>10596</Characters>
  <Lines>107</Lines>
  <Paragraphs>30</Paragraphs>
  <TotalTime>0</TotalTime>
  <ScaleCrop>false</ScaleCrop>
  <LinksUpToDate>false</LinksUpToDate>
  <CharactersWithSpaces>10798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2022-06-22T03:11:00Z</cp:lastPrinted>
  <dcterms:modified xsi:type="dcterms:W3CDTF">2024-01-26T07:41:06Z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