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涞水县公安交通警察大队</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涞水县公安交通警察大队</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涞水县公安交通警察大队</w:t>
      </w:r>
      <w:r>
        <w:rPr>
          <w:rFonts w:hint="eastAsia"/>
        </w:rPr>
        <w:t>事业收支预算</w:t>
      </w:r>
      <w:r>
        <w:tab/>
      </w:r>
      <w:r>
        <w:rPr>
          <w:lang w:eastAsia="zh-CN"/>
        </w:rPr>
        <w:t>2</w:t>
      </w:r>
      <w:r>
        <w:rPr>
          <w:rFonts w:hint="eastAsia"/>
          <w:lang w:eastAsia="zh-CN"/>
        </w:rPr>
        <w:t>5</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涞水县公安交通警察大队</w:t>
      </w:r>
      <w:r>
        <w:rPr>
          <w:rFonts w:hint="eastAsia" w:ascii="方正小标宋_GBK" w:hAnsi="方正小标宋_GBK" w:eastAsia="方正小标宋_GBK" w:cs="方正小标宋_GBK"/>
          <w:color w:val="000000"/>
          <w:sz w:val="44"/>
        </w:rPr>
        <w:t>（本级）收支预算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451001涞水县公安交通警察大队（本级）</w:t>
            </w:r>
          </w:p>
        </w:tc>
        <w:tc>
          <w:tcPr>
            <w:tcW w:w="2126" w:type="dxa"/>
            <w:tcBorders>
              <w:top w:val="single" w:color="FFFFFF" w:sz="6" w:space="0"/>
              <w:left w:val="single" w:color="FFFFFF" w:sz="6" w:space="0"/>
              <w:right w:val="single" w:color="FFFFFF" w:sz="6" w:space="0"/>
            </w:tcBorders>
            <w:vAlign w:val="center"/>
          </w:tcPr>
          <w:p>
            <w:pPr>
              <w:pStyle w:val="15"/>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1"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5"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5" w:type="dxa"/>
            <w:vAlign w:val="center"/>
          </w:tcPr>
          <w:p>
            <w:pPr>
              <w:pStyle w:val="19"/>
            </w:pPr>
            <w:r>
              <w:t>一、一般公共预算拨款收入</w:t>
            </w:r>
          </w:p>
        </w:tc>
        <w:tc>
          <w:tcPr>
            <w:tcW w:w="2126" w:type="dxa"/>
            <w:vAlign w:val="center"/>
          </w:tcPr>
          <w:p>
            <w:pPr>
              <w:pStyle w:val="18"/>
              <w:rPr>
                <w:rFonts w:hint="default" w:eastAsia="方正书宋_GBK"/>
                <w:lang w:val="en-US" w:eastAsia="zh-CN"/>
              </w:rPr>
            </w:pPr>
            <w:r>
              <w:rPr>
                <w:rFonts w:hint="eastAsia"/>
                <w:lang w:val="en-US" w:eastAsia="zh-CN"/>
              </w:rPr>
              <w:t>2555.39</w:t>
            </w:r>
          </w:p>
        </w:tc>
        <w:tc>
          <w:tcPr>
            <w:tcW w:w="4535" w:type="dxa"/>
            <w:vAlign w:val="center"/>
          </w:tcPr>
          <w:p>
            <w:pPr>
              <w:pStyle w:val="19"/>
            </w:pPr>
            <w:r>
              <w:t>一、一般公共服务支出</w:t>
            </w:r>
          </w:p>
        </w:tc>
        <w:tc>
          <w:tcPr>
            <w:tcW w:w="2126" w:type="dxa"/>
            <w:vAlign w:val="center"/>
          </w:tcPr>
          <w:p>
            <w:pPr>
              <w:pStyle w:val="18"/>
              <w:jc w:val="center"/>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5"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5"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5"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rPr>
                <w:rFonts w:hint="default" w:eastAsia="方正书宋_GBK"/>
                <w:lang w:val="en-US" w:eastAsia="zh-CN"/>
              </w:rPr>
            </w:pPr>
            <w:r>
              <w:rPr>
                <w:rFonts w:hint="eastAsia"/>
                <w:lang w:val="en-US" w:eastAsia="zh-CN"/>
              </w:rPr>
              <w:t>2298.01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5"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5"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5" w:type="dxa"/>
            <w:vAlign w:val="center"/>
          </w:tcPr>
          <w:p>
            <w:pPr>
              <w:pStyle w:val="19"/>
            </w:pPr>
            <w:r>
              <w:t>七、上级补助收入</w:t>
            </w:r>
          </w:p>
        </w:tc>
        <w:tc>
          <w:tcPr>
            <w:tcW w:w="2126" w:type="dxa"/>
            <w:vAlign w:val="center"/>
          </w:tcPr>
          <w:p>
            <w:pPr>
              <w:pStyle w:val="18"/>
              <w:rPr>
                <w:rFonts w:hint="default" w:eastAsia="方正书宋_GBK"/>
                <w:lang w:val="en-US" w:eastAsia="zh-CN"/>
              </w:rPr>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5"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default" w:eastAsia="方正书宋_GBK"/>
                <w:lang w:val="en-US" w:eastAsia="zh-CN"/>
              </w:rPr>
            </w:pPr>
            <w:r>
              <w:rPr>
                <w:rFonts w:hint="eastAsia"/>
                <w:lang w:val="en-US" w:eastAsia="zh-CN"/>
              </w:rPr>
              <w:t>127.67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5" w:type="dxa"/>
            <w:vAlign w:val="center"/>
          </w:tcPr>
          <w:p>
            <w:pPr>
              <w:pStyle w:val="19"/>
            </w:pPr>
            <w:r>
              <w:t>九、其他收入</w:t>
            </w:r>
          </w:p>
        </w:tc>
        <w:tc>
          <w:tcPr>
            <w:tcW w:w="2126" w:type="dxa"/>
            <w:vAlign w:val="center"/>
          </w:tcPr>
          <w:p>
            <w:pPr>
              <w:pStyle w:val="18"/>
              <w:rPr>
                <w:rFonts w:hint="default" w:eastAsia="方正书宋_GBK"/>
                <w:lang w:val="en-US" w:eastAsia="zh-CN"/>
              </w:rPr>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default" w:eastAsia="方正书宋_GBK"/>
                <w:lang w:val="en-US" w:eastAsia="zh-CN"/>
              </w:rPr>
            </w:pPr>
            <w:r>
              <w:rPr>
                <w:rFonts w:hint="eastAsia"/>
                <w:lang w:val="en-US" w:eastAsia="zh-CN"/>
              </w:rPr>
              <w:t>52.67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18</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850" w:type="dxa"/>
            <w:vAlign w:val="center"/>
          </w:tcPr>
          <w:p>
            <w:pPr>
              <w:pStyle w:val="20"/>
            </w:pPr>
            <w:r>
              <w:t>19</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bl>
    <w:p>
      <w:pPr>
        <w:tabs>
          <w:tab w:val="left" w:pos="1175"/>
        </w:tabs>
        <w:bidi w:val="0"/>
        <w:jc w:val="left"/>
        <w:rPr>
          <w:lang w:val="en-US" w:eastAsia="zh-CN"/>
        </w:rPr>
        <w:sectPr>
          <w:footerReference r:id="rId6" w:type="default"/>
          <w:footerReference r:id="rId7" w:type="even"/>
          <w:type w:val="continuous"/>
          <w:pgSz w:w="16840" w:h="11900" w:orient="landscape"/>
          <w:pgMar w:top="1361" w:right="1020" w:bottom="1134" w:left="1020" w:header="720" w:footer="720" w:gutter="0"/>
          <w:pgNumType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default" w:eastAsia="方正书宋_GBK"/>
                <w:lang w:val="en-US" w:eastAsia="zh-CN"/>
              </w:rPr>
            </w:pPr>
            <w:r>
              <w:rPr>
                <w:rFonts w:hint="eastAsia"/>
                <w:lang w:val="en-US" w:eastAsia="zh-CN"/>
              </w:rPr>
              <w:t>77.04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jc w:val="center"/>
              <w:rPr>
                <w:rFonts w:hint="default" w:eastAsia="方正书宋_GBK"/>
                <w:lang w:val="en-US" w:eastAsia="zh-CN"/>
              </w:rPr>
            </w:pPr>
            <w:r>
              <w:rPr>
                <w:rFonts w:hint="eastAsia"/>
                <w:lang w:val="en-US" w:eastAsia="zh-CN"/>
              </w:rPr>
              <w:t>2555.39</w:t>
            </w:r>
          </w:p>
        </w:tc>
        <w:tc>
          <w:tcPr>
            <w:tcW w:w="4535" w:type="dxa"/>
            <w:vAlign w:val="center"/>
          </w:tcPr>
          <w:p>
            <w:pPr>
              <w:pStyle w:val="21"/>
            </w:pPr>
            <w:r>
              <w:t>本年支出合计</w:t>
            </w:r>
          </w:p>
        </w:tc>
        <w:tc>
          <w:tcPr>
            <w:tcW w:w="2126" w:type="dxa"/>
            <w:vAlign w:val="center"/>
          </w:tcPr>
          <w:p>
            <w:pPr>
              <w:pStyle w:val="22"/>
              <w:jc w:val="center"/>
              <w:rPr>
                <w:rFonts w:hint="default" w:eastAsia="方正书宋_GBK"/>
                <w:lang w:val="en-US" w:eastAsia="zh-CN"/>
              </w:rPr>
            </w:pPr>
            <w:r>
              <w:rPr>
                <w:rFonts w:hint="eastAsia"/>
                <w:lang w:val="en-US" w:eastAsia="zh-CN"/>
              </w:rPr>
              <w:t>2555.39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jc w:val="center"/>
              <w:rPr>
                <w:rFonts w:hint="default" w:eastAsia="方正书宋_GBK"/>
                <w:lang w:val="en-US" w:eastAsia="zh-CN"/>
              </w:rPr>
            </w:pPr>
            <w:r>
              <w:rPr>
                <w:rFonts w:hint="eastAsia"/>
                <w:lang w:val="en-US" w:eastAsia="zh-CN"/>
              </w:rPr>
              <w:t>2555.39</w:t>
            </w:r>
          </w:p>
        </w:tc>
        <w:tc>
          <w:tcPr>
            <w:tcW w:w="4535" w:type="dxa"/>
            <w:vAlign w:val="center"/>
          </w:tcPr>
          <w:p>
            <w:pPr>
              <w:pStyle w:val="21"/>
            </w:pPr>
            <w:r>
              <w:t>支出总计</w:t>
            </w:r>
          </w:p>
        </w:tc>
        <w:tc>
          <w:tcPr>
            <w:tcW w:w="2126" w:type="dxa"/>
            <w:vAlign w:val="center"/>
          </w:tcPr>
          <w:p>
            <w:pPr>
              <w:pStyle w:val="22"/>
              <w:jc w:val="center"/>
              <w:rPr>
                <w:rFonts w:hint="default" w:eastAsia="方正书宋_GBK"/>
                <w:lang w:val="en-US" w:eastAsia="zh-CN"/>
              </w:rPr>
            </w:pPr>
            <w:r>
              <w:rPr>
                <w:rFonts w:hint="eastAsia"/>
                <w:lang w:val="en-US" w:eastAsia="zh-CN"/>
              </w:rPr>
              <w:t>2555.39</w:t>
            </w:r>
          </w:p>
        </w:tc>
      </w:tr>
    </w:tbl>
    <w:p>
      <w:pPr>
        <w:sectPr>
          <w:pgSz w:w="16840" w:h="11900" w:orient="landscape"/>
          <w:pgMar w:top="1361" w:right="1020" w:bottom="1134" w:left="1020" w:header="720" w:footer="720" w:gutter="0"/>
          <w:cols w:space="720" w:num="1"/>
        </w:sectPr>
      </w:pPr>
    </w:p>
    <w:tbl>
      <w:tblPr>
        <w:tblStyle w:val="9"/>
        <w:tblW w:w="147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1279"/>
        <w:gridCol w:w="4360"/>
        <w:gridCol w:w="1098"/>
        <w:gridCol w:w="1273"/>
        <w:gridCol w:w="1249"/>
        <w:gridCol w:w="683"/>
        <w:gridCol w:w="613"/>
        <w:gridCol w:w="623"/>
        <w:gridCol w:w="722"/>
        <w:gridCol w:w="767"/>
        <w:gridCol w:w="668"/>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717"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1" w:name="_Toc_2_2_0000000003"/>
            <w:r>
              <w:rPr>
                <w:rFonts w:hint="eastAsia" w:ascii="方正小标宋_GBK" w:hAnsi="方正小标宋_GBK" w:eastAsia="方正小标宋_GBK" w:cs="方正小标宋_GBK"/>
                <w:color w:val="000000"/>
                <w:sz w:val="36"/>
                <w:lang w:val="en-US" w:eastAsia="zh-CN"/>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lang w:val="en-US" w:eastAsia="zh-CN"/>
              </w:rPr>
              <w:t xml:space="preserve">451001涞水县公安交通警察大队（本级）                                                              </w:t>
            </w:r>
            <w:r>
              <w:t>预算年度：2022</w:t>
            </w:r>
          </w:p>
        </w:tc>
        <w:tc>
          <w:tcPr>
            <w:tcW w:w="0" w:type="auto"/>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80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9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6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0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7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621"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执法办案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14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8"/>
        <w:gridCol w:w="1148"/>
        <w:gridCol w:w="3912"/>
        <w:gridCol w:w="1609"/>
        <w:gridCol w:w="1148"/>
        <w:gridCol w:w="1148"/>
        <w:gridCol w:w="1149"/>
        <w:gridCol w:w="1938"/>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869" w:type="dxa"/>
            <w:gridSpan w:val="7"/>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bookmarkStart w:id="2" w:name="_Toc_2_2_0000000004"/>
            <w:r>
              <w:rPr>
                <w:rFonts w:hint="eastAsia"/>
                <w:lang w:val="en-US" w:eastAsia="zh-CN"/>
              </w:rPr>
              <w:t xml:space="preserve">451001涞水县公安交通警察大队（本级）                                                           </w:t>
            </w:r>
            <w:r>
              <w:t>预算年度：2022</w:t>
            </w:r>
          </w:p>
        </w:tc>
        <w:tc>
          <w:tcPr>
            <w:tcW w:w="195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04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1934.52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1677.14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1677.14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执法办案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2"/>
    <w:tbl>
      <w:tblPr>
        <w:tblStyle w:val="9"/>
        <w:tblW w:w="14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7"/>
        <w:gridCol w:w="2475"/>
        <w:gridCol w:w="975"/>
        <w:gridCol w:w="2925"/>
        <w:gridCol w:w="870"/>
        <w:gridCol w:w="1980"/>
        <w:gridCol w:w="2064"/>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3" w:name="_Toc_2_2_0000000005"/>
            <w:r>
              <w:rPr>
                <w:rFonts w:hint="eastAsia" w:ascii="方正小标宋_GBK" w:hAnsi="方正小标宋_GBK" w:eastAsia="方正小标宋_GBK" w:cs="方正小标宋_GBK"/>
                <w:color w:val="000000"/>
                <w:sz w:val="36"/>
                <w:lang w:val="en-US" w:eastAsia="zh-CN"/>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6"/>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lang w:val="en-US" w:eastAsia="zh-CN"/>
              </w:rPr>
              <w:t xml:space="preserve">451001涞水县公安交通警察大队（本级）                                                  </w:t>
            </w:r>
            <w:r>
              <w:t>预算年度：2022</w:t>
            </w: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ind w:firstLine="96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5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9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1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22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2298.01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2555.39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3"/>
    <w:p>
      <w:pPr>
        <w:sectPr>
          <w:pgSz w:w="16840" w:h="11900" w:orient="landscape"/>
          <w:pgMar w:top="1361" w:right="1020" w:bottom="1134" w:left="1020" w:header="720" w:footer="720" w:gutter="0"/>
          <w:cols w:space="720" w:num="1"/>
        </w:sectPr>
      </w:pPr>
    </w:p>
    <w:tbl>
      <w:tblPr>
        <w:tblStyle w:val="9"/>
        <w:tblW w:w="27781" w:type="dxa"/>
        <w:tblInd w:w="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185"/>
        <w:gridCol w:w="4560"/>
        <w:gridCol w:w="2520"/>
        <w:gridCol w:w="2550"/>
        <w:gridCol w:w="2550"/>
        <w:gridCol w:w="1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560" w:hRule="atLeast"/>
        </w:trPr>
        <w:tc>
          <w:tcPr>
            <w:tcW w:w="1420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bookmarkStart w:id="4" w:name="_Toc_2_2_0000000007"/>
            <w:r>
              <w:rPr>
                <w:rFonts w:hint="eastAsia" w:ascii="方正小标宋_GBK" w:hAnsi="方正小标宋_GBK" w:eastAsia="方正小标宋_GBK" w:cs="方正小标宋_GBK"/>
                <w:color w:val="000000"/>
                <w:sz w:val="36"/>
                <w:lang w:val="en-US" w:eastAsia="zh-CN"/>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90" w:hRule="atLeast"/>
        </w:trPr>
        <w:tc>
          <w:tcPr>
            <w:tcW w:w="910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uk-UA" w:bidi="ar-SA"/>
              </w:rPr>
            </w:pPr>
            <w:r>
              <w:rPr>
                <w:rFonts w:hint="eastAsia"/>
                <w:lang w:val="en-US" w:eastAsia="zh-CN"/>
              </w:rPr>
              <w:t xml:space="preserve">451001涞水县公安交通警察大队（本级）                                              </w:t>
            </w:r>
            <w:r>
              <w:t>预算年度：2022</w:t>
            </w:r>
            <w:r>
              <w:rPr>
                <w:rFonts w:hint="eastAsia"/>
                <w:lang w:val="en-US" w:eastAsia="zh-CN"/>
              </w:rPr>
              <w:t xml:space="preserve"> </w:t>
            </w: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uk-UA" w:bidi="ar-SA"/>
              </w:rPr>
            </w:pP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ind w:firstLine="96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序号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57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支出功能分类科目</w:t>
            </w:r>
          </w:p>
        </w:tc>
        <w:tc>
          <w:tcPr>
            <w:tcW w:w="76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科目编码</w:t>
            </w:r>
          </w:p>
        </w:tc>
        <w:tc>
          <w:tcPr>
            <w:tcW w:w="4560"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小计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nil"/>
              <w:left w:val="single" w:color="auto" w:sz="4" w:space="0"/>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栏次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2555.39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1934.52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1190.35</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公共安全支出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2298.01</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1677.14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932.97</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公安</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2298.01</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1677.14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932.97</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1619.14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1619.14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932.97</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500.87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2040220</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执法办案</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178.00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58.00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127.67</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52.67</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52.67</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7.65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7.65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7.65</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事业单位医疗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45.02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45.02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45.02</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77.04</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9.12</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0.32</w:t>
            </w: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0.32</w:t>
            </w:r>
          </w:p>
        </w:tc>
      </w:tr>
    </w:tbl>
    <w:p>
      <w:pPr>
        <w:jc w:val="center"/>
        <w:outlineLvl w:val="1"/>
        <w:rPr>
          <w:rFonts w:ascii="方正小标宋_GBK" w:hAnsi="方正小标宋_GBK" w:eastAsia="方正小标宋_GBK" w:cs="方正小标宋_GBK"/>
          <w:color w:val="000000"/>
          <w:sz w:val="36"/>
        </w:rPr>
      </w:pPr>
    </w:p>
    <w:tbl>
      <w:tblPr>
        <w:tblStyle w:val="9"/>
        <w:tblW w:w="14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0"/>
        <w:gridCol w:w="1125"/>
        <w:gridCol w:w="4590"/>
        <w:gridCol w:w="2520"/>
        <w:gridCol w:w="253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48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6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lang w:val="en-US" w:eastAsia="zh-CN"/>
              </w:rPr>
              <w:t xml:space="preserve">451001涞水县公安交通警察大队（本级）                                           </w:t>
            </w:r>
            <w:r>
              <w:t>预算年度：2022</w:t>
            </w:r>
          </w:p>
        </w:tc>
        <w:tc>
          <w:tcPr>
            <w:tcW w:w="2535"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58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5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1934.52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1190.35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1190.35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1190.35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487.04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487.04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198.79</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198.79</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5.68</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5.68</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237.46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237.46</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127.67</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52.67</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77.04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744.17</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79.82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561.92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8.79</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0.32</w:t>
            </w: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451001涞水县公安交通警察大队（本级）</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451001涞水县公安交通警察大队（本级）</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2"/>
        <w:gridCol w:w="2520"/>
        <w:gridCol w:w="1710"/>
        <w:gridCol w:w="1878"/>
        <w:gridCol w:w="2381"/>
        <w:gridCol w:w="4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451001涞水县公安交通警察大队（本级）</w:t>
            </w:r>
          </w:p>
        </w:tc>
        <w:tc>
          <w:tcPr>
            <w:tcW w:w="2381" w:type="dxa"/>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预算年度：2022</w:t>
            </w:r>
          </w:p>
        </w:tc>
        <w:tc>
          <w:tcPr>
            <w:tcW w:w="4762" w:type="dxa"/>
            <w:tcBorders>
              <w:top w:val="single" w:color="FFFFFF" w:sz="6" w:space="0"/>
              <w:left w:val="single" w:color="FFFFFF" w:sz="6" w:space="0"/>
              <w:right w:val="single" w:color="FFFFFF" w:sz="6" w:space="0"/>
            </w:tcBorders>
            <w:vAlign w:val="center"/>
          </w:tcPr>
          <w:p>
            <w:pPr>
              <w:keepNext w:val="0"/>
              <w:keepLines w:val="0"/>
              <w:widowControl/>
              <w:suppressLineNumbers w:val="0"/>
              <w:ind w:firstLine="3120" w:firstLineChars="1300"/>
              <w:jc w:val="left"/>
              <w:textAlignment w:val="center"/>
              <w:rPr>
                <w:rFonts w:hint="eastAsia"/>
                <w:lang w:val="en-US" w:eastAsia="zh-CN"/>
              </w:rPr>
            </w:pPr>
            <w:r>
              <w:rPr>
                <w:rFonts w:hint="eastAsia"/>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2"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序号</w:t>
            </w:r>
          </w:p>
        </w:tc>
        <w:tc>
          <w:tcPr>
            <w:tcW w:w="2520"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w:t>
            </w:r>
          </w:p>
        </w:tc>
        <w:tc>
          <w:tcPr>
            <w:tcW w:w="10731" w:type="dxa"/>
            <w:gridSpan w:val="4"/>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Merge w:val="continue"/>
            <w:vAlign w:val="center"/>
          </w:tcPr>
          <w:p>
            <w:pPr>
              <w:jc w:val="center"/>
            </w:pPr>
          </w:p>
        </w:tc>
        <w:tc>
          <w:tcPr>
            <w:tcW w:w="2520" w:type="dxa"/>
            <w:vMerge w:val="continue"/>
            <w:vAlign w:val="center"/>
          </w:tcPr>
          <w:p>
            <w:pPr>
              <w:jc w:val="center"/>
            </w:pP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政府性基金财政拨款</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栏次</w:t>
            </w:r>
          </w:p>
        </w:tc>
        <w:tc>
          <w:tcPr>
            <w:tcW w:w="252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710"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“三公”经费小计</w:t>
            </w:r>
          </w:p>
        </w:tc>
        <w:tc>
          <w:tcPr>
            <w:tcW w:w="1710"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171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171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三、公务接待费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四、会议费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五、培训费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widowControl/>
        <w:spacing w:line="560" w:lineRule="exact"/>
        <w:jc w:val="center"/>
        <w:rPr>
          <w:rFonts w:hint="eastAsia" w:ascii="宋体" w:eastAsia="宋体" w:cs="宋体"/>
          <w:b/>
          <w:kern w:val="0"/>
          <w:sz w:val="44"/>
          <w:szCs w:val="44"/>
          <w:lang w:eastAsia="zh-CN"/>
        </w:rPr>
      </w:pPr>
      <w:r>
        <w:rPr>
          <w:rFonts w:hint="eastAsia" w:ascii="宋体" w:hAnsi="宋体" w:cs="宋体"/>
          <w:b/>
          <w:kern w:val="0"/>
          <w:sz w:val="44"/>
          <w:szCs w:val="44"/>
        </w:rPr>
        <w:t>涞水县公安交通警察大队</w:t>
      </w:r>
      <w:r>
        <w:rPr>
          <w:rFonts w:hint="eastAsia" w:ascii="宋体" w:hAnsi="宋体" w:cs="宋体"/>
          <w:b/>
          <w:kern w:val="0"/>
          <w:sz w:val="44"/>
          <w:szCs w:val="44"/>
          <w:lang w:eastAsia="zh-CN"/>
        </w:rPr>
        <w:t>（本级）</w:t>
      </w:r>
    </w:p>
    <w:p>
      <w:pPr>
        <w:widowControl/>
        <w:spacing w:line="560" w:lineRule="exact"/>
        <w:jc w:val="center"/>
        <w:rPr>
          <w:rFonts w:hint="eastAsia" w:ascii="宋体" w:hAnsi="宋体" w:cs="宋体"/>
          <w:b/>
          <w:kern w:val="0"/>
          <w:sz w:val="44"/>
          <w:szCs w:val="44"/>
        </w:rPr>
      </w:pP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widowControl/>
        <w:spacing w:line="560" w:lineRule="exact"/>
        <w:jc w:val="center"/>
        <w:rPr>
          <w:rFonts w:ascii="宋体" w:cs="仿宋"/>
          <w:b/>
          <w:kern w:val="0"/>
          <w:sz w:val="44"/>
          <w:szCs w:val="44"/>
        </w:rPr>
      </w:pPr>
    </w:p>
    <w:p>
      <w:pPr>
        <w:pStyle w:val="24"/>
        <w:rPr>
          <w:rFonts w:hint="eastAsia" w:cs="仿宋" w:asciiTheme="minorEastAsia" w:hAnsiTheme="minorEastAsia" w:eastAsiaTheme="minorEastAsia"/>
          <w:sz w:val="32"/>
          <w:szCs w:val="32"/>
          <w:lang w:val="en-US" w:eastAsia="zh-CN" w:bidi="ar-SA"/>
        </w:rPr>
      </w:pPr>
      <w:r>
        <w:rPr>
          <w:rFonts w:hint="eastAsia" w:cs="仿宋" w:asciiTheme="minorEastAsia" w:hAnsiTheme="minorEastAsia" w:eastAsiaTheme="minorEastAsia"/>
          <w:sz w:val="32"/>
          <w:szCs w:val="32"/>
          <w:lang w:val="en-US" w:eastAsia="zh-CN" w:bidi="ar-SA"/>
        </w:rPr>
        <w:t>按照《中华人民共和国</w:t>
      </w:r>
      <w:bookmarkStart w:id="13" w:name="_GoBack"/>
      <w:bookmarkEnd w:id="13"/>
      <w:r>
        <w:rPr>
          <w:rFonts w:hint="eastAsia" w:cs="仿宋" w:asciiTheme="minorEastAsia" w:hAnsiTheme="minorEastAsia" w:eastAsiaTheme="minorEastAsia"/>
          <w:sz w:val="32"/>
          <w:szCs w:val="32"/>
          <w:lang w:val="en-US" w:eastAsia="zh-CN" w:bidi="ar-SA"/>
        </w:rPr>
        <w:t>预算法》、《地方预决算公开操作规程》和《关于进一步推进预算公开工作的实施意见》规定，现将涞水县公安交通警察大队（本级）2022年单位预算公开如下：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snapToGrid w:val="0"/>
        <w:spacing w:line="560" w:lineRule="exact"/>
        <w:ind w:firstLine="964" w:firstLineChars="300"/>
        <w:rPr>
          <w:rFonts w:hint="eastAsia" w:ascii="仿宋" w:hAnsi="仿宋" w:eastAsia="仿宋"/>
          <w:b/>
          <w:bCs/>
          <w:sz w:val="32"/>
          <w:szCs w:val="32"/>
          <w:lang w:val="en-US" w:eastAsia="uk-UA"/>
        </w:rPr>
      </w:pPr>
      <w:r>
        <w:rPr>
          <w:rFonts w:hint="eastAsia" w:ascii="仿宋" w:hAnsi="仿宋" w:eastAsia="仿宋"/>
          <w:b/>
          <w:bCs/>
          <w:sz w:val="32"/>
          <w:szCs w:val="32"/>
          <w:lang w:val="en-US" w:eastAsia="zh-CN"/>
        </w:rPr>
        <w:t>1.</w:t>
      </w:r>
      <w:r>
        <w:rPr>
          <w:rFonts w:hint="eastAsia" w:ascii="仿宋" w:hAnsi="仿宋" w:eastAsia="仿宋"/>
          <w:b/>
          <w:bCs/>
          <w:sz w:val="32"/>
          <w:szCs w:val="32"/>
          <w:lang w:val="en-US" w:eastAsia="uk-UA"/>
        </w:rPr>
        <w:t>单位职责：</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w:t>
      </w:r>
      <w:r>
        <w:rPr>
          <w:rFonts w:hint="eastAsia" w:cs="仿宋" w:asciiTheme="minorEastAsia" w:hAnsiTheme="minorEastAsia" w:eastAsiaTheme="minorEastAsia"/>
          <w:sz w:val="32"/>
          <w:szCs w:val="32"/>
          <w:lang w:val="en-US" w:eastAsia="uk-UA" w:bidi="ar-SA"/>
        </w:rPr>
        <w:t>一</w:t>
      </w:r>
      <w:r>
        <w:rPr>
          <w:rFonts w:hint="eastAsia" w:cs="仿宋" w:asciiTheme="minorEastAsia" w:hAnsiTheme="minorEastAsia" w:eastAsiaTheme="minorEastAsia"/>
          <w:sz w:val="32"/>
          <w:szCs w:val="32"/>
          <w:lang w:val="en-US" w:eastAsia="zh-CN" w:bidi="ar-SA"/>
        </w:rPr>
        <w:t>）</w:t>
      </w:r>
      <w:r>
        <w:rPr>
          <w:rFonts w:hint="eastAsia" w:cs="仿宋" w:asciiTheme="minorEastAsia" w:hAnsiTheme="minorEastAsia" w:eastAsiaTheme="minorEastAsia"/>
          <w:sz w:val="32"/>
          <w:szCs w:val="32"/>
          <w:lang w:val="en-US" w:eastAsia="uk-UA" w:bidi="ar-SA"/>
        </w:rPr>
        <w:t>财政收入管理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深化税收制度改革，完善地方税体系。完善和规范地方性税收法规，规范税收优惠政策，监督检查税政政策执行情况。制定非税收入管理政策，加强非税收入征管。</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（二）</w:t>
      </w:r>
      <w:r>
        <w:rPr>
          <w:rFonts w:hint="eastAsia" w:cs="仿宋" w:asciiTheme="minorEastAsia" w:hAnsiTheme="minorEastAsia" w:eastAsiaTheme="minorEastAsia"/>
          <w:sz w:val="32"/>
          <w:szCs w:val="32"/>
          <w:lang w:val="en-US" w:eastAsia="uk-UA" w:bidi="ar-SA"/>
        </w:rPr>
        <w:t>财政资源配置管理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通过对财政收支以及相应的财政税收政策，调整和引导现有社会经济资源的流向和流量，以达到资源的优化配置和充分利用，实现最大的经济效益和社会效益的功能。</w:t>
      </w:r>
    </w:p>
    <w:p>
      <w:pPr>
        <w:pStyle w:val="24"/>
        <w:ind w:firstLineChars="200"/>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（三）</w:t>
      </w:r>
      <w:r>
        <w:rPr>
          <w:rFonts w:hint="eastAsia" w:cs="仿宋" w:asciiTheme="minorEastAsia" w:hAnsiTheme="minorEastAsia" w:eastAsiaTheme="minorEastAsia"/>
          <w:sz w:val="32"/>
          <w:szCs w:val="32"/>
          <w:lang w:val="en-US" w:eastAsia="uk-UA" w:bidi="ar-SA"/>
        </w:rPr>
        <w:t>财政体制管理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承担财政体制管理的责任。负责拟订县对乡镇财政管理体制，研究提出县对乡镇财政管理体制指导性意见。</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（四）</w:t>
      </w:r>
      <w:r>
        <w:rPr>
          <w:rFonts w:hint="eastAsia" w:cs="仿宋" w:asciiTheme="minorEastAsia" w:hAnsiTheme="minorEastAsia" w:eastAsiaTheme="minorEastAsia"/>
          <w:sz w:val="32"/>
          <w:szCs w:val="32"/>
          <w:lang w:val="en-US" w:eastAsia="uk-UA" w:bidi="ar-SA"/>
        </w:rPr>
        <w:t>预算管理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（五）</w:t>
      </w:r>
      <w:r>
        <w:rPr>
          <w:rFonts w:hint="eastAsia" w:cs="仿宋" w:asciiTheme="minorEastAsia" w:hAnsiTheme="minorEastAsia" w:eastAsiaTheme="minorEastAsia"/>
          <w:sz w:val="32"/>
          <w:szCs w:val="32"/>
          <w:lang w:val="en-US" w:eastAsia="uk-UA" w:bidi="ar-SA"/>
        </w:rPr>
        <w:t>国库管理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预算单位用款计划及额度审核下达；财政专户资金审核拨付；全县预算执行分析；组织实施总决算会计，组织部门决算汇编；国库现金管理；管理全县预算单位银行账户。</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（六）</w:t>
      </w:r>
      <w:r>
        <w:rPr>
          <w:rFonts w:hint="eastAsia" w:cs="仿宋" w:asciiTheme="minorEastAsia" w:hAnsiTheme="minorEastAsia" w:eastAsiaTheme="minorEastAsia"/>
          <w:sz w:val="32"/>
          <w:szCs w:val="32"/>
          <w:lang w:val="en-US" w:eastAsia="uk-UA" w:bidi="ar-SA"/>
        </w:rPr>
        <w:t>财政监督管理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负责对财政性资金使用情况进行绩效监督评价，反映财政收支管理中的重大问题。</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（七）</w:t>
      </w:r>
      <w:r>
        <w:rPr>
          <w:rFonts w:hint="eastAsia" w:cs="仿宋" w:asciiTheme="minorEastAsia" w:hAnsiTheme="minorEastAsia" w:eastAsiaTheme="minorEastAsia"/>
          <w:sz w:val="32"/>
          <w:szCs w:val="32"/>
          <w:lang w:val="en-US" w:eastAsia="uk-UA" w:bidi="ar-SA"/>
        </w:rPr>
        <w:t>财务会计管理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管理会计工作，监督和规范会计行为，组织实施国家统一的会计制度、财务制度；管理会计从业资格；按规定承担会计专业技术资格管理。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（八）</w:t>
      </w:r>
      <w:r>
        <w:rPr>
          <w:rFonts w:hint="eastAsia" w:cs="仿宋" w:asciiTheme="minorEastAsia" w:hAnsiTheme="minorEastAsia" w:eastAsiaTheme="minorEastAsia"/>
          <w:sz w:val="32"/>
          <w:szCs w:val="32"/>
          <w:lang w:val="en-US" w:eastAsia="uk-UA" w:bidi="ar-SA"/>
        </w:rPr>
        <w:t>国有资产管理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（九）</w:t>
      </w:r>
      <w:r>
        <w:rPr>
          <w:rFonts w:hint="eastAsia" w:cs="仿宋" w:asciiTheme="minorEastAsia" w:hAnsiTheme="minorEastAsia" w:eastAsiaTheme="minorEastAsia"/>
          <w:sz w:val="32"/>
          <w:szCs w:val="32"/>
          <w:lang w:val="en-US" w:eastAsia="uk-UA" w:bidi="ar-SA"/>
        </w:rPr>
        <w:t>政府专项工作服务与管理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政府采购、农村综合改革、政府债务、综合治税、政府购买服务、规范津补贴等政府专项工作的服务与管理。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（十）</w:t>
      </w:r>
      <w:r>
        <w:rPr>
          <w:rFonts w:hint="eastAsia" w:cs="仿宋" w:asciiTheme="minorEastAsia" w:hAnsiTheme="minorEastAsia" w:eastAsiaTheme="minorEastAsia"/>
          <w:sz w:val="32"/>
          <w:szCs w:val="32"/>
          <w:lang w:val="en-US" w:eastAsia="uk-UA" w:bidi="ar-SA"/>
        </w:rPr>
        <w:t>财政政务管理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负责财政系统综合业务管理和机关综合事务管理。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（十一）</w:t>
      </w:r>
      <w:r>
        <w:rPr>
          <w:rFonts w:hint="eastAsia" w:cs="仿宋" w:asciiTheme="minorEastAsia" w:hAnsiTheme="minorEastAsia" w:eastAsiaTheme="minorEastAsia"/>
          <w:sz w:val="32"/>
          <w:szCs w:val="32"/>
          <w:lang w:val="en-US" w:eastAsia="uk-UA" w:bidi="ar-SA"/>
        </w:rPr>
        <w:t>其他事项</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上级财政部门和县委、县政府交办的其他事项。</w:t>
      </w:r>
    </w:p>
    <w:p>
      <w:pPr>
        <w:snapToGrid w:val="0"/>
        <w:spacing w:line="560" w:lineRule="exact"/>
        <w:ind w:firstLine="964" w:firstLineChars="30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、机构设置</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本单位成立于</w:t>
      </w:r>
      <w:r>
        <w:rPr>
          <w:rFonts w:cs="仿宋" w:asciiTheme="minorEastAsia" w:hAnsiTheme="minorEastAsia" w:eastAsiaTheme="minorEastAsia"/>
          <w:sz w:val="32"/>
          <w:szCs w:val="32"/>
        </w:rPr>
        <w:t>1987</w:t>
      </w:r>
      <w:r>
        <w:rPr>
          <w:rFonts w:hint="eastAsia" w:cs="仿宋" w:asciiTheme="minorEastAsia" w:hAnsiTheme="minorEastAsia" w:eastAsiaTheme="minorEastAsia"/>
          <w:sz w:val="32"/>
          <w:szCs w:val="32"/>
        </w:rPr>
        <w:t>年</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月，现法人代表是张旋，属于行政单位，独立的财务核算部门，严格执行财务会计制度。下设部门有办公室、财务室、宣教科、车辆管理所、事故处理科、法制室、抓拍中队、重点车辆监管科、</w:t>
      </w: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个岗勤中队、</w:t>
      </w: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个巡警中队、</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个机动中队和</w:t>
      </w: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个外驻中队。</w:t>
      </w:r>
    </w:p>
    <w:p>
      <w:pPr>
        <w:snapToGrid w:val="0"/>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、单位编制情况</w:t>
      </w:r>
    </w:p>
    <w:p>
      <w:p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我部门编制</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7人，在职人员331人，退休人员</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5人。另有财政全额保障人员</w:t>
      </w: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7人，自收自支人员</w:t>
      </w:r>
      <w:r>
        <w:rPr>
          <w:rFonts w:cs="仿宋" w:asciiTheme="minorEastAsia" w:hAnsiTheme="minorEastAsia" w:eastAsiaTheme="minorEastAsia"/>
          <w:sz w:val="32"/>
          <w:szCs w:val="32"/>
        </w:rPr>
        <w:t>94</w:t>
      </w:r>
      <w:r>
        <w:rPr>
          <w:rFonts w:hint="eastAsia" w:cs="仿宋" w:asciiTheme="minorEastAsia" w:hAnsiTheme="minorEastAsia" w:eastAsiaTheme="minorEastAsia"/>
          <w:sz w:val="32"/>
          <w:szCs w:val="32"/>
        </w:rPr>
        <w:t>人</w:t>
      </w:r>
      <w:r>
        <w:rPr>
          <w:rFonts w:cs="仿宋" w:asciiTheme="minorEastAsia" w:hAnsiTheme="minorEastAsia" w:eastAsiaTheme="minorEastAsia"/>
          <w:sz w:val="32"/>
          <w:szCs w:val="32"/>
        </w:rPr>
        <w:t xml:space="preserve"> </w:t>
      </w:r>
      <w:bookmarkStart w:id="7" w:name="_Toc536088156"/>
      <w:r>
        <w:rPr>
          <w:rFonts w:hint="eastAsia" w:cs="仿宋" w:asciiTheme="minorEastAsia" w:hAnsiTheme="minorEastAsia" w:eastAsiaTheme="minorEastAsia"/>
          <w:sz w:val="32"/>
          <w:szCs w:val="32"/>
        </w:rPr>
        <w:t>，劳务派遣人员183人。</w:t>
      </w:r>
    </w:p>
    <w:p>
      <w:pPr>
        <w:jc w:val="center"/>
        <w:outlineLvl w:val="0"/>
        <w:rPr>
          <w:rFonts w:ascii="仿宋" w:hAnsi="仿宋" w:eastAsia="仿宋" w:cs="仿宋"/>
          <w:sz w:val="32"/>
          <w:szCs w:val="32"/>
        </w:rPr>
      </w:pPr>
      <w:r>
        <w:rPr>
          <w:rFonts w:hint="eastAsia" w:ascii="仿宋" w:hAnsi="仿宋" w:eastAsia="仿宋" w:cs="仿宋"/>
          <w:sz w:val="32"/>
          <w:szCs w:val="32"/>
        </w:rPr>
        <w:t>部门基本情况表</w:t>
      </w:r>
      <w:bookmarkEnd w:id="7"/>
    </w:p>
    <w:tbl>
      <w:tblPr>
        <w:tblStyle w:val="9"/>
        <w:tblW w:w="101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1342"/>
        <w:gridCol w:w="992"/>
        <w:gridCol w:w="1701"/>
        <w:gridCol w:w="901"/>
        <w:gridCol w:w="525"/>
        <w:gridCol w:w="646"/>
        <w:gridCol w:w="483"/>
        <w:gridCol w:w="657"/>
        <w:gridCol w:w="335"/>
        <w:gridCol w:w="567"/>
        <w:gridCol w:w="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jc w:val="left"/>
              <w:rPr>
                <w:rFonts w:ascii="宋体" w:cs="宋体"/>
                <w:szCs w:val="21"/>
              </w:rPr>
            </w:pPr>
            <w:r>
              <w:rPr>
                <w:rFonts w:ascii="宋体" w:hAnsi="宋体" w:cs="宋体"/>
                <w:szCs w:val="21"/>
              </w:rPr>
              <w:t>451</w:t>
            </w:r>
            <w:r>
              <w:rPr>
                <w:rFonts w:hint="eastAsia" w:ascii="宋体" w:hAnsi="宋体" w:cs="宋体"/>
                <w:szCs w:val="21"/>
              </w:rPr>
              <w:t>涞水县公安交通警察大队</w:t>
            </w:r>
          </w:p>
        </w:tc>
        <w:tc>
          <w:tcPr>
            <w:tcW w:w="3113" w:type="dxa"/>
            <w:gridSpan w:val="6"/>
            <w:tcBorders>
              <w:top w:val="single" w:color="FFFFFF" w:sz="6" w:space="0"/>
              <w:left w:val="single" w:color="FFFFFF" w:sz="6" w:space="0"/>
              <w:right w:val="single" w:color="FFFFFF" w:sz="6" w:space="0"/>
            </w:tcBorders>
            <w:vAlign w:val="center"/>
          </w:tcPr>
          <w:p>
            <w:pPr>
              <w:spacing w:line="300" w:lineRule="exact"/>
              <w:jc w:val="right"/>
              <w:rPr>
                <w:rFonts w:ascii="宋体" w:cs="宋体"/>
                <w:szCs w:val="21"/>
              </w:rPr>
            </w:pPr>
            <w:r>
              <w:rPr>
                <w:rFonts w:hint="eastAsia" w:ascii="宋体" w:hAnsi="宋体" w:cs="宋体"/>
                <w:szCs w:val="21"/>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544" w:type="dxa"/>
            <w:vMerge w:val="restart"/>
            <w:vAlign w:val="center"/>
          </w:tcPr>
          <w:p>
            <w:pPr>
              <w:spacing w:line="300" w:lineRule="exact"/>
              <w:jc w:val="center"/>
              <w:rPr>
                <w:rFonts w:ascii="宋体" w:cs="宋体"/>
                <w:b/>
                <w:szCs w:val="21"/>
              </w:rPr>
            </w:pPr>
            <w:r>
              <w:rPr>
                <w:rFonts w:hint="eastAsia" w:ascii="宋体" w:hAnsi="宋体" w:cs="宋体"/>
                <w:b/>
                <w:szCs w:val="21"/>
              </w:rPr>
              <w:t>单位名称</w:t>
            </w:r>
          </w:p>
        </w:tc>
        <w:tc>
          <w:tcPr>
            <w:tcW w:w="1342" w:type="dxa"/>
            <w:vMerge w:val="restart"/>
            <w:vAlign w:val="center"/>
          </w:tcPr>
          <w:p>
            <w:pPr>
              <w:spacing w:line="300" w:lineRule="exact"/>
              <w:jc w:val="center"/>
              <w:rPr>
                <w:rFonts w:ascii="宋体" w:cs="宋体"/>
                <w:b/>
                <w:szCs w:val="21"/>
              </w:rPr>
            </w:pPr>
            <w:r>
              <w:rPr>
                <w:rFonts w:hint="eastAsia" w:ascii="宋体" w:hAnsi="宋体" w:cs="宋体"/>
                <w:b/>
                <w:szCs w:val="21"/>
              </w:rPr>
              <w:t>单位性质</w:t>
            </w:r>
          </w:p>
        </w:tc>
        <w:tc>
          <w:tcPr>
            <w:tcW w:w="992" w:type="dxa"/>
            <w:vMerge w:val="restart"/>
            <w:vAlign w:val="center"/>
          </w:tcPr>
          <w:p>
            <w:pPr>
              <w:spacing w:line="300" w:lineRule="exact"/>
              <w:jc w:val="center"/>
              <w:rPr>
                <w:rFonts w:ascii="宋体" w:cs="宋体"/>
                <w:b/>
                <w:szCs w:val="21"/>
              </w:rPr>
            </w:pPr>
            <w:r>
              <w:rPr>
                <w:rFonts w:hint="eastAsia" w:ascii="宋体" w:hAnsi="宋体" w:cs="宋体"/>
                <w:b/>
                <w:szCs w:val="21"/>
              </w:rPr>
              <w:t>单位规格</w:t>
            </w:r>
          </w:p>
        </w:tc>
        <w:tc>
          <w:tcPr>
            <w:tcW w:w="1701" w:type="dxa"/>
            <w:vMerge w:val="restart"/>
            <w:vAlign w:val="center"/>
          </w:tcPr>
          <w:p>
            <w:pPr>
              <w:spacing w:line="300" w:lineRule="exact"/>
              <w:jc w:val="center"/>
              <w:rPr>
                <w:rFonts w:ascii="宋体" w:cs="宋体"/>
                <w:b/>
                <w:szCs w:val="21"/>
              </w:rPr>
            </w:pPr>
            <w:r>
              <w:rPr>
                <w:rFonts w:hint="eastAsia" w:ascii="宋体" w:hAnsi="宋体" w:cs="宋体"/>
                <w:b/>
                <w:szCs w:val="21"/>
              </w:rPr>
              <w:t>经费保障形式</w:t>
            </w:r>
          </w:p>
        </w:tc>
        <w:tc>
          <w:tcPr>
            <w:tcW w:w="901" w:type="dxa"/>
            <w:vMerge w:val="restart"/>
            <w:vAlign w:val="center"/>
          </w:tcPr>
          <w:p>
            <w:pPr>
              <w:spacing w:line="300" w:lineRule="exact"/>
              <w:jc w:val="center"/>
              <w:rPr>
                <w:rFonts w:ascii="宋体" w:cs="宋体"/>
                <w:b/>
                <w:szCs w:val="21"/>
              </w:rPr>
            </w:pPr>
            <w:r>
              <w:rPr>
                <w:rFonts w:hint="eastAsia" w:ascii="宋体" w:hAnsi="宋体" w:cs="宋体"/>
                <w:b/>
                <w:szCs w:val="21"/>
              </w:rPr>
              <w:t>车辆实有数</w:t>
            </w:r>
          </w:p>
        </w:tc>
        <w:tc>
          <w:tcPr>
            <w:tcW w:w="1171" w:type="dxa"/>
            <w:gridSpan w:val="2"/>
            <w:vAlign w:val="center"/>
          </w:tcPr>
          <w:p>
            <w:pPr>
              <w:spacing w:line="300" w:lineRule="exact"/>
              <w:jc w:val="center"/>
              <w:rPr>
                <w:rFonts w:ascii="宋体" w:cs="宋体"/>
                <w:b/>
                <w:szCs w:val="21"/>
              </w:rPr>
            </w:pPr>
            <w:r>
              <w:rPr>
                <w:rFonts w:hint="eastAsia" w:ascii="宋体" w:hAnsi="宋体" w:cs="宋体"/>
                <w:b/>
                <w:szCs w:val="21"/>
              </w:rPr>
              <w:t>编制人数</w:t>
            </w:r>
          </w:p>
        </w:tc>
        <w:tc>
          <w:tcPr>
            <w:tcW w:w="1140" w:type="dxa"/>
            <w:gridSpan w:val="2"/>
            <w:vAlign w:val="center"/>
          </w:tcPr>
          <w:p>
            <w:pPr>
              <w:spacing w:line="300" w:lineRule="exact"/>
              <w:jc w:val="center"/>
              <w:rPr>
                <w:rFonts w:ascii="宋体" w:cs="宋体"/>
                <w:b/>
                <w:szCs w:val="21"/>
              </w:rPr>
            </w:pPr>
            <w:r>
              <w:rPr>
                <w:rFonts w:hint="eastAsia" w:ascii="宋体" w:hAnsi="宋体" w:cs="宋体"/>
                <w:b/>
                <w:szCs w:val="21"/>
              </w:rPr>
              <w:t>在职人数</w:t>
            </w:r>
          </w:p>
        </w:tc>
        <w:tc>
          <w:tcPr>
            <w:tcW w:w="1327" w:type="dxa"/>
            <w:gridSpan w:val="3"/>
            <w:vAlign w:val="center"/>
          </w:tcPr>
          <w:p>
            <w:pPr>
              <w:spacing w:line="300" w:lineRule="exact"/>
              <w:jc w:val="center"/>
              <w:rPr>
                <w:rFonts w:ascii="宋体" w:cs="宋体"/>
                <w:b/>
                <w:szCs w:val="21"/>
              </w:rPr>
            </w:pPr>
            <w:r>
              <w:rPr>
                <w:rFonts w:hint="eastAsia" w:ascii="宋体" w:hAnsi="宋体" w:cs="宋体"/>
                <w:b/>
                <w:szCs w:val="21"/>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544" w:type="dxa"/>
            <w:vMerge w:val="continue"/>
            <w:vAlign w:val="center"/>
          </w:tcPr>
          <w:p>
            <w:pPr>
              <w:spacing w:line="300" w:lineRule="exact"/>
              <w:jc w:val="left"/>
              <w:outlineLvl w:val="0"/>
              <w:rPr>
                <w:rFonts w:ascii="宋体" w:cs="宋体"/>
                <w:szCs w:val="21"/>
              </w:rPr>
            </w:pPr>
          </w:p>
        </w:tc>
        <w:tc>
          <w:tcPr>
            <w:tcW w:w="1342" w:type="dxa"/>
            <w:vMerge w:val="continue"/>
            <w:vAlign w:val="center"/>
          </w:tcPr>
          <w:p>
            <w:pPr>
              <w:spacing w:line="300" w:lineRule="exact"/>
              <w:jc w:val="left"/>
              <w:outlineLvl w:val="0"/>
              <w:rPr>
                <w:rFonts w:ascii="宋体" w:cs="宋体"/>
                <w:szCs w:val="21"/>
              </w:rPr>
            </w:pPr>
          </w:p>
        </w:tc>
        <w:tc>
          <w:tcPr>
            <w:tcW w:w="992" w:type="dxa"/>
            <w:vMerge w:val="continue"/>
            <w:vAlign w:val="center"/>
          </w:tcPr>
          <w:p>
            <w:pPr>
              <w:spacing w:line="300" w:lineRule="exact"/>
              <w:jc w:val="left"/>
              <w:outlineLvl w:val="0"/>
              <w:rPr>
                <w:rFonts w:ascii="宋体" w:cs="宋体"/>
                <w:szCs w:val="21"/>
              </w:rPr>
            </w:pPr>
          </w:p>
        </w:tc>
        <w:tc>
          <w:tcPr>
            <w:tcW w:w="1701" w:type="dxa"/>
            <w:vMerge w:val="continue"/>
            <w:vAlign w:val="center"/>
          </w:tcPr>
          <w:p>
            <w:pPr>
              <w:spacing w:line="300" w:lineRule="exact"/>
              <w:jc w:val="left"/>
              <w:outlineLvl w:val="0"/>
              <w:rPr>
                <w:rFonts w:ascii="宋体" w:cs="宋体"/>
                <w:szCs w:val="21"/>
              </w:rPr>
            </w:pPr>
          </w:p>
        </w:tc>
        <w:tc>
          <w:tcPr>
            <w:tcW w:w="901" w:type="dxa"/>
            <w:vMerge w:val="continue"/>
            <w:vAlign w:val="center"/>
          </w:tcPr>
          <w:p>
            <w:pPr>
              <w:spacing w:line="300" w:lineRule="exact"/>
              <w:jc w:val="left"/>
              <w:outlineLvl w:val="0"/>
              <w:rPr>
                <w:rFonts w:ascii="宋体" w:cs="宋体"/>
                <w:szCs w:val="21"/>
              </w:rPr>
            </w:pPr>
          </w:p>
        </w:tc>
        <w:tc>
          <w:tcPr>
            <w:tcW w:w="525" w:type="dxa"/>
            <w:vAlign w:val="center"/>
          </w:tcPr>
          <w:p>
            <w:pPr>
              <w:spacing w:line="300" w:lineRule="exact"/>
              <w:jc w:val="center"/>
              <w:rPr>
                <w:rFonts w:ascii="宋体" w:cs="宋体"/>
                <w:b/>
                <w:szCs w:val="21"/>
              </w:rPr>
            </w:pPr>
            <w:r>
              <w:rPr>
                <w:rFonts w:hint="eastAsia" w:ascii="宋体" w:hAnsi="宋体" w:cs="宋体"/>
                <w:b/>
                <w:szCs w:val="21"/>
              </w:rPr>
              <w:t>行政</w:t>
            </w:r>
          </w:p>
        </w:tc>
        <w:tc>
          <w:tcPr>
            <w:tcW w:w="646" w:type="dxa"/>
            <w:vAlign w:val="center"/>
          </w:tcPr>
          <w:p>
            <w:pPr>
              <w:spacing w:line="300" w:lineRule="exact"/>
              <w:jc w:val="center"/>
              <w:rPr>
                <w:rFonts w:ascii="宋体" w:cs="宋体"/>
                <w:b/>
                <w:szCs w:val="21"/>
              </w:rPr>
            </w:pPr>
            <w:r>
              <w:rPr>
                <w:rFonts w:hint="eastAsia" w:ascii="宋体" w:hAnsi="宋体" w:cs="宋体"/>
                <w:b/>
                <w:szCs w:val="21"/>
              </w:rPr>
              <w:t>事业</w:t>
            </w:r>
          </w:p>
        </w:tc>
        <w:tc>
          <w:tcPr>
            <w:tcW w:w="483" w:type="dxa"/>
            <w:vAlign w:val="center"/>
          </w:tcPr>
          <w:p>
            <w:pPr>
              <w:spacing w:line="300" w:lineRule="exact"/>
              <w:jc w:val="center"/>
              <w:rPr>
                <w:rFonts w:ascii="宋体" w:cs="宋体"/>
                <w:b/>
                <w:szCs w:val="21"/>
              </w:rPr>
            </w:pPr>
            <w:r>
              <w:rPr>
                <w:rFonts w:hint="eastAsia" w:ascii="宋体" w:hAnsi="宋体" w:cs="宋体"/>
                <w:b/>
                <w:szCs w:val="21"/>
              </w:rPr>
              <w:t>行政</w:t>
            </w:r>
          </w:p>
        </w:tc>
        <w:tc>
          <w:tcPr>
            <w:tcW w:w="657" w:type="dxa"/>
            <w:vAlign w:val="center"/>
          </w:tcPr>
          <w:p>
            <w:pPr>
              <w:spacing w:line="300" w:lineRule="exact"/>
              <w:jc w:val="center"/>
              <w:rPr>
                <w:rFonts w:ascii="宋体" w:cs="宋体"/>
                <w:b/>
                <w:szCs w:val="21"/>
              </w:rPr>
            </w:pPr>
            <w:r>
              <w:rPr>
                <w:rFonts w:hint="eastAsia" w:ascii="宋体" w:hAnsi="宋体" w:cs="宋体"/>
                <w:b/>
                <w:szCs w:val="21"/>
              </w:rPr>
              <w:t>事业</w:t>
            </w:r>
          </w:p>
        </w:tc>
        <w:tc>
          <w:tcPr>
            <w:tcW w:w="335" w:type="dxa"/>
            <w:vAlign w:val="center"/>
          </w:tcPr>
          <w:p>
            <w:pPr>
              <w:spacing w:line="300" w:lineRule="exact"/>
              <w:jc w:val="center"/>
              <w:rPr>
                <w:rFonts w:ascii="宋体" w:cs="宋体"/>
                <w:b/>
                <w:szCs w:val="21"/>
              </w:rPr>
            </w:pPr>
            <w:r>
              <w:rPr>
                <w:rFonts w:hint="eastAsia" w:ascii="宋体" w:hAnsi="宋体" w:cs="宋体"/>
                <w:b/>
                <w:szCs w:val="21"/>
              </w:rPr>
              <w:t>离休</w:t>
            </w:r>
          </w:p>
        </w:tc>
        <w:tc>
          <w:tcPr>
            <w:tcW w:w="567" w:type="dxa"/>
            <w:vAlign w:val="center"/>
          </w:tcPr>
          <w:p>
            <w:pPr>
              <w:spacing w:line="300" w:lineRule="exact"/>
              <w:jc w:val="center"/>
              <w:rPr>
                <w:rFonts w:ascii="宋体" w:cs="宋体"/>
                <w:b/>
                <w:szCs w:val="21"/>
              </w:rPr>
            </w:pPr>
            <w:r>
              <w:rPr>
                <w:rFonts w:hint="eastAsia" w:ascii="宋体" w:hAnsi="宋体" w:cs="宋体"/>
                <w:b/>
                <w:szCs w:val="21"/>
              </w:rPr>
              <w:t>退休</w:t>
            </w:r>
          </w:p>
        </w:tc>
        <w:tc>
          <w:tcPr>
            <w:tcW w:w="425" w:type="dxa"/>
            <w:vAlign w:val="center"/>
          </w:tcPr>
          <w:p>
            <w:pPr>
              <w:spacing w:line="300" w:lineRule="exact"/>
              <w:jc w:val="center"/>
              <w:rPr>
                <w:rFonts w:ascii="宋体" w:cs="宋体"/>
                <w:b/>
                <w:szCs w:val="21"/>
              </w:rPr>
            </w:pPr>
            <w:r>
              <w:rPr>
                <w:rFonts w:hint="eastAsia" w:ascii="宋体" w:hAnsi="宋体" w:cs="宋体"/>
                <w:b/>
                <w:szCs w:val="21"/>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544" w:type="dxa"/>
            <w:vAlign w:val="center"/>
          </w:tcPr>
          <w:p>
            <w:pPr>
              <w:spacing w:line="300" w:lineRule="exact"/>
              <w:jc w:val="center"/>
              <w:rPr>
                <w:rFonts w:ascii="宋体" w:cs="宋体"/>
                <w:b/>
                <w:szCs w:val="21"/>
              </w:rPr>
            </w:pPr>
            <w:r>
              <w:rPr>
                <w:rFonts w:hint="eastAsia" w:ascii="宋体" w:hAnsi="宋体" w:cs="宋体"/>
                <w:b/>
                <w:szCs w:val="21"/>
              </w:rPr>
              <w:t>合</w:t>
            </w:r>
            <w:r>
              <w:rPr>
                <w:rFonts w:ascii="宋体" w:hAnsi="宋体" w:cs="宋体"/>
                <w:b/>
                <w:szCs w:val="21"/>
              </w:rPr>
              <w:t xml:space="preserve">    </w:t>
            </w:r>
            <w:r>
              <w:rPr>
                <w:rFonts w:hint="eastAsia" w:ascii="宋体" w:hAnsi="宋体" w:cs="宋体"/>
                <w:b/>
                <w:szCs w:val="21"/>
              </w:rPr>
              <w:t>计</w:t>
            </w:r>
          </w:p>
        </w:tc>
        <w:tc>
          <w:tcPr>
            <w:tcW w:w="1342" w:type="dxa"/>
            <w:vAlign w:val="center"/>
          </w:tcPr>
          <w:p>
            <w:pPr>
              <w:spacing w:line="300" w:lineRule="exact"/>
              <w:jc w:val="center"/>
              <w:rPr>
                <w:rFonts w:ascii="宋体" w:cs="宋体"/>
                <w:b/>
                <w:szCs w:val="21"/>
              </w:rPr>
            </w:pPr>
          </w:p>
        </w:tc>
        <w:tc>
          <w:tcPr>
            <w:tcW w:w="992" w:type="dxa"/>
            <w:vAlign w:val="center"/>
          </w:tcPr>
          <w:p>
            <w:pPr>
              <w:spacing w:line="300" w:lineRule="exact"/>
              <w:jc w:val="center"/>
              <w:rPr>
                <w:rFonts w:ascii="宋体" w:cs="宋体"/>
                <w:b/>
                <w:szCs w:val="21"/>
              </w:rPr>
            </w:pPr>
          </w:p>
        </w:tc>
        <w:tc>
          <w:tcPr>
            <w:tcW w:w="1701" w:type="dxa"/>
            <w:vAlign w:val="center"/>
          </w:tcPr>
          <w:p>
            <w:pPr>
              <w:spacing w:line="300" w:lineRule="exact"/>
              <w:jc w:val="center"/>
              <w:rPr>
                <w:rFonts w:ascii="宋体" w:cs="宋体"/>
                <w:b/>
                <w:szCs w:val="21"/>
              </w:rPr>
            </w:pPr>
          </w:p>
        </w:tc>
        <w:tc>
          <w:tcPr>
            <w:tcW w:w="901" w:type="dxa"/>
            <w:vAlign w:val="center"/>
          </w:tcPr>
          <w:p>
            <w:pPr>
              <w:spacing w:line="300" w:lineRule="exact"/>
              <w:jc w:val="center"/>
              <w:rPr>
                <w:rFonts w:ascii="宋体" w:cs="宋体"/>
                <w:b/>
                <w:szCs w:val="21"/>
              </w:rPr>
            </w:pPr>
            <w:r>
              <w:rPr>
                <w:rFonts w:ascii="宋体" w:hAnsi="宋体" w:cs="宋体"/>
                <w:b/>
                <w:szCs w:val="21"/>
              </w:rPr>
              <w:t>27</w:t>
            </w:r>
          </w:p>
        </w:tc>
        <w:tc>
          <w:tcPr>
            <w:tcW w:w="525" w:type="dxa"/>
            <w:vAlign w:val="center"/>
          </w:tcPr>
          <w:p>
            <w:pPr>
              <w:spacing w:line="300" w:lineRule="exact"/>
              <w:jc w:val="center"/>
              <w:rPr>
                <w:rFonts w:ascii="宋体" w:cs="宋体"/>
                <w:b/>
                <w:szCs w:val="21"/>
              </w:rPr>
            </w:pPr>
            <w:r>
              <w:rPr>
                <w:rFonts w:hint="eastAsia" w:ascii="宋体" w:hAnsi="宋体" w:cs="宋体"/>
                <w:b/>
                <w:szCs w:val="21"/>
              </w:rPr>
              <w:t>17</w:t>
            </w:r>
          </w:p>
        </w:tc>
        <w:tc>
          <w:tcPr>
            <w:tcW w:w="646" w:type="dxa"/>
            <w:vAlign w:val="center"/>
          </w:tcPr>
          <w:p>
            <w:pPr>
              <w:spacing w:line="300" w:lineRule="exact"/>
              <w:jc w:val="center"/>
              <w:rPr>
                <w:rFonts w:ascii="宋体" w:cs="宋体"/>
                <w:b/>
                <w:szCs w:val="21"/>
              </w:rPr>
            </w:pPr>
            <w:r>
              <w:rPr>
                <w:rFonts w:hint="eastAsia" w:ascii="宋体" w:hAnsi="宋体" w:cs="宋体"/>
                <w:b/>
                <w:szCs w:val="21"/>
              </w:rPr>
              <w:t>314</w:t>
            </w:r>
          </w:p>
        </w:tc>
        <w:tc>
          <w:tcPr>
            <w:tcW w:w="483" w:type="dxa"/>
            <w:vAlign w:val="center"/>
          </w:tcPr>
          <w:p>
            <w:pPr>
              <w:spacing w:line="300" w:lineRule="exact"/>
              <w:jc w:val="center"/>
              <w:rPr>
                <w:rFonts w:ascii="宋体" w:cs="宋体"/>
                <w:b/>
                <w:szCs w:val="21"/>
              </w:rPr>
            </w:pPr>
            <w:r>
              <w:rPr>
                <w:rFonts w:hint="eastAsia" w:ascii="宋体" w:hAnsi="宋体" w:cs="宋体"/>
                <w:b/>
                <w:szCs w:val="21"/>
              </w:rPr>
              <w:t>17</w:t>
            </w:r>
          </w:p>
        </w:tc>
        <w:tc>
          <w:tcPr>
            <w:tcW w:w="657" w:type="dxa"/>
            <w:vAlign w:val="center"/>
          </w:tcPr>
          <w:p>
            <w:pPr>
              <w:spacing w:line="300" w:lineRule="exact"/>
              <w:jc w:val="center"/>
              <w:rPr>
                <w:rFonts w:ascii="宋体" w:cs="宋体"/>
                <w:b/>
                <w:szCs w:val="21"/>
              </w:rPr>
            </w:pPr>
            <w:r>
              <w:rPr>
                <w:rFonts w:hint="eastAsia" w:ascii="宋体" w:hAnsi="宋体" w:cs="宋体"/>
                <w:b/>
                <w:szCs w:val="21"/>
              </w:rPr>
              <w:t>314</w:t>
            </w:r>
          </w:p>
        </w:tc>
        <w:tc>
          <w:tcPr>
            <w:tcW w:w="335" w:type="dxa"/>
            <w:vAlign w:val="center"/>
          </w:tcPr>
          <w:p>
            <w:pPr>
              <w:spacing w:line="300" w:lineRule="exact"/>
              <w:jc w:val="center"/>
              <w:rPr>
                <w:rFonts w:ascii="宋体" w:cs="宋体"/>
                <w:b/>
                <w:szCs w:val="21"/>
              </w:rPr>
            </w:pPr>
          </w:p>
        </w:tc>
        <w:tc>
          <w:tcPr>
            <w:tcW w:w="567" w:type="dxa"/>
            <w:vAlign w:val="center"/>
          </w:tcPr>
          <w:p>
            <w:pPr>
              <w:spacing w:line="300" w:lineRule="exact"/>
              <w:jc w:val="center"/>
              <w:rPr>
                <w:rFonts w:ascii="宋体" w:cs="宋体"/>
                <w:b/>
                <w:szCs w:val="21"/>
              </w:rPr>
            </w:pPr>
            <w:r>
              <w:rPr>
                <w:rFonts w:ascii="宋体" w:hAnsi="宋体" w:cs="宋体"/>
                <w:b/>
                <w:szCs w:val="21"/>
              </w:rPr>
              <w:t>1</w:t>
            </w:r>
            <w:r>
              <w:rPr>
                <w:rFonts w:hint="eastAsia" w:ascii="宋体" w:hAnsi="宋体" w:cs="宋体"/>
                <w:b/>
                <w:szCs w:val="21"/>
              </w:rPr>
              <w:t>5</w:t>
            </w:r>
          </w:p>
        </w:tc>
        <w:tc>
          <w:tcPr>
            <w:tcW w:w="425" w:type="dxa"/>
            <w:vAlign w:val="center"/>
          </w:tcPr>
          <w:p>
            <w:pPr>
              <w:spacing w:line="300" w:lineRule="exact"/>
              <w:jc w:val="center"/>
              <w:rPr>
                <w:rFonts w:ascii="宋体" w:cs="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544" w:type="dxa"/>
            <w:vAlign w:val="center"/>
          </w:tcPr>
          <w:p>
            <w:pPr>
              <w:spacing w:line="300" w:lineRule="exact"/>
              <w:jc w:val="left"/>
              <w:rPr>
                <w:rFonts w:ascii="宋体" w:cs="宋体"/>
                <w:szCs w:val="21"/>
              </w:rPr>
            </w:pPr>
            <w:r>
              <w:rPr>
                <w:rFonts w:hint="eastAsia" w:ascii="宋体" w:hAnsi="宋体" w:cs="宋体"/>
                <w:szCs w:val="21"/>
              </w:rPr>
              <w:t>涞水县公安交通警察大队</w:t>
            </w:r>
          </w:p>
        </w:tc>
        <w:tc>
          <w:tcPr>
            <w:tcW w:w="1342" w:type="dxa"/>
            <w:vAlign w:val="center"/>
          </w:tcPr>
          <w:p>
            <w:pPr>
              <w:spacing w:line="300" w:lineRule="exact"/>
              <w:jc w:val="center"/>
              <w:rPr>
                <w:rFonts w:ascii="宋体" w:cs="宋体"/>
                <w:szCs w:val="21"/>
              </w:rPr>
            </w:pPr>
            <w:r>
              <w:rPr>
                <w:rFonts w:hint="eastAsia" w:ascii="宋体" w:hAnsi="宋体" w:cs="宋体"/>
                <w:szCs w:val="21"/>
              </w:rPr>
              <w:t>行政</w:t>
            </w:r>
          </w:p>
        </w:tc>
        <w:tc>
          <w:tcPr>
            <w:tcW w:w="992" w:type="dxa"/>
            <w:vAlign w:val="center"/>
          </w:tcPr>
          <w:p>
            <w:pPr>
              <w:spacing w:line="300" w:lineRule="exact"/>
              <w:jc w:val="center"/>
              <w:rPr>
                <w:rFonts w:ascii="宋体" w:cs="宋体"/>
                <w:szCs w:val="21"/>
              </w:rPr>
            </w:pPr>
            <w:r>
              <w:rPr>
                <w:rFonts w:hint="eastAsia" w:ascii="宋体" w:hAnsi="宋体" w:cs="宋体"/>
                <w:szCs w:val="21"/>
              </w:rPr>
              <w:t>科级</w:t>
            </w:r>
          </w:p>
        </w:tc>
        <w:tc>
          <w:tcPr>
            <w:tcW w:w="1701" w:type="dxa"/>
            <w:vAlign w:val="center"/>
          </w:tcPr>
          <w:p>
            <w:pPr>
              <w:spacing w:line="300" w:lineRule="exact"/>
              <w:jc w:val="center"/>
              <w:rPr>
                <w:rFonts w:ascii="宋体" w:cs="宋体"/>
                <w:szCs w:val="21"/>
              </w:rPr>
            </w:pPr>
            <w:r>
              <w:rPr>
                <w:rFonts w:hint="eastAsia" w:ascii="宋体" w:hAnsi="宋体" w:cs="宋体"/>
                <w:szCs w:val="21"/>
              </w:rPr>
              <w:t>财政拨款</w:t>
            </w:r>
          </w:p>
        </w:tc>
        <w:tc>
          <w:tcPr>
            <w:tcW w:w="901" w:type="dxa"/>
            <w:vAlign w:val="center"/>
          </w:tcPr>
          <w:p>
            <w:pPr>
              <w:spacing w:line="300" w:lineRule="exact"/>
              <w:jc w:val="center"/>
              <w:rPr>
                <w:rFonts w:ascii="宋体" w:cs="宋体"/>
                <w:szCs w:val="21"/>
              </w:rPr>
            </w:pPr>
            <w:r>
              <w:rPr>
                <w:rFonts w:ascii="宋体" w:hAnsi="宋体" w:cs="宋体"/>
                <w:szCs w:val="21"/>
              </w:rPr>
              <w:t>27</w:t>
            </w:r>
          </w:p>
        </w:tc>
        <w:tc>
          <w:tcPr>
            <w:tcW w:w="525" w:type="dxa"/>
            <w:vAlign w:val="center"/>
          </w:tcPr>
          <w:p>
            <w:pPr>
              <w:spacing w:line="300" w:lineRule="exact"/>
              <w:jc w:val="center"/>
              <w:rPr>
                <w:rFonts w:ascii="宋体" w:cs="宋体"/>
                <w:szCs w:val="21"/>
              </w:rPr>
            </w:pPr>
            <w:r>
              <w:rPr>
                <w:rFonts w:ascii="宋体" w:hAnsi="宋体" w:cs="宋体"/>
                <w:szCs w:val="21"/>
              </w:rPr>
              <w:t>1</w:t>
            </w:r>
            <w:r>
              <w:rPr>
                <w:rFonts w:hint="eastAsia" w:ascii="宋体" w:hAnsi="宋体" w:cs="宋体"/>
                <w:szCs w:val="21"/>
              </w:rPr>
              <w:t>7</w:t>
            </w:r>
          </w:p>
        </w:tc>
        <w:tc>
          <w:tcPr>
            <w:tcW w:w="646" w:type="dxa"/>
            <w:vAlign w:val="center"/>
          </w:tcPr>
          <w:p>
            <w:pPr>
              <w:spacing w:line="300" w:lineRule="exact"/>
              <w:jc w:val="center"/>
              <w:rPr>
                <w:rFonts w:ascii="宋体" w:cs="宋体"/>
                <w:szCs w:val="21"/>
              </w:rPr>
            </w:pPr>
            <w:r>
              <w:rPr>
                <w:rFonts w:hint="eastAsia" w:ascii="宋体" w:hAnsi="宋体" w:cs="宋体"/>
                <w:szCs w:val="21"/>
              </w:rPr>
              <w:t>314</w:t>
            </w:r>
          </w:p>
        </w:tc>
        <w:tc>
          <w:tcPr>
            <w:tcW w:w="483" w:type="dxa"/>
            <w:vAlign w:val="center"/>
          </w:tcPr>
          <w:p>
            <w:pPr>
              <w:spacing w:line="300" w:lineRule="exact"/>
              <w:jc w:val="center"/>
              <w:rPr>
                <w:rFonts w:ascii="宋体" w:cs="宋体"/>
                <w:szCs w:val="21"/>
              </w:rPr>
            </w:pPr>
            <w:r>
              <w:rPr>
                <w:rFonts w:hint="eastAsia" w:ascii="宋体" w:hAnsi="宋体" w:cs="宋体"/>
                <w:szCs w:val="21"/>
              </w:rPr>
              <w:t>17</w:t>
            </w:r>
          </w:p>
        </w:tc>
        <w:tc>
          <w:tcPr>
            <w:tcW w:w="657" w:type="dxa"/>
            <w:vAlign w:val="center"/>
          </w:tcPr>
          <w:p>
            <w:pPr>
              <w:spacing w:line="300" w:lineRule="exact"/>
              <w:jc w:val="center"/>
              <w:rPr>
                <w:rFonts w:ascii="宋体" w:cs="宋体"/>
                <w:szCs w:val="21"/>
              </w:rPr>
            </w:pPr>
            <w:r>
              <w:rPr>
                <w:rFonts w:hint="eastAsia" w:ascii="宋体" w:hAnsi="宋体" w:cs="宋体"/>
                <w:szCs w:val="21"/>
              </w:rPr>
              <w:t>314</w:t>
            </w:r>
          </w:p>
        </w:tc>
        <w:tc>
          <w:tcPr>
            <w:tcW w:w="335" w:type="dxa"/>
            <w:vAlign w:val="center"/>
          </w:tcPr>
          <w:p>
            <w:pPr>
              <w:spacing w:line="300" w:lineRule="exact"/>
              <w:jc w:val="center"/>
              <w:rPr>
                <w:rFonts w:ascii="宋体" w:cs="宋体"/>
                <w:szCs w:val="21"/>
              </w:rPr>
            </w:pPr>
          </w:p>
        </w:tc>
        <w:tc>
          <w:tcPr>
            <w:tcW w:w="567" w:type="dxa"/>
            <w:vAlign w:val="center"/>
          </w:tcPr>
          <w:p>
            <w:pPr>
              <w:spacing w:line="300" w:lineRule="exact"/>
              <w:jc w:val="center"/>
              <w:rPr>
                <w:rFonts w:ascii="宋体" w:cs="宋体"/>
                <w:szCs w:val="21"/>
              </w:rPr>
            </w:pPr>
            <w:r>
              <w:rPr>
                <w:rFonts w:ascii="宋体" w:hAnsi="宋体" w:cs="宋体"/>
                <w:szCs w:val="21"/>
              </w:rPr>
              <w:t>1</w:t>
            </w:r>
            <w:r>
              <w:rPr>
                <w:rFonts w:hint="eastAsia" w:ascii="宋体" w:hAnsi="宋体" w:cs="宋体"/>
                <w:szCs w:val="21"/>
              </w:rPr>
              <w:t>5</w:t>
            </w:r>
          </w:p>
        </w:tc>
        <w:tc>
          <w:tcPr>
            <w:tcW w:w="425" w:type="dxa"/>
            <w:vAlign w:val="center"/>
          </w:tcPr>
          <w:p>
            <w:pPr>
              <w:spacing w:line="300" w:lineRule="exact"/>
              <w:jc w:val="center"/>
              <w:rPr>
                <w:rFonts w:ascii="宋体" w:cs="宋体"/>
                <w:szCs w:val="21"/>
              </w:rPr>
            </w:pPr>
          </w:p>
        </w:tc>
      </w:tr>
    </w:tbl>
    <w:p>
      <w:pPr>
        <w:spacing w:line="560" w:lineRule="exact"/>
        <w:rPr>
          <w:rFonts w:ascii="宋体"/>
          <w:sz w:val="30"/>
          <w:szCs w:val="30"/>
        </w:rPr>
      </w:pPr>
    </w:p>
    <w:p>
      <w:pPr>
        <w:numPr>
          <w:ilvl w:val="0"/>
          <w:numId w:val="0"/>
        </w:numPr>
        <w:spacing w:line="560" w:lineRule="exact"/>
        <w:rPr>
          <w:rFonts w:ascii="黑体" w:hAnsi="黑体" w:eastAsia="黑体" w:cs="黑体"/>
          <w:bCs/>
          <w:kern w:val="0"/>
          <w:sz w:val="32"/>
          <w:szCs w:val="32"/>
        </w:rPr>
      </w:pPr>
      <w:r>
        <w:rPr>
          <w:rFonts w:hint="eastAsia" w:ascii="黑体" w:hAnsi="黑体" w:eastAsia="黑体" w:cs="黑体"/>
          <w:bCs/>
          <w:kern w:val="0"/>
          <w:sz w:val="32"/>
          <w:szCs w:val="32"/>
          <w:lang w:eastAsia="zh-CN"/>
        </w:rPr>
        <w:t>二、单位</w:t>
      </w:r>
      <w:r>
        <w:rPr>
          <w:rFonts w:hint="eastAsia" w:ascii="黑体" w:hAnsi="黑体" w:eastAsia="黑体" w:cs="黑体"/>
          <w:bCs/>
          <w:kern w:val="0"/>
          <w:sz w:val="32"/>
          <w:szCs w:val="32"/>
        </w:rPr>
        <w:t>预算安排总体情况</w:t>
      </w:r>
    </w:p>
    <w:p>
      <w:pPr>
        <w:spacing w:line="560" w:lineRule="exact"/>
        <w:rPr>
          <w:rFonts w:cs="仿宋" w:asciiTheme="minorEastAsia" w:hAnsiTheme="minorEastAsia" w:eastAsiaTheme="minorEastAsia"/>
          <w:sz w:val="32"/>
          <w:szCs w:val="32"/>
        </w:rPr>
      </w:pPr>
      <w:r>
        <w:rPr>
          <w:rFonts w:ascii="黑体" w:hAnsi="黑体" w:eastAsia="黑体" w:cs="黑体"/>
          <w:bCs/>
          <w:kern w:val="0"/>
          <w:sz w:val="32"/>
          <w:szCs w:val="32"/>
        </w:rPr>
        <w:t xml:space="preserve">    </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、收入说明</w:t>
      </w:r>
    </w:p>
    <w:p>
      <w:pPr>
        <w:spacing w:line="56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2022</w:t>
      </w:r>
      <w:r>
        <w:rPr>
          <w:rFonts w:hint="eastAsia" w:cs="仿宋" w:asciiTheme="minorEastAsia" w:hAnsiTheme="minorEastAsia" w:eastAsiaTheme="minorEastAsia"/>
          <w:sz w:val="32"/>
          <w:szCs w:val="32"/>
        </w:rPr>
        <w:t>年我部门预算总收入</w:t>
      </w:r>
      <w:r>
        <w:rPr>
          <w:rFonts w:cs="仿宋" w:asciiTheme="minorEastAsia" w:hAnsiTheme="minorEastAsia" w:eastAsiaTheme="minorEastAsia"/>
          <w:sz w:val="32"/>
          <w:szCs w:val="32"/>
        </w:rPr>
        <w:t>2555.39</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其中财政拨款1265.39万元，行政事业性收费</w:t>
      </w:r>
      <w:r>
        <w:rPr>
          <w:rFonts w:cs="仿宋" w:asciiTheme="minorEastAsia" w:hAnsiTheme="minorEastAsia" w:eastAsiaTheme="minorEastAsia"/>
          <w:sz w:val="32"/>
          <w:szCs w:val="32"/>
        </w:rPr>
        <w:t>1170</w:t>
      </w:r>
      <w:r>
        <w:rPr>
          <w:rFonts w:hint="eastAsia" w:cs="仿宋" w:asciiTheme="minorEastAsia" w:hAnsiTheme="minorEastAsia" w:eastAsiaTheme="minorEastAsia"/>
          <w:sz w:val="32"/>
          <w:szCs w:val="32"/>
        </w:rPr>
        <w:t>万元，中央财政提前通知转移支付120万元。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2、</w:t>
      </w:r>
      <w:r>
        <w:rPr>
          <w:rFonts w:hint="eastAsia" w:cs="仿宋" w:asciiTheme="minorEastAsia" w:hAnsiTheme="minorEastAsia" w:eastAsiaTheme="minorEastAsia"/>
          <w:sz w:val="32"/>
          <w:szCs w:val="32"/>
        </w:rPr>
        <w:t>支出说明</w:t>
      </w:r>
    </w:p>
    <w:p>
      <w:pPr>
        <w:spacing w:line="560" w:lineRule="exac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rPr>
        <w:t>2年我部门安排预算支出2555.39万元，其中，人员经费支出1190.35万元，日常公用经费支出744.17万元，专项支出620.87万元。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比上年增减情况</w:t>
      </w:r>
    </w:p>
    <w:p>
      <w:p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本年度预算收支安排2555.39万元，较上年年减少104.58万元。其中人员经费减少444.45万元，主要用于工资普调及补缴养老保险。</w:t>
      </w:r>
    </w:p>
    <w:p>
      <w:pPr>
        <w:widowControl/>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三、机关运行经费安排情况</w:t>
      </w:r>
    </w:p>
    <w:p>
      <w:pPr>
        <w:widowControl/>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我部门安排财政拨款支出主要用于保障该部门机构正常运转、完成日常工作任务以及大队发展的相关工作。正常公用经费744.17万元，其中办公费79.82万元，差旅费13.1万元，公务车运行维护费58万元，公务交通补贴</w:t>
      </w:r>
      <w:r>
        <w:rPr>
          <w:rFonts w:cs="仿宋" w:asciiTheme="minorEastAsia" w:hAnsiTheme="minorEastAsia" w:eastAsiaTheme="minorEastAsia"/>
          <w:sz w:val="32"/>
          <w:szCs w:val="32"/>
        </w:rPr>
        <w:t>9.</w:t>
      </w:r>
      <w:r>
        <w:rPr>
          <w:rFonts w:hint="eastAsia" w:cs="仿宋" w:asciiTheme="minorEastAsia" w:hAnsiTheme="minorEastAsia" w:eastAsiaTheme="minorEastAsia"/>
          <w:sz w:val="32"/>
          <w:szCs w:val="32"/>
        </w:rPr>
        <w:t>1</w:t>
      </w: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，劳务费561.92万元，离退休人员公用经费</w:t>
      </w:r>
      <w:r>
        <w:rPr>
          <w:rFonts w:cs="仿宋" w:asciiTheme="minorEastAsia" w:hAnsiTheme="minorEastAsia" w:eastAsiaTheme="minorEastAsia"/>
          <w:sz w:val="32"/>
          <w:szCs w:val="32"/>
        </w:rPr>
        <w:t>0.</w:t>
      </w:r>
      <w:r>
        <w:rPr>
          <w:rFonts w:hint="eastAsia" w:cs="仿宋" w:asciiTheme="minorEastAsia" w:hAnsiTheme="minorEastAsia" w:eastAsiaTheme="minorEastAsia"/>
          <w:sz w:val="32"/>
          <w:szCs w:val="32"/>
        </w:rPr>
        <w:t>32万元，福利费13.1万元，工会经费8.79万元。</w:t>
      </w:r>
    </w:p>
    <w:p>
      <w:pPr>
        <w:widowControl/>
        <w:spacing w:line="560" w:lineRule="exact"/>
        <w:ind w:firstLine="630"/>
        <w:rPr>
          <w:rFonts w:ascii="黑体" w:hAnsi="黑体" w:eastAsia="黑体" w:cs="黑体"/>
          <w:bCs/>
          <w:kern w:val="0"/>
          <w:sz w:val="32"/>
          <w:szCs w:val="32"/>
        </w:rPr>
      </w:pPr>
      <w:r>
        <w:rPr>
          <w:rFonts w:hint="eastAsia" w:ascii="黑体" w:hAnsi="黑体" w:eastAsia="黑体" w:cs="黑体"/>
          <w:bCs/>
          <w:kern w:val="0"/>
          <w:sz w:val="32"/>
          <w:szCs w:val="32"/>
        </w:rPr>
        <w:t>四、财政拨款“三公”经费预算情况及增减变化原因</w:t>
      </w:r>
    </w:p>
    <w:p>
      <w:pPr>
        <w:spacing w:line="560" w:lineRule="exact"/>
        <w:ind w:firstLine="640" w:firstLineChars="200"/>
        <w:jc w:val="left"/>
        <w:rPr>
          <w:rFonts w:ascii="仿宋" w:hAnsi="仿宋" w:eastAsia="仿宋" w:cs="仿宋"/>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2年我部门安排“三公经费”预算58万元，严格落实“三公经费”管理办法以及中央八项规定。其中公务车运行维护费58万元，与</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1年相比减少125万元，因公出国经费无，公务用车购置经费无。</w:t>
      </w:r>
    </w:p>
    <w:tbl>
      <w:tblPr>
        <w:tblStyle w:val="9"/>
        <w:tblW w:w="9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185"/>
        <w:gridCol w:w="1065"/>
        <w:gridCol w:w="1050"/>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项目名称</w:t>
            </w:r>
            <w:r>
              <w:rPr>
                <w:rFonts w:cs="仿宋" w:asciiTheme="minorEastAsia" w:hAnsiTheme="minorEastAsia" w:eastAsiaTheme="minorEastAsia"/>
                <w:sz w:val="32"/>
                <w:szCs w:val="32"/>
              </w:rPr>
              <w:t xml:space="preserve">    </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年度预算</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2</w:t>
            </w:r>
            <w:r>
              <w:rPr>
                <w:rFonts w:hint="eastAsia" w:cs="仿宋" w:asciiTheme="minorEastAsia" w:hAnsiTheme="minorEastAsia" w:eastAsiaTheme="minorEastAsia"/>
                <w:sz w:val="32"/>
                <w:szCs w:val="32"/>
              </w:rPr>
              <w:t>年度预算</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增减金额</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因公出国经费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公务用车购置经费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公务用车运行经费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183</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58</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125</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公务用车改革核减公务用车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公务接待费支出</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合计</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183</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58</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125</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2年我大队针对“三公”经费支出制定了严格的管理制度，认真执行中央八项规定，厉行节约，杜绝浪费，从总量来讲，我大队的“三公”经费与</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1年相比减少了</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25万元。</w:t>
            </w:r>
          </w:p>
        </w:tc>
      </w:tr>
    </w:tbl>
    <w:p>
      <w:pPr>
        <w:spacing w:line="560" w:lineRule="exact"/>
        <w:ind w:firstLine="640" w:firstLineChars="200"/>
        <w:rPr>
          <w:rFonts w:cs="仿宋" w:asciiTheme="minorEastAsia" w:hAnsiTheme="minorEastAsia" w:eastAsiaTheme="minorEastAsia"/>
          <w:sz w:val="32"/>
          <w:szCs w:val="32"/>
        </w:rPr>
      </w:pPr>
    </w:p>
    <w:p>
      <w:pPr>
        <w:spacing w:line="560" w:lineRule="exact"/>
        <w:ind w:firstLine="640" w:firstLineChars="200"/>
        <w:outlineLvl w:val="0"/>
        <w:rPr>
          <w:rFonts w:ascii="黑体" w:hAnsi="黑体" w:eastAsia="黑体" w:cs="黑体"/>
          <w:sz w:val="32"/>
          <w:szCs w:val="32"/>
        </w:rPr>
      </w:pPr>
      <w:bookmarkStart w:id="8" w:name="_Toc446712056"/>
      <w:r>
        <w:rPr>
          <w:rFonts w:hint="eastAsia" w:ascii="黑体" w:hAnsi="黑体" w:eastAsia="黑体" w:cs="黑体"/>
          <w:sz w:val="32"/>
          <w:szCs w:val="32"/>
        </w:rPr>
        <w:t>五、绩效预算信息情况</w:t>
      </w:r>
    </w:p>
    <w:p>
      <w:pPr>
        <w:spacing w:line="560" w:lineRule="exact"/>
        <w:ind w:firstLine="640" w:firstLineChars="200"/>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第一部分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lang w:eastAsia="zh-CN"/>
        </w:rPr>
        <w:t>单位</w:t>
      </w:r>
      <w:r>
        <w:rPr>
          <w:rFonts w:hint="eastAsia" w:cs="仿宋" w:asciiTheme="minorEastAsia" w:hAnsiTheme="minorEastAsia" w:eastAsiaTheme="minorEastAsia"/>
          <w:sz w:val="32"/>
          <w:szCs w:val="32"/>
        </w:rPr>
        <w:t>整体绩效目标</w:t>
      </w:r>
    </w:p>
    <w:p>
      <w:pPr>
        <w:ind w:firstLine="640" w:firstLineChars="200"/>
        <w:jc w:val="left"/>
        <w:outlineLvl w:val="1"/>
        <w:rPr>
          <w:rFonts w:ascii="楷体" w:hAnsi="楷体" w:eastAsia="楷体" w:cs="楷体"/>
          <w:sz w:val="32"/>
          <w:szCs w:val="32"/>
        </w:rPr>
      </w:pPr>
      <w:r>
        <w:rPr>
          <w:rFonts w:hint="eastAsia" w:ascii="楷体" w:hAnsi="楷体" w:eastAsia="楷体" w:cs="楷体"/>
          <w:sz w:val="32"/>
          <w:szCs w:val="32"/>
        </w:rPr>
        <w:t>（一）总体绩效目标</w:t>
      </w:r>
      <w:r>
        <w:rPr>
          <w:rFonts w:ascii="楷体" w:hAnsi="楷体" w:eastAsia="楷体" w:cs="楷体"/>
          <w:sz w:val="32"/>
          <w:szCs w:val="32"/>
        </w:rPr>
        <w:fldChar w:fldCharType="begin"/>
      </w:r>
      <w:r>
        <w:rPr>
          <w:rFonts w:ascii="楷体" w:hAnsi="楷体" w:eastAsia="楷体" w:cs="楷体"/>
          <w:sz w:val="32"/>
          <w:szCs w:val="32"/>
        </w:rPr>
        <w:instrText xml:space="preserve">tc "</w:instrText>
      </w:r>
      <w:bookmarkStart w:id="9" w:name="_Toc30057650"/>
      <w:r>
        <w:rPr>
          <w:rFonts w:hint="eastAsia" w:ascii="楷体" w:hAnsi="楷体" w:eastAsia="楷体" w:cs="楷体"/>
          <w:sz w:val="32"/>
          <w:szCs w:val="32"/>
        </w:rPr>
        <w:instrText xml:space="preserve">总体绩效目标</w:instrText>
      </w:r>
      <w:bookmarkEnd w:id="9"/>
      <w:r>
        <w:rPr>
          <w:rFonts w:ascii="楷体" w:hAnsi="楷体" w:eastAsia="楷体" w:cs="楷体"/>
          <w:sz w:val="32"/>
          <w:szCs w:val="32"/>
        </w:rPr>
        <w:instrText xml:space="preserve">" \f A \l 01</w:instrText>
      </w:r>
      <w:r>
        <w:rPr>
          <w:rFonts w:ascii="楷体" w:hAnsi="楷体" w:eastAsia="楷体" w:cs="楷体"/>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随着社会发展，道路交通工具每年大幅增加，给我县道路交通安全到来很大压力，要大力加强道路交通安全管理和执法力度，改善道路基础设施等交通整体状况，提高道路通行能力和交通安全水平，维持道路秩序，减少事故发生。负责道路交通安全管理工作，实施有关道路交通安全管理的法律、法规、规章、政策，维护道路交通安全秩序，指导交通事故防范，处理等相关业务的开展，协调参与处理重特大交通事故，组织开展道路交通安全宣传教育工作，依法指导、监督车辆管理工作。合理安排人员，增强警力，加强道路交通安全管理工作，维护道路交通安全秩序，提高广大群众道路交通安全意识，降低交通事故发生，维持社会安定稳定。</w:t>
      </w:r>
    </w:p>
    <w:p>
      <w:pPr>
        <w:spacing w:line="500" w:lineRule="exact"/>
        <w:ind w:firstLine="640" w:firstLineChars="200"/>
        <w:rPr>
          <w:rFonts w:cs="仿宋" w:asciiTheme="minorEastAsia" w:hAnsiTheme="minorEastAsia" w:eastAsiaTheme="minorEastAsia"/>
          <w:sz w:val="32"/>
          <w:szCs w:val="32"/>
        </w:rPr>
      </w:pP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（二）分项绩效目标</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10" w:name="_Toc30057651"/>
      <w:r>
        <w:rPr>
          <w:rFonts w:hint="eastAsia" w:cs="仿宋" w:asciiTheme="minorEastAsia" w:hAnsiTheme="minorEastAsia" w:eastAsiaTheme="minorEastAsia"/>
          <w:sz w:val="32"/>
          <w:szCs w:val="32"/>
        </w:rPr>
        <w:instrText xml:space="preserve">分项绩效目标</w:instrText>
      </w:r>
      <w:bookmarkEnd w:id="10"/>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、全县道路交通秩序管理工作稳步推进</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推动全县交通治理科学化、精细化、规范化，标志标线、信号灯设置进一步规范，交通组织进一步优化，治乱疏堵能力进一步提升，城市道路通行秩序和效率不断改善，公路巡逻民警中队和执法站建设规划合理，交通秩序整治工作持续开展，民警现场执法率稳步提高，各类严重交通违法行为同比下降，各类重大交通安保工作任务圆满高效，全县道路交通安全形势持续稳定。</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在全县打造交通管理示范路口和交通秩序严管街道，提升主干路机动车守法率和主要路口行人和非机动车守法率，全年酒驾醉驾、“三超一疲劳”、涉牌涉证等严重交通违法行为查处量不少于近两年平均值的</w:t>
      </w:r>
      <w:r>
        <w:rPr>
          <w:rFonts w:cs="仿宋" w:asciiTheme="minorEastAsia" w:hAnsiTheme="minorEastAsia" w:eastAsiaTheme="minorEastAsia"/>
          <w:sz w:val="32"/>
          <w:szCs w:val="32"/>
        </w:rPr>
        <w:t>70%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、事故处理及预防能力整体提升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绩效目标：简易交通事故处理效率进一步提高，交通事故处理执法进一步规范，当事人涉警投诉进一步减少，交通事故分析预防能力不断提升，道路交通安全隐患治理排查和治理工作机制进一步完善。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绩效指标：采用互联网</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技术快速处理交通事故，处理量占适用简易程序事故的</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以上，涉警执法不规范的事故信访案件控制在</w:t>
      </w:r>
      <w:r>
        <w:rPr>
          <w:rFonts w:cs="仿宋" w:asciiTheme="minorEastAsia" w:hAnsiTheme="minorEastAsia" w:eastAsiaTheme="minorEastAsia"/>
          <w:sz w:val="32"/>
          <w:szCs w:val="32"/>
        </w:rPr>
        <w:t>0</w:t>
      </w:r>
      <w:r>
        <w:rPr>
          <w:rFonts w:hint="eastAsia" w:cs="仿宋" w:asciiTheme="minorEastAsia" w:hAnsiTheme="minorEastAsia" w:eastAsiaTheme="minorEastAsia"/>
          <w:sz w:val="32"/>
          <w:szCs w:val="32"/>
        </w:rPr>
        <w:t>起，对事故情况提出事故特点分析、预防对策每季度不少于</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次，公安负责的道路交通安全隐患整改率不低于所有隐患的</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、机动车及驾驶人管理规范有序</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绩效目标：全县车辆核发、补换领号牌业务更加规范，便民利民力度不断增强，业务办理延伸网点大幅增加，异地检车业务全面推广，驾驶人异地考试工作日趋完善，“放管服”工作得到深入贯彻落实。</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绩效指标：新增车辆注册率和挂牌率达到</w:t>
      </w:r>
      <w:r>
        <w:rPr>
          <w:rFonts w:cs="仿宋" w:asciiTheme="minorEastAsia" w:hAnsiTheme="minorEastAsia" w:eastAsiaTheme="minorEastAsia"/>
          <w:sz w:val="32"/>
          <w:szCs w:val="32"/>
        </w:rPr>
        <w:t>100%</w:t>
      </w:r>
      <w:r>
        <w:rPr>
          <w:rFonts w:hint="eastAsia" w:cs="仿宋" w:asciiTheme="minorEastAsia" w:hAnsiTheme="minorEastAsia" w:eastAsiaTheme="minorEastAsia"/>
          <w:sz w:val="32"/>
          <w:szCs w:val="32"/>
        </w:rPr>
        <w:t>，机动车和驾驶人互联网平台注册率达到</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以上，互联网平台办理业务与去年车驾管业务占比达到</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，延伸业务网点覆盖率达到全部网点的</w:t>
      </w:r>
      <w:r>
        <w:rPr>
          <w:rFonts w:cs="仿宋" w:asciiTheme="minorEastAsia" w:hAnsiTheme="minorEastAsia" w:eastAsiaTheme="minorEastAsia"/>
          <w:sz w:val="32"/>
          <w:szCs w:val="32"/>
        </w:rPr>
        <w:t>30%</w:t>
      </w:r>
      <w:r>
        <w:rPr>
          <w:rFonts w:hint="eastAsia" w:cs="仿宋" w:asciiTheme="minorEastAsia" w:hAnsiTheme="minorEastAsia" w:eastAsiaTheme="minorEastAsia"/>
          <w:sz w:val="32"/>
          <w:szCs w:val="32"/>
        </w:rPr>
        <w:t>以上，延伸网点车驾管业务办结率达到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、交通指挥调度能力整体提升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绩效目标：指挥调度精细化、规范化、智能化水平明显提升，交通组织优化、全息预警、分析研判和一体化指挥调度更加精准，全县道路拥堵有效缓解，道路通行效率、群众出行安全逐步改善。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绩效指标：交通事故、交管管制、应急事项等一张图作战，指挥效能进一步提升，民警警务通单兵终端接入率达到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以上；缉查布控机制加入人脸识别功能，失驾人员嫌疑车辆查处量提升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、交通安全宣传教育水平全面提升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文明交通宣传覆盖面继续扩大，文明交通建设持续推进，法律法规的解读和宣传、违法行为曝光警示力度加大；农村交通安全宣传教育及中小学生安全防护知识传播逐步普及；自媒体宣传平台应用广泛推广，与主流交通媒体的合作不断加强，交通安全宣传的传播力、引导力、影响力、公信力明显上升，重点人群点对点到达率明显上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绩效指标：全年发布交通安全新闻通稿不少于</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篇，自媒体宣传不少于</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篇，农村村镇宣传教育覆盖率超过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，中小学生宣传教育覆盖率超过</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，交管窗口宣传覆盖率</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（三）工作保障措施</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11" w:name="_Toc30057652"/>
      <w:r>
        <w:rPr>
          <w:rFonts w:hint="eastAsia" w:cs="仿宋" w:asciiTheme="minorEastAsia" w:hAnsiTheme="minorEastAsia" w:eastAsiaTheme="minorEastAsia"/>
          <w:sz w:val="32"/>
          <w:szCs w:val="32"/>
        </w:rPr>
        <w:instrText xml:space="preserve">工作保障措施</w:instrText>
      </w:r>
      <w:bookmarkEnd w:id="11"/>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、完善制度建</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完善绩效管理制度，资金管理办法，工作保障制度，为全年绩效目标的实现奠定制度基础。</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、加强支出管理</w:t>
      </w:r>
    </w:p>
    <w:p>
      <w:pPr>
        <w:spacing w:line="50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优化支出结构，编细编实预算、加快旅行政府采购手续，尽快启动项目、及时支付资金，</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月底细化代编预算，按规定及时确保支出进度。</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、加强绩效运行监控</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按要求开展绩效运行监控，发现问题及时采取措施，确保绩效目标如期保质实现。</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、做好绩效自评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按要求开展上年度部门预算绩效自评和重点评价工作，对评价中发现的问题及时整改，调整优化支出结构，提高财政资金使用效益。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、规范财务资产管理</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完善财务管理制度，严格审批程序，加强固定资产登记、使用和报废处置管理，做到支出合理，物尽其用。</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、加强内部监督</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内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、加强宣传培训调研工作</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加强人员培训，提高本部门工作人员业务素质；加强调研，提出优化财政资金配置、提高资金使用效益的意见建议，加大宣传力度，强化预算绩效管理意识、促进预算绩效管理水平进一步提升。</w:t>
      </w:r>
    </w:p>
    <w:p>
      <w:pP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w:t>
      </w: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ascii="宋体" w:cs="宋体"/>
          <w:szCs w:val="21"/>
        </w:rPr>
      </w:pPr>
      <w:r>
        <w:rPr>
          <w:rFonts w:hint="eastAsia" w:cs="仿宋" w:asciiTheme="minorEastAsia" w:hAnsiTheme="minorEastAsia" w:eastAsiaTheme="minorEastAsia"/>
          <w:sz w:val="32"/>
          <w:szCs w:val="32"/>
        </w:rPr>
        <w:t>第二部分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预算项目绩效目标</w:t>
      </w:r>
    </w:p>
    <w:bookmarkEnd w:id="8"/>
    <w:p>
      <w:pPr>
        <w:jc w:val="both"/>
        <w:outlineLvl w:val="3"/>
        <w:rPr>
          <w:rFonts w:ascii="Times New Roman" w:hAnsi="宋体"/>
          <w:b/>
          <w:sz w:val="28"/>
        </w:rPr>
      </w:pPr>
      <w:bookmarkStart w:id="12" w:name="_Toc62205246"/>
      <w:r>
        <w:rPr>
          <w:rFonts w:ascii="方正仿宋_GBK" w:eastAsia="方正仿宋_GBK"/>
          <w:b/>
          <w:sz w:val="28"/>
        </w:rPr>
        <w:t>1.</w:t>
      </w:r>
      <w:r>
        <w:rPr>
          <w:rFonts w:hint="eastAsia" w:ascii="方正仿宋_GBK" w:eastAsia="方正仿宋_GBK"/>
          <w:b/>
          <w:sz w:val="28"/>
          <w:lang w:eastAsia="zh-CN"/>
        </w:rPr>
        <w:t>朝阳路街道交通标志标线经费</w:t>
      </w:r>
      <w:r>
        <w:rPr>
          <w:rFonts w:hint="eastAsia" w:ascii="方正仿宋_GBK" w:eastAsia="方正仿宋_GBK"/>
          <w:b/>
          <w:sz w:val="28"/>
        </w:rPr>
        <w:t>绩效目标表</w:t>
      </w:r>
      <w:bookmarkEnd w:id="12"/>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、中央政法纪检监察转移支付资金（冀财政法［</w:instrText>
      </w:r>
      <w:r>
        <w:rPr>
          <w:rFonts w:ascii="方正仿宋_GBK" w:eastAsia="方正仿宋_GBK"/>
          <w:b/>
          <w:sz w:val="28"/>
        </w:rPr>
        <w:instrText xml:space="preserve">2020</w:instrText>
      </w:r>
      <w:r>
        <w:rPr>
          <w:rFonts w:hint="eastAsia" w:ascii="方正仿宋_GBK" w:eastAsia="方正仿宋_GBK"/>
          <w:b/>
          <w:sz w:val="28"/>
        </w:rPr>
        <w:instrText xml:space="preserve">］</w:instrText>
      </w:r>
      <w:r>
        <w:rPr>
          <w:rFonts w:ascii="方正仿宋_GBK" w:eastAsia="方正仿宋_GBK"/>
          <w:b/>
          <w:sz w:val="28"/>
        </w:rPr>
        <w:instrText xml:space="preserve">70</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9"/>
        <w:tblW w:w="13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1405"/>
        <w:gridCol w:w="1723"/>
        <w:gridCol w:w="1795"/>
        <w:gridCol w:w="1489"/>
        <w:gridCol w:w="178"/>
        <w:gridCol w:w="1015"/>
        <w:gridCol w:w="3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962"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451001</w:t>
            </w:r>
            <w:r>
              <w:rPr>
                <w:rFonts w:hint="eastAsia" w:ascii="方正书宋_GBK" w:eastAsia="方正书宋_GBK"/>
                <w:b/>
              </w:rPr>
              <w:t>涞水县公安交通警察大队本级</w:t>
            </w:r>
          </w:p>
        </w:tc>
        <w:tc>
          <w:tcPr>
            <w:tcW w:w="4637"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28" w:type="dxa"/>
            <w:gridSpan w:val="2"/>
            <w:vAlign w:val="center"/>
          </w:tcPr>
          <w:p>
            <w:pPr>
              <w:spacing w:line="300" w:lineRule="exact"/>
              <w:jc w:val="left"/>
              <w:rPr>
                <w:rFonts w:hint="default" w:ascii="方正书宋_GBK" w:eastAsia="方正书宋_GBK"/>
                <w:lang w:val="en-US" w:eastAsia="zh-CN"/>
              </w:rPr>
            </w:pPr>
            <w:r>
              <w:rPr>
                <w:rFonts w:ascii="方正书宋_GBK" w:eastAsia="方正书宋_GBK"/>
              </w:rPr>
              <w:t>13062322P008</w:t>
            </w:r>
            <w:r>
              <w:rPr>
                <w:rFonts w:hint="eastAsia" w:ascii="方正书宋_GBK" w:eastAsia="方正书宋_GBK"/>
                <w:lang w:val="en-US" w:eastAsia="zh-CN"/>
              </w:rPr>
              <w:t>995100013</w:t>
            </w:r>
          </w:p>
        </w:tc>
        <w:tc>
          <w:tcPr>
            <w:tcW w:w="179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04" w:type="dxa"/>
            <w:gridSpan w:val="4"/>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朝阳路街道交通标志标线经费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2372"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0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723"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28</w:t>
            </w:r>
          </w:p>
        </w:tc>
        <w:tc>
          <w:tcPr>
            <w:tcW w:w="179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8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28</w:t>
            </w:r>
          </w:p>
        </w:tc>
        <w:tc>
          <w:tcPr>
            <w:tcW w:w="1193" w:type="dxa"/>
            <w:gridSpan w:val="2"/>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622"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continue"/>
            <w:vAlign w:val="center"/>
          </w:tcPr>
          <w:p>
            <w:pPr>
              <w:spacing w:line="300" w:lineRule="exact"/>
              <w:jc w:val="left"/>
              <w:outlineLvl w:val="3"/>
            </w:pPr>
          </w:p>
        </w:tc>
        <w:tc>
          <w:tcPr>
            <w:tcW w:w="11227" w:type="dxa"/>
            <w:gridSpan w:val="7"/>
            <w:vAlign w:val="center"/>
          </w:tcPr>
          <w:p>
            <w:pPr>
              <w:spacing w:line="300" w:lineRule="exact"/>
              <w:jc w:val="left"/>
              <w:rPr>
                <w:rFonts w:ascii="方正书宋_GBK" w:eastAsia="方正书宋_GBK"/>
              </w:rPr>
            </w:pPr>
            <w:r>
              <w:rPr>
                <w:rFonts w:hint="eastAsia" w:ascii="方正书宋_GBK" w:eastAsia="方正书宋_GBK"/>
              </w:rPr>
              <w:t>资金用于</w:t>
            </w:r>
            <w:r>
              <w:rPr>
                <w:rFonts w:hint="eastAsia" w:ascii="方正书宋_GBK" w:eastAsia="方正书宋_GBK"/>
                <w:lang w:eastAsia="zh-CN"/>
              </w:rPr>
              <w:t>朝阳路街道交通标志标线施划与安装。</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2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9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89"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815" w:type="dxa"/>
            <w:gridSpan w:val="3"/>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continue"/>
            <w:vAlign w:val="center"/>
          </w:tcPr>
          <w:p>
            <w:pPr>
              <w:spacing w:line="300" w:lineRule="exact"/>
              <w:jc w:val="left"/>
              <w:outlineLvl w:val="3"/>
            </w:pPr>
          </w:p>
        </w:tc>
        <w:tc>
          <w:tcPr>
            <w:tcW w:w="3128" w:type="dxa"/>
            <w:gridSpan w:val="2"/>
            <w:vAlign w:val="center"/>
          </w:tcPr>
          <w:p>
            <w:pPr>
              <w:spacing w:line="300" w:lineRule="exact"/>
              <w:jc w:val="center"/>
              <w:rPr>
                <w:rFonts w:ascii="方正书宋_GBK" w:eastAsia="方正书宋_GBK"/>
              </w:rPr>
            </w:pPr>
            <w:r>
              <w:rPr>
                <w:rFonts w:ascii="方正书宋_GBK" w:eastAsia="方正书宋_GBK"/>
              </w:rPr>
              <w:t>30.00%</w:t>
            </w:r>
          </w:p>
        </w:tc>
        <w:tc>
          <w:tcPr>
            <w:tcW w:w="1795" w:type="dxa"/>
            <w:vAlign w:val="center"/>
          </w:tcPr>
          <w:p>
            <w:pPr>
              <w:spacing w:line="300" w:lineRule="exact"/>
              <w:jc w:val="center"/>
              <w:rPr>
                <w:rFonts w:ascii="方正书宋_GBK" w:eastAsia="方正书宋_GBK"/>
              </w:rPr>
            </w:pPr>
            <w:r>
              <w:rPr>
                <w:rFonts w:ascii="方正书宋_GBK" w:eastAsia="方正书宋_GBK"/>
              </w:rPr>
              <w:t>60.00%</w:t>
            </w:r>
          </w:p>
        </w:tc>
        <w:tc>
          <w:tcPr>
            <w:tcW w:w="1489" w:type="dxa"/>
            <w:vAlign w:val="center"/>
          </w:tcPr>
          <w:p>
            <w:pPr>
              <w:spacing w:line="300" w:lineRule="exact"/>
              <w:jc w:val="center"/>
              <w:rPr>
                <w:rFonts w:ascii="方正书宋_GBK" w:eastAsia="方正书宋_GBK"/>
              </w:rPr>
            </w:pPr>
            <w:r>
              <w:rPr>
                <w:rFonts w:ascii="方正书宋_GBK" w:eastAsia="方正书宋_GBK"/>
              </w:rPr>
              <w:t>90.00%</w:t>
            </w:r>
          </w:p>
        </w:tc>
        <w:tc>
          <w:tcPr>
            <w:tcW w:w="4815" w:type="dxa"/>
            <w:gridSpan w:val="3"/>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27" w:type="dxa"/>
            <w:gridSpan w:val="7"/>
            <w:tcBorders>
              <w:bottom w:val="nil"/>
            </w:tcBorders>
            <w:vAlign w:val="center"/>
          </w:tcPr>
          <w:p>
            <w:pPr>
              <w:spacing w:line="300" w:lineRule="exact"/>
              <w:jc w:val="left"/>
              <w:rPr>
                <w:rFonts w:ascii="方正书宋_GBK" w:eastAsia="方正书宋_GBK"/>
              </w:rPr>
            </w:pPr>
            <w:r>
              <w:rPr>
                <w:rFonts w:hint="eastAsia" w:ascii="方正书宋_GBK" w:eastAsia="方正书宋_GBK"/>
              </w:rPr>
              <w:t>维护社会稳定，加强队伍建设，提高办案水平，维护良好的交通秩序。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9"/>
        <w:tblW w:w="13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5"/>
        <w:gridCol w:w="1624"/>
        <w:gridCol w:w="2124"/>
        <w:gridCol w:w="3001"/>
        <w:gridCol w:w="1569"/>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285"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2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0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69"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035"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24" w:type="dxa"/>
          </w:tcPr>
          <w:p>
            <w:pPr>
              <w:rPr>
                <w:rFonts w:hint="eastAsia" w:eastAsia="宋体" w:cs="宋体"/>
                <w:color w:val="000000"/>
                <w:sz w:val="22"/>
                <w:szCs w:val="22"/>
                <w:lang w:eastAsia="zh-CN"/>
              </w:rPr>
            </w:pPr>
            <w:r>
              <w:rPr>
                <w:rFonts w:hint="eastAsia"/>
                <w:color w:val="000000"/>
                <w:sz w:val="22"/>
                <w:szCs w:val="22"/>
                <w:lang w:eastAsia="zh-CN"/>
              </w:rPr>
              <w:t>城区朝阳路施划标线，安装标牌</w:t>
            </w:r>
          </w:p>
        </w:tc>
        <w:tc>
          <w:tcPr>
            <w:tcW w:w="3001" w:type="dxa"/>
          </w:tcPr>
          <w:p>
            <w:pPr>
              <w:rPr>
                <w:rFonts w:hint="eastAsia" w:eastAsia="宋体" w:cs="宋体"/>
                <w:color w:val="000000"/>
                <w:sz w:val="22"/>
                <w:szCs w:val="22"/>
                <w:lang w:eastAsia="zh-CN"/>
              </w:rPr>
            </w:pPr>
            <w:r>
              <w:rPr>
                <w:rFonts w:hint="eastAsia"/>
                <w:color w:val="000000"/>
                <w:sz w:val="22"/>
                <w:szCs w:val="22"/>
                <w:lang w:val="en-US" w:eastAsia="zh-CN"/>
              </w:rPr>
              <w:t>1批</w:t>
            </w:r>
          </w:p>
        </w:tc>
        <w:tc>
          <w:tcPr>
            <w:tcW w:w="1569"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w:t>
            </w:r>
          </w:p>
        </w:tc>
        <w:tc>
          <w:tcPr>
            <w:tcW w:w="3035" w:type="dxa"/>
          </w:tcPr>
          <w:p>
            <w:pPr>
              <w:rPr>
                <w:rFonts w:hint="eastAsia" w:eastAsia="宋体" w:cs="宋体"/>
                <w:color w:val="000000"/>
                <w:sz w:val="22"/>
                <w:szCs w:val="22"/>
                <w:lang w:eastAsia="zh-CN"/>
              </w:rPr>
            </w:pPr>
            <w:r>
              <w:rPr>
                <w:rFonts w:hint="eastAsia"/>
                <w:color w:val="000000"/>
                <w:sz w:val="22"/>
                <w:szCs w:val="22"/>
                <w:lang w:eastAsia="zh-CN"/>
              </w:rP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124" w:type="dxa"/>
          </w:tcPr>
          <w:p>
            <w:pPr>
              <w:rPr>
                <w:rFonts w:hint="eastAsia" w:eastAsia="宋体" w:cs="宋体"/>
                <w:color w:val="000000"/>
                <w:sz w:val="22"/>
                <w:szCs w:val="22"/>
                <w:lang w:eastAsia="zh-CN"/>
              </w:rPr>
            </w:pPr>
            <w:r>
              <w:rPr>
                <w:rFonts w:hint="eastAsia"/>
                <w:color w:val="000000"/>
                <w:sz w:val="22"/>
                <w:szCs w:val="22"/>
                <w:lang w:eastAsia="zh-CN"/>
              </w:rPr>
              <w:t>缓解城市道路交通拥堵</w:t>
            </w:r>
          </w:p>
        </w:tc>
        <w:tc>
          <w:tcPr>
            <w:tcW w:w="3001" w:type="dxa"/>
          </w:tcPr>
          <w:p>
            <w:pPr>
              <w:rPr>
                <w:rFonts w:hint="eastAsia" w:eastAsia="宋体" w:cs="宋体"/>
                <w:color w:val="000000"/>
                <w:sz w:val="22"/>
                <w:szCs w:val="22"/>
                <w:lang w:eastAsia="zh-CN"/>
              </w:rPr>
            </w:pPr>
            <w:r>
              <w:rPr>
                <w:rFonts w:hint="eastAsia"/>
                <w:color w:val="000000"/>
                <w:sz w:val="22"/>
                <w:szCs w:val="22"/>
                <w:lang w:eastAsia="zh-CN"/>
              </w:rPr>
              <w:t>有效治理城区交通混乱现象，维护道路交通安全畅通</w:t>
            </w:r>
          </w:p>
        </w:tc>
        <w:tc>
          <w:tcPr>
            <w:tcW w:w="1569" w:type="dxa"/>
            <w:vAlign w:val="center"/>
          </w:tcPr>
          <w:p>
            <w:pPr>
              <w:spacing w:line="300" w:lineRule="exact"/>
              <w:jc w:val="left"/>
              <w:rPr>
                <w:rFonts w:ascii="方正书宋_GBK" w:eastAsia="方正书宋_GBK"/>
              </w:rPr>
            </w:pPr>
            <w:r>
              <w:rPr>
                <w:rFonts w:hint="eastAsia" w:ascii="方正书宋_GBK" w:eastAsia="方正书宋_GBK"/>
                <w:lang w:val="en-US" w:eastAsia="zh-CN"/>
              </w:rPr>
              <w:t>≥80</w:t>
            </w:r>
            <w:r>
              <w:rPr>
                <w:rFonts w:ascii="方正书宋_GBK" w:eastAsia="方正书宋_GBK"/>
              </w:rPr>
              <w:t>%</w:t>
            </w:r>
          </w:p>
        </w:tc>
        <w:tc>
          <w:tcPr>
            <w:tcW w:w="3035" w:type="dxa"/>
          </w:tcPr>
          <w:p>
            <w:pPr>
              <w:rPr>
                <w:rFonts w:cs="宋体"/>
                <w:color w:val="000000"/>
                <w:sz w:val="22"/>
                <w:szCs w:val="22"/>
              </w:rPr>
            </w:pPr>
            <w:r>
              <w:rPr>
                <w:rFonts w:hint="eastAsia"/>
                <w:color w:val="000000"/>
                <w:sz w:val="22"/>
                <w:szCs w:val="22"/>
                <w:lang w:eastAsia="zh-CN"/>
              </w:rP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124" w:type="dxa"/>
          </w:tcPr>
          <w:p>
            <w:pPr>
              <w:rPr>
                <w:rFonts w:hint="eastAsia" w:eastAsia="宋体" w:cs="宋体"/>
                <w:color w:val="000000"/>
                <w:sz w:val="22"/>
                <w:szCs w:val="22"/>
                <w:lang w:eastAsia="zh-CN"/>
              </w:rPr>
            </w:pPr>
            <w:r>
              <w:rPr>
                <w:rFonts w:hint="eastAsia"/>
                <w:color w:val="000000"/>
                <w:sz w:val="22"/>
                <w:szCs w:val="22"/>
                <w:lang w:eastAsia="zh-CN"/>
              </w:rPr>
              <w:t>完工及时率</w:t>
            </w:r>
          </w:p>
        </w:tc>
        <w:tc>
          <w:tcPr>
            <w:tcW w:w="3001" w:type="dxa"/>
          </w:tcPr>
          <w:p>
            <w:pPr>
              <w:rPr>
                <w:rFonts w:cs="宋体"/>
                <w:color w:val="000000"/>
                <w:sz w:val="22"/>
                <w:szCs w:val="22"/>
              </w:rPr>
            </w:pPr>
            <w:r>
              <w:rPr>
                <w:rFonts w:hint="eastAsia"/>
                <w:color w:val="000000"/>
                <w:sz w:val="22"/>
                <w:szCs w:val="22"/>
                <w:lang w:eastAsia="zh-CN"/>
              </w:rPr>
              <w:t>完工及时率</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≥100%</w:t>
            </w:r>
          </w:p>
        </w:tc>
        <w:tc>
          <w:tcPr>
            <w:tcW w:w="3035" w:type="dxa"/>
          </w:tcPr>
          <w:p>
            <w:pPr>
              <w:rPr>
                <w:rFonts w:cs="宋体"/>
                <w:color w:val="000000"/>
                <w:sz w:val="22"/>
                <w:szCs w:val="22"/>
              </w:rPr>
            </w:pPr>
            <w:r>
              <w:rPr>
                <w:rFonts w:hint="eastAsia"/>
                <w:color w:val="000000"/>
                <w:sz w:val="22"/>
                <w:szCs w:val="22"/>
                <w:lang w:eastAsia="zh-CN"/>
              </w:rP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124" w:type="dxa"/>
          </w:tcPr>
          <w:p>
            <w:pPr>
              <w:rPr>
                <w:rFonts w:hint="eastAsia" w:eastAsia="宋体" w:cs="宋体"/>
                <w:color w:val="000000"/>
                <w:sz w:val="22"/>
                <w:szCs w:val="22"/>
                <w:lang w:eastAsia="zh-CN"/>
              </w:rPr>
            </w:pPr>
            <w:r>
              <w:rPr>
                <w:rFonts w:hint="eastAsia"/>
                <w:color w:val="000000"/>
                <w:sz w:val="22"/>
                <w:szCs w:val="22"/>
                <w:lang w:eastAsia="zh-CN"/>
              </w:rPr>
              <w:t>施划标线，安装标志标牌</w:t>
            </w:r>
          </w:p>
        </w:tc>
        <w:tc>
          <w:tcPr>
            <w:tcW w:w="3001" w:type="dxa"/>
          </w:tcPr>
          <w:p>
            <w:pPr>
              <w:rPr>
                <w:rFonts w:hint="default" w:eastAsia="宋体" w:cs="宋体"/>
                <w:color w:val="000000"/>
                <w:sz w:val="22"/>
                <w:szCs w:val="22"/>
                <w:lang w:val="en-US" w:eastAsia="zh-CN"/>
              </w:rPr>
            </w:pPr>
            <w:r>
              <w:rPr>
                <w:rFonts w:hint="eastAsia"/>
                <w:color w:val="000000"/>
                <w:sz w:val="22"/>
                <w:szCs w:val="22"/>
                <w:lang w:val="en-US" w:eastAsia="zh-CN"/>
              </w:rPr>
              <w:t>28万元</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28万元</w:t>
            </w:r>
          </w:p>
        </w:tc>
        <w:tc>
          <w:tcPr>
            <w:tcW w:w="3035" w:type="dxa"/>
          </w:tcPr>
          <w:p>
            <w:pPr>
              <w:rPr>
                <w:rFonts w:cs="宋体"/>
                <w:color w:val="000000"/>
                <w:sz w:val="22"/>
                <w:szCs w:val="22"/>
              </w:rPr>
            </w:pPr>
            <w:r>
              <w:rPr>
                <w:color w:val="000000"/>
                <w:sz w:val="22"/>
                <w:szCs w:val="22"/>
              </w:rPr>
              <w:t>不超过预算安排数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624" w:type="dxa"/>
            <w:vAlign w:val="center"/>
          </w:tcPr>
          <w:p>
            <w:pPr>
              <w:rPr>
                <w:rFonts w:ascii="宋体" w:hAnsi="宋体" w:cs="宋体"/>
                <w:sz w:val="22"/>
                <w:szCs w:val="22"/>
              </w:rPr>
            </w:pPr>
            <w:r>
              <w:rPr>
                <w:rFonts w:hint="eastAsia"/>
                <w:sz w:val="22"/>
                <w:szCs w:val="22"/>
              </w:rPr>
              <w:t>社会效益指标</w:t>
            </w:r>
          </w:p>
        </w:tc>
        <w:tc>
          <w:tcPr>
            <w:tcW w:w="2124" w:type="dxa"/>
          </w:tcPr>
          <w:p>
            <w:pPr>
              <w:rPr>
                <w:rFonts w:cs="宋体"/>
                <w:color w:val="000000"/>
                <w:sz w:val="22"/>
                <w:szCs w:val="22"/>
              </w:rPr>
            </w:pPr>
            <w:r>
              <w:rPr>
                <w:rFonts w:hint="eastAsia"/>
                <w:color w:val="000000"/>
                <w:sz w:val="22"/>
                <w:szCs w:val="22"/>
                <w:lang w:eastAsia="zh-CN"/>
              </w:rPr>
              <w:t>缓解城市道路交通拥堵</w:t>
            </w:r>
          </w:p>
        </w:tc>
        <w:tc>
          <w:tcPr>
            <w:tcW w:w="3001" w:type="dxa"/>
          </w:tcPr>
          <w:p>
            <w:pPr>
              <w:rPr>
                <w:rFonts w:cs="宋体"/>
                <w:color w:val="000000"/>
                <w:sz w:val="22"/>
                <w:szCs w:val="22"/>
              </w:rPr>
            </w:pPr>
            <w:r>
              <w:rPr>
                <w:color w:val="000000"/>
                <w:sz w:val="22"/>
                <w:szCs w:val="22"/>
              </w:rPr>
              <w:t>缓解城市道路交通拥堵，维护道路交通安全刹那畅通。</w:t>
            </w:r>
          </w:p>
        </w:tc>
        <w:tc>
          <w:tcPr>
            <w:tcW w:w="1569" w:type="dxa"/>
            <w:vAlign w:val="center"/>
          </w:tcPr>
          <w:p>
            <w:pPr>
              <w:spacing w:line="300" w:lineRule="exact"/>
              <w:jc w:val="left"/>
              <w:rPr>
                <w:rFonts w:ascii="方正书宋_GBK" w:eastAsia="方正书宋_GBK"/>
              </w:rPr>
            </w:pPr>
            <w:r>
              <w:rPr>
                <w:rFonts w:hint="eastAsia" w:ascii="方正书宋_GBK" w:eastAsia="方正书宋_GBK"/>
                <w:lang w:val="en-US" w:eastAsia="zh-CN"/>
              </w:rPr>
              <w:t>≥80</w:t>
            </w:r>
            <w:r>
              <w:rPr>
                <w:rFonts w:ascii="方正书宋_GBK" w:eastAsia="方正书宋_GBK"/>
              </w:rPr>
              <w:t>%</w:t>
            </w:r>
          </w:p>
        </w:tc>
        <w:tc>
          <w:tcPr>
            <w:tcW w:w="3035" w:type="dxa"/>
            <w:vAlign w:val="center"/>
          </w:tcPr>
          <w:p>
            <w:pPr>
              <w:jc w:val="left"/>
              <w:rPr>
                <w:rFonts w:cs="宋体"/>
                <w:color w:val="000000"/>
                <w:sz w:val="22"/>
                <w:szCs w:val="22"/>
              </w:rPr>
            </w:pPr>
            <w:r>
              <w:rPr>
                <w:color w:val="000000"/>
                <w:sz w:val="22"/>
                <w:szCs w:val="22"/>
              </w:rPr>
              <w:t>缓解城市道路交通拥堵，维护道路交通安全畅通。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624" w:type="dxa"/>
            <w:vAlign w:val="center"/>
          </w:tcPr>
          <w:p>
            <w:pPr>
              <w:rPr>
                <w:rFonts w:ascii="宋体" w:hAnsi="宋体" w:cs="宋体"/>
                <w:sz w:val="22"/>
                <w:szCs w:val="22"/>
              </w:rPr>
            </w:pPr>
            <w:r>
              <w:rPr>
                <w:rFonts w:hint="eastAsia"/>
                <w:sz w:val="22"/>
                <w:szCs w:val="22"/>
              </w:rPr>
              <w:t>服务对象满意度指标</w:t>
            </w:r>
          </w:p>
        </w:tc>
        <w:tc>
          <w:tcPr>
            <w:tcW w:w="2124" w:type="dxa"/>
          </w:tcPr>
          <w:p>
            <w:pPr>
              <w:rPr>
                <w:rFonts w:cs="宋体"/>
                <w:color w:val="000000"/>
                <w:sz w:val="22"/>
                <w:szCs w:val="22"/>
              </w:rPr>
            </w:pPr>
            <w:r>
              <w:rPr>
                <w:color w:val="000000"/>
                <w:sz w:val="22"/>
                <w:szCs w:val="22"/>
              </w:rPr>
              <w:t>群众满意度</w:t>
            </w:r>
          </w:p>
        </w:tc>
        <w:tc>
          <w:tcPr>
            <w:tcW w:w="3001" w:type="dxa"/>
          </w:tcPr>
          <w:p>
            <w:pPr>
              <w:rPr>
                <w:rFonts w:cs="宋体"/>
                <w:color w:val="000000"/>
                <w:sz w:val="22"/>
                <w:szCs w:val="22"/>
              </w:rPr>
            </w:pPr>
            <w:r>
              <w:rPr>
                <w:color w:val="000000"/>
                <w:sz w:val="22"/>
                <w:szCs w:val="22"/>
              </w:rPr>
              <w:t>群众满意度</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035" w:type="dxa"/>
            <w:vAlign w:val="center"/>
          </w:tcPr>
          <w:p>
            <w:pPr>
              <w:jc w:val="left"/>
              <w:rPr>
                <w:rFonts w:cs="宋体"/>
                <w:color w:val="000000"/>
                <w:sz w:val="22"/>
                <w:szCs w:val="22"/>
              </w:rPr>
            </w:pPr>
            <w:r>
              <w:rPr>
                <w:color w:val="000000"/>
                <w:sz w:val="22"/>
                <w:szCs w:val="22"/>
              </w:rPr>
              <w:t>完成指标值比率</w:t>
            </w:r>
          </w:p>
          <w:p>
            <w:pPr>
              <w:spacing w:line="300" w:lineRule="exact"/>
              <w:jc w:val="left"/>
              <w:rPr>
                <w:rFonts w:ascii="方正书宋_GBK" w:eastAsia="方正书宋_GBK"/>
              </w:rPr>
            </w:pP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beforeLines="50" w:afterLines="50"/>
        <w:jc w:val="both"/>
        <w:rPr>
          <w:rFonts w:ascii="Times New Roman" w:eastAsia="方正仿宋_GBK"/>
          <w:sz w:val="28"/>
        </w:rPr>
      </w:pPr>
    </w:p>
    <w:p>
      <w:pPr>
        <w:spacing w:line="520" w:lineRule="exact"/>
        <w:ind w:firstLine="643" w:firstLineChars="200"/>
        <w:rPr>
          <w:rFonts w:ascii="仿宋" w:hAnsi="仿宋" w:eastAsia="仿宋"/>
          <w:b/>
          <w:bCs/>
          <w:sz w:val="32"/>
          <w:szCs w:val="32"/>
        </w:rPr>
      </w:pPr>
      <w:r>
        <w:rPr>
          <w:rFonts w:hint="eastAsia" w:ascii="仿宋" w:hAnsi="仿宋" w:eastAsia="仿宋"/>
          <w:b/>
          <w:bCs/>
          <w:sz w:val="32"/>
          <w:szCs w:val="32"/>
        </w:rPr>
        <w:t>六、政府采购预算情况</w:t>
      </w:r>
    </w:p>
    <w:p>
      <w:pPr>
        <w:jc w:val="center"/>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部门政府采购预算</w:t>
      </w:r>
    </w:p>
    <w:tbl>
      <w:tblPr>
        <w:tblStyle w:val="9"/>
        <w:tblW w:w="139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5"/>
        <w:gridCol w:w="1048"/>
        <w:gridCol w:w="929"/>
        <w:gridCol w:w="940"/>
        <w:gridCol w:w="726"/>
        <w:gridCol w:w="726"/>
        <w:gridCol w:w="809"/>
        <w:gridCol w:w="918"/>
        <w:gridCol w:w="962"/>
        <w:gridCol w:w="874"/>
        <w:gridCol w:w="918"/>
        <w:gridCol w:w="921"/>
        <w:gridCol w:w="921"/>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513"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Cs w:val="21"/>
              </w:rPr>
            </w:pPr>
            <w:r>
              <w:rPr>
                <w:rFonts w:ascii="仿宋" w:hAnsi="仿宋" w:eastAsia="仿宋"/>
                <w:szCs w:val="21"/>
              </w:rPr>
              <w:t>451</w:t>
            </w:r>
            <w:r>
              <w:rPr>
                <w:rFonts w:hint="eastAsia" w:ascii="仿宋" w:hAnsi="仿宋" w:eastAsia="仿宋"/>
                <w:szCs w:val="21"/>
                <w:lang w:val="en-US" w:eastAsia="zh-CN"/>
              </w:rPr>
              <w:t>001</w:t>
            </w:r>
            <w:r>
              <w:rPr>
                <w:rFonts w:hint="eastAsia" w:ascii="仿宋" w:hAnsi="仿宋" w:eastAsia="仿宋"/>
                <w:szCs w:val="21"/>
              </w:rPr>
              <w:t>涞水县公安交通警察大队</w:t>
            </w:r>
          </w:p>
        </w:tc>
        <w:tc>
          <w:tcPr>
            <w:tcW w:w="6393"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rPr>
            </w:pPr>
            <w:r>
              <w:rPr>
                <w:rFonts w:hint="eastAsia" w:ascii="仿宋" w:hAnsi="仿宋" w:eastAsia="仿宋"/>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83"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92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94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726"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r>
              <w:rPr>
                <w:rFonts w:ascii="仿宋" w:hAnsi="仿宋" w:eastAsia="仿宋"/>
                <w:b/>
                <w:szCs w:val="21"/>
              </w:rPr>
              <w:t xml:space="preserve">  </w:t>
            </w:r>
            <w:r>
              <w:rPr>
                <w:rFonts w:hint="eastAsia" w:ascii="仿宋" w:hAnsi="仿宋" w:eastAsia="仿宋"/>
                <w:b/>
                <w:szCs w:val="21"/>
              </w:rPr>
              <w:t>单位</w:t>
            </w:r>
          </w:p>
        </w:tc>
        <w:tc>
          <w:tcPr>
            <w:tcW w:w="726"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80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6393" w:type="dxa"/>
            <w:gridSpan w:val="7"/>
            <w:vAlign w:val="center"/>
          </w:tcPr>
          <w:p>
            <w:pPr>
              <w:spacing w:line="300" w:lineRule="exact"/>
              <w:jc w:val="center"/>
              <w:rPr>
                <w:rFonts w:ascii="仿宋" w:hAnsi="仿宋" w:eastAsia="仿宋"/>
                <w:b/>
                <w:szCs w:val="21"/>
              </w:rPr>
            </w:pPr>
            <w:r>
              <w:rPr>
                <w:rFonts w:hint="eastAsia" w:ascii="仿宋" w:hAnsi="仿宋" w:eastAsia="仿宋"/>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04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929" w:type="dxa"/>
            <w:vMerge w:val="continue"/>
            <w:vAlign w:val="center"/>
          </w:tcPr>
          <w:p>
            <w:pPr>
              <w:spacing w:line="300" w:lineRule="exact"/>
              <w:jc w:val="left"/>
              <w:outlineLvl w:val="0"/>
              <w:rPr>
                <w:rFonts w:ascii="仿宋" w:hAnsi="仿宋" w:eastAsia="仿宋"/>
                <w:szCs w:val="21"/>
              </w:rPr>
            </w:pPr>
          </w:p>
        </w:tc>
        <w:tc>
          <w:tcPr>
            <w:tcW w:w="940"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809" w:type="dxa"/>
            <w:vMerge w:val="continue"/>
            <w:vAlign w:val="center"/>
          </w:tcPr>
          <w:p>
            <w:pPr>
              <w:spacing w:line="300" w:lineRule="exact"/>
              <w:jc w:val="left"/>
              <w:outlineLvl w:val="0"/>
              <w:rPr>
                <w:rFonts w:ascii="仿宋" w:hAnsi="仿宋" w:eastAsia="仿宋"/>
                <w:szCs w:val="21"/>
              </w:rPr>
            </w:pPr>
          </w:p>
        </w:tc>
        <w:tc>
          <w:tcPr>
            <w:tcW w:w="91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总计</w:t>
            </w:r>
          </w:p>
        </w:tc>
        <w:tc>
          <w:tcPr>
            <w:tcW w:w="4596" w:type="dxa"/>
            <w:gridSpan w:val="5"/>
            <w:vAlign w:val="center"/>
          </w:tcPr>
          <w:p>
            <w:pPr>
              <w:spacing w:line="300" w:lineRule="exact"/>
              <w:jc w:val="center"/>
              <w:rPr>
                <w:rFonts w:ascii="仿宋" w:hAnsi="仿宋" w:eastAsia="仿宋"/>
                <w:b/>
                <w:szCs w:val="21"/>
              </w:rPr>
            </w:pPr>
            <w:r>
              <w:rPr>
                <w:rFonts w:hint="eastAsia" w:ascii="仿宋" w:hAnsi="仿宋" w:eastAsia="仿宋"/>
                <w:b/>
                <w:szCs w:val="21"/>
              </w:rPr>
              <w:t>当年部门预算安排资金</w:t>
            </w:r>
          </w:p>
        </w:tc>
        <w:tc>
          <w:tcPr>
            <w:tcW w:w="87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continue"/>
            <w:vAlign w:val="center"/>
          </w:tcPr>
          <w:p>
            <w:pPr>
              <w:spacing w:line="300" w:lineRule="exact"/>
              <w:jc w:val="left"/>
              <w:outlineLvl w:val="0"/>
              <w:rPr>
                <w:rFonts w:ascii="仿宋" w:hAnsi="仿宋" w:eastAsia="仿宋"/>
                <w:szCs w:val="21"/>
              </w:rPr>
            </w:pPr>
          </w:p>
        </w:tc>
        <w:tc>
          <w:tcPr>
            <w:tcW w:w="1048" w:type="dxa"/>
            <w:vMerge w:val="continue"/>
            <w:vAlign w:val="center"/>
          </w:tcPr>
          <w:p>
            <w:pPr>
              <w:spacing w:line="300" w:lineRule="exact"/>
              <w:jc w:val="left"/>
              <w:outlineLvl w:val="0"/>
              <w:rPr>
                <w:rFonts w:ascii="仿宋" w:hAnsi="仿宋" w:eastAsia="仿宋"/>
                <w:szCs w:val="21"/>
              </w:rPr>
            </w:pPr>
          </w:p>
        </w:tc>
        <w:tc>
          <w:tcPr>
            <w:tcW w:w="929" w:type="dxa"/>
            <w:vMerge w:val="continue"/>
            <w:vAlign w:val="center"/>
          </w:tcPr>
          <w:p>
            <w:pPr>
              <w:spacing w:line="300" w:lineRule="exact"/>
              <w:jc w:val="left"/>
              <w:outlineLvl w:val="0"/>
              <w:rPr>
                <w:rFonts w:ascii="仿宋" w:hAnsi="仿宋" w:eastAsia="仿宋"/>
                <w:szCs w:val="21"/>
              </w:rPr>
            </w:pPr>
          </w:p>
        </w:tc>
        <w:tc>
          <w:tcPr>
            <w:tcW w:w="940"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726" w:type="dxa"/>
            <w:vMerge w:val="continue"/>
            <w:vAlign w:val="center"/>
          </w:tcPr>
          <w:p>
            <w:pPr>
              <w:spacing w:line="300" w:lineRule="exact"/>
              <w:jc w:val="left"/>
              <w:outlineLvl w:val="0"/>
              <w:rPr>
                <w:rFonts w:ascii="仿宋" w:hAnsi="仿宋" w:eastAsia="仿宋"/>
                <w:szCs w:val="21"/>
              </w:rPr>
            </w:pPr>
          </w:p>
        </w:tc>
        <w:tc>
          <w:tcPr>
            <w:tcW w:w="809" w:type="dxa"/>
            <w:vMerge w:val="continue"/>
            <w:vAlign w:val="center"/>
          </w:tcPr>
          <w:p>
            <w:pPr>
              <w:spacing w:line="300" w:lineRule="exact"/>
              <w:jc w:val="left"/>
              <w:outlineLvl w:val="0"/>
              <w:rPr>
                <w:rFonts w:ascii="仿宋" w:hAnsi="仿宋" w:eastAsia="仿宋"/>
                <w:szCs w:val="21"/>
              </w:rPr>
            </w:pPr>
          </w:p>
        </w:tc>
        <w:tc>
          <w:tcPr>
            <w:tcW w:w="918" w:type="dxa"/>
            <w:vMerge w:val="continue"/>
            <w:vAlign w:val="center"/>
          </w:tcPr>
          <w:p>
            <w:pPr>
              <w:spacing w:line="300" w:lineRule="exact"/>
              <w:jc w:val="left"/>
              <w:outlineLvl w:val="0"/>
              <w:rPr>
                <w:rFonts w:ascii="仿宋" w:hAnsi="仿宋" w:eastAsia="仿宋"/>
                <w:szCs w:val="21"/>
              </w:rPr>
            </w:pPr>
          </w:p>
        </w:tc>
        <w:tc>
          <w:tcPr>
            <w:tcW w:w="962"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874"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918"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c>
          <w:tcPr>
            <w:tcW w:w="879" w:type="dxa"/>
            <w:vMerge w:val="continue"/>
            <w:vAlign w:val="center"/>
          </w:tcPr>
          <w:p>
            <w:pPr>
              <w:spacing w:line="300" w:lineRule="exact"/>
              <w:jc w:val="left"/>
              <w:outlineLvl w:val="0"/>
              <w:rPr>
                <w:rFonts w:ascii="仿宋" w:hAnsi="仿宋" w:eastAsia="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048" w:type="dxa"/>
            <w:vAlign w:val="center"/>
          </w:tcPr>
          <w:p>
            <w:pPr>
              <w:spacing w:line="300" w:lineRule="exact"/>
              <w:jc w:val="right"/>
              <w:rPr>
                <w:rFonts w:ascii="仿宋" w:hAnsi="仿宋" w:eastAsia="仿宋"/>
                <w:b/>
                <w:szCs w:val="21"/>
              </w:rPr>
            </w:pPr>
          </w:p>
        </w:tc>
        <w:tc>
          <w:tcPr>
            <w:tcW w:w="929" w:type="dxa"/>
            <w:vAlign w:val="center"/>
          </w:tcPr>
          <w:p>
            <w:pPr>
              <w:spacing w:line="300" w:lineRule="exact"/>
              <w:jc w:val="left"/>
              <w:rPr>
                <w:rFonts w:ascii="仿宋" w:hAnsi="仿宋" w:eastAsia="仿宋"/>
                <w:b/>
                <w:szCs w:val="21"/>
              </w:rPr>
            </w:pPr>
          </w:p>
        </w:tc>
        <w:tc>
          <w:tcPr>
            <w:tcW w:w="940"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right"/>
              <w:rPr>
                <w:rFonts w:ascii="仿宋" w:hAnsi="仿宋" w:eastAsia="仿宋"/>
                <w:b/>
                <w:szCs w:val="21"/>
              </w:rPr>
            </w:pPr>
          </w:p>
        </w:tc>
        <w:tc>
          <w:tcPr>
            <w:tcW w:w="809"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62" w:type="dxa"/>
            <w:vAlign w:val="center"/>
          </w:tcPr>
          <w:p>
            <w:pPr>
              <w:spacing w:line="300" w:lineRule="exact"/>
              <w:jc w:val="right"/>
              <w:rPr>
                <w:rFonts w:ascii="仿宋" w:hAnsi="仿宋" w:eastAsia="仿宋"/>
                <w:b/>
                <w:szCs w:val="21"/>
              </w:rPr>
            </w:pPr>
          </w:p>
        </w:tc>
        <w:tc>
          <w:tcPr>
            <w:tcW w:w="874"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szCs w:val="21"/>
              </w:rPr>
              <w:t>涞水县公安交通警察大队小计</w:t>
            </w:r>
          </w:p>
        </w:tc>
        <w:tc>
          <w:tcPr>
            <w:tcW w:w="1048" w:type="dxa"/>
            <w:vAlign w:val="center"/>
          </w:tcPr>
          <w:p>
            <w:pPr>
              <w:spacing w:line="300" w:lineRule="exact"/>
              <w:jc w:val="right"/>
              <w:rPr>
                <w:rFonts w:ascii="仿宋" w:hAnsi="仿宋" w:eastAsia="仿宋"/>
                <w:b/>
                <w:szCs w:val="21"/>
              </w:rPr>
            </w:pPr>
          </w:p>
        </w:tc>
        <w:tc>
          <w:tcPr>
            <w:tcW w:w="929" w:type="dxa"/>
            <w:vAlign w:val="center"/>
          </w:tcPr>
          <w:p>
            <w:pPr>
              <w:spacing w:line="300" w:lineRule="exact"/>
              <w:jc w:val="left"/>
              <w:rPr>
                <w:rFonts w:ascii="仿宋" w:hAnsi="仿宋" w:eastAsia="仿宋"/>
                <w:b/>
                <w:szCs w:val="21"/>
              </w:rPr>
            </w:pPr>
          </w:p>
        </w:tc>
        <w:tc>
          <w:tcPr>
            <w:tcW w:w="940"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left"/>
              <w:rPr>
                <w:rFonts w:ascii="仿宋" w:hAnsi="仿宋" w:eastAsia="仿宋"/>
                <w:b/>
                <w:szCs w:val="21"/>
              </w:rPr>
            </w:pPr>
          </w:p>
        </w:tc>
        <w:tc>
          <w:tcPr>
            <w:tcW w:w="726" w:type="dxa"/>
            <w:vAlign w:val="center"/>
          </w:tcPr>
          <w:p>
            <w:pPr>
              <w:spacing w:line="300" w:lineRule="exact"/>
              <w:jc w:val="right"/>
              <w:rPr>
                <w:rFonts w:ascii="仿宋" w:hAnsi="仿宋" w:eastAsia="仿宋"/>
                <w:b/>
                <w:szCs w:val="21"/>
              </w:rPr>
            </w:pPr>
          </w:p>
        </w:tc>
        <w:tc>
          <w:tcPr>
            <w:tcW w:w="809"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62" w:type="dxa"/>
            <w:vAlign w:val="center"/>
          </w:tcPr>
          <w:p>
            <w:pPr>
              <w:spacing w:line="300" w:lineRule="exact"/>
              <w:jc w:val="right"/>
              <w:rPr>
                <w:rFonts w:ascii="仿宋" w:hAnsi="仿宋" w:eastAsia="仿宋"/>
                <w:b/>
                <w:szCs w:val="21"/>
              </w:rPr>
            </w:pPr>
          </w:p>
        </w:tc>
        <w:tc>
          <w:tcPr>
            <w:tcW w:w="874" w:type="dxa"/>
            <w:vAlign w:val="center"/>
          </w:tcPr>
          <w:p>
            <w:pPr>
              <w:spacing w:line="300" w:lineRule="exact"/>
              <w:jc w:val="right"/>
              <w:rPr>
                <w:rFonts w:ascii="仿宋" w:hAnsi="仿宋" w:eastAsia="仿宋"/>
                <w:b/>
                <w:szCs w:val="21"/>
              </w:rPr>
            </w:pP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bl>
    <w:p>
      <w:pPr>
        <w:spacing w:line="520" w:lineRule="exact"/>
        <w:ind w:firstLine="640" w:firstLineChars="200"/>
        <w:rPr>
          <w:rFonts w:hint="eastAsia" w:ascii="仿宋" w:hAnsi="仿宋" w:eastAsia="仿宋"/>
          <w:sz w:val="32"/>
          <w:szCs w:val="32"/>
          <w:lang w:val="en-US" w:eastAsia="zh-CN"/>
        </w:rPr>
        <w:sectPr>
          <w:footerReference r:id="rId8" w:type="default"/>
          <w:pgSz w:w="16839" w:h="11907" w:orient="landscape"/>
          <w:pgMar w:top="1021" w:right="1361" w:bottom="1021" w:left="1361" w:header="851" w:footer="992" w:gutter="0"/>
          <w:cols w:space="720" w:num="1"/>
          <w:docGrid w:type="lines" w:linePitch="312" w:charSpace="0"/>
        </w:sectPr>
      </w:pPr>
      <w:r>
        <w:rPr>
          <w:rFonts w:hint="eastAsia" w:ascii="仿宋" w:hAnsi="仿宋" w:eastAsia="仿宋"/>
          <w:sz w:val="32"/>
          <w:szCs w:val="32"/>
          <w:lang w:val="en-US" w:eastAsia="zh-CN"/>
        </w:rPr>
        <w:t>注：2022年，我单位没有安排政府采购预算，空表列示。</w:t>
      </w:r>
    </w:p>
    <w:p>
      <w:pPr>
        <w:widowControl/>
        <w:spacing w:line="560" w:lineRule="exact"/>
        <w:ind w:firstLine="630"/>
        <w:rPr>
          <w:rFonts w:ascii="宋体" w:cs="仿宋"/>
          <w:kern w:val="0"/>
          <w:sz w:val="30"/>
          <w:szCs w:val="30"/>
        </w:rPr>
      </w:pP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七、国有资产信息情况</w:t>
      </w: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截止到</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1年年底我部门国有资产总额2209.6万元，其中业务用房共计</w:t>
      </w:r>
      <w:r>
        <w:rPr>
          <w:rFonts w:cs="仿宋" w:asciiTheme="minorEastAsia" w:hAnsiTheme="minorEastAsia" w:eastAsiaTheme="minorEastAsia"/>
          <w:sz w:val="32"/>
          <w:szCs w:val="32"/>
        </w:rPr>
        <w:t>4500</w:t>
      </w:r>
      <w:r>
        <w:rPr>
          <w:rFonts w:hint="eastAsia" w:cs="仿宋" w:asciiTheme="minorEastAsia" w:hAnsiTheme="minorEastAsia" w:eastAsiaTheme="minorEastAsia"/>
          <w:sz w:val="32"/>
          <w:szCs w:val="32"/>
        </w:rPr>
        <w:t>平米，价值938.11万元；车辆共计52辆，价值620.63万元，其他资产650.86万元，</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rPr>
        <w:t>2年</w:t>
      </w:r>
      <w:r>
        <w:rPr>
          <w:rFonts w:hint="eastAsia" w:cs="仿宋" w:asciiTheme="minorEastAsia" w:hAnsiTheme="minorEastAsia" w:eastAsiaTheme="minorEastAsia"/>
          <w:sz w:val="32"/>
          <w:szCs w:val="32"/>
          <w:lang w:val="en-US" w:eastAsia="zh-CN"/>
        </w:rPr>
        <w:t>我单位</w:t>
      </w:r>
      <w:r>
        <w:rPr>
          <w:rFonts w:hint="eastAsia" w:cs="仿宋" w:asciiTheme="minorEastAsia" w:hAnsiTheme="minorEastAsia" w:eastAsiaTheme="minorEastAsia"/>
          <w:sz w:val="32"/>
          <w:szCs w:val="32"/>
        </w:rPr>
        <w:t>无购置固定资产</w:t>
      </w:r>
      <w:r>
        <w:rPr>
          <w:rFonts w:hint="eastAsia" w:cs="仿宋" w:asciiTheme="minorEastAsia" w:hAnsiTheme="minorEastAsia" w:eastAsiaTheme="minorEastAsia"/>
          <w:sz w:val="32"/>
          <w:szCs w:val="32"/>
          <w:lang w:val="en-US" w:eastAsia="zh-CN"/>
        </w:rPr>
        <w:t>情况</w:t>
      </w:r>
      <w:r>
        <w:rPr>
          <w:rFonts w:hint="eastAsia" w:cs="仿宋" w:asciiTheme="minorEastAsia" w:hAnsiTheme="minorEastAsia" w:eastAsiaTheme="minorEastAsia"/>
          <w:sz w:val="32"/>
          <w:szCs w:val="32"/>
        </w:rPr>
        <w:t>。</w:t>
      </w:r>
    </w:p>
    <w:p>
      <w:pPr>
        <w:pStyle w:val="8"/>
        <w:shd w:val="clear" w:color="auto" w:fill="FFFFFF"/>
        <w:spacing w:line="520" w:lineRule="exact"/>
        <w:ind w:firstLine="640"/>
        <w:jc w:val="center"/>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固定资产占用情况表</w:t>
      </w:r>
    </w:p>
    <w:p>
      <w:pPr>
        <w:pStyle w:val="8"/>
        <w:shd w:val="clear" w:color="auto" w:fill="FFFFFF"/>
        <w:spacing w:line="520" w:lineRule="exact"/>
        <w:ind w:firstLine="640"/>
        <w:rPr>
          <w:rFonts w:ascii="仿宋" w:hAnsi="仿宋" w:eastAsia="仿宋"/>
          <w:sz w:val="32"/>
          <w:szCs w:val="32"/>
        </w:rPr>
      </w:pPr>
      <w:r>
        <w:rPr>
          <w:rFonts w:ascii="仿宋" w:hAnsi="仿宋" w:eastAsia="仿宋" w:cs="仿宋"/>
          <w:sz w:val="32"/>
          <w:szCs w:val="32"/>
        </w:rPr>
        <w:t xml:space="preserve">                          </w:t>
      </w:r>
      <w:r>
        <w:rPr>
          <w:rFonts w:cs="仿宋" w:asciiTheme="minorEastAsia" w:hAnsiTheme="minorEastAsia" w:eastAsiaTheme="minorEastAsia"/>
          <w:kern w:val="2"/>
          <w:sz w:val="32"/>
          <w:szCs w:val="32"/>
        </w:rPr>
        <w:t xml:space="preserve"> </w:t>
      </w:r>
      <w:r>
        <w:rPr>
          <w:rFonts w:hint="eastAsia" w:cs="仿宋" w:asciiTheme="minorEastAsia" w:hAnsiTheme="minorEastAsia" w:eastAsiaTheme="minorEastAsia"/>
          <w:kern w:val="2"/>
          <w:sz w:val="32"/>
          <w:szCs w:val="32"/>
        </w:rPr>
        <w:t>截止时间：</w:t>
      </w:r>
      <w:r>
        <w:rPr>
          <w:rFonts w:cs="仿宋" w:asciiTheme="minorEastAsia" w:hAnsiTheme="minorEastAsia" w:eastAsiaTheme="minorEastAsia"/>
          <w:kern w:val="2"/>
          <w:sz w:val="32"/>
          <w:szCs w:val="32"/>
        </w:rPr>
        <w:t>202</w:t>
      </w:r>
      <w:r>
        <w:rPr>
          <w:rFonts w:hint="eastAsia" w:cs="仿宋" w:asciiTheme="minorEastAsia" w:hAnsiTheme="minorEastAsia" w:eastAsiaTheme="minorEastAsia"/>
          <w:kern w:val="2"/>
          <w:sz w:val="32"/>
          <w:szCs w:val="32"/>
        </w:rPr>
        <w:t>1年</w:t>
      </w:r>
      <w:r>
        <w:rPr>
          <w:rFonts w:cs="仿宋" w:asciiTheme="minorEastAsia" w:hAnsiTheme="minorEastAsia" w:eastAsiaTheme="minorEastAsia"/>
          <w:kern w:val="2"/>
          <w:sz w:val="32"/>
          <w:szCs w:val="32"/>
        </w:rPr>
        <w:t>12</w:t>
      </w:r>
      <w:r>
        <w:rPr>
          <w:rFonts w:hint="eastAsia" w:cs="仿宋" w:asciiTheme="minorEastAsia" w:hAnsiTheme="minorEastAsia" w:eastAsiaTheme="minorEastAsia"/>
          <w:kern w:val="2"/>
          <w:sz w:val="32"/>
          <w:szCs w:val="32"/>
        </w:rPr>
        <w:t>月</w:t>
      </w:r>
      <w:r>
        <w:rPr>
          <w:rFonts w:cs="仿宋" w:asciiTheme="minorEastAsia" w:hAnsiTheme="minorEastAsia" w:eastAsiaTheme="minorEastAsia"/>
          <w:kern w:val="2"/>
          <w:sz w:val="32"/>
          <w:szCs w:val="32"/>
        </w:rPr>
        <w:t>31</w:t>
      </w:r>
      <w:r>
        <w:rPr>
          <w:rFonts w:hint="eastAsia" w:cs="仿宋" w:asciiTheme="minorEastAsia" w:hAnsiTheme="minorEastAsia" w:eastAsiaTheme="minorEastAsia"/>
          <w:kern w:val="2"/>
          <w:sz w:val="32"/>
          <w:szCs w:val="32"/>
        </w:rPr>
        <w:t>日</w:t>
      </w:r>
      <w:r>
        <w:rPr>
          <w:rFonts w:cs="仿宋" w:asciiTheme="minorEastAsia" w:hAnsiTheme="minorEastAsia" w:eastAsiaTheme="minorEastAsia"/>
          <w:kern w:val="2"/>
          <w:sz w:val="32"/>
          <w:szCs w:val="32"/>
        </w:rPr>
        <w:t xml:space="preserve">  </w:t>
      </w:r>
      <w:r>
        <w:rPr>
          <w:rFonts w:ascii="仿宋" w:hAnsi="仿宋" w:eastAsia="仿宋"/>
          <w:sz w:val="32"/>
          <w:szCs w:val="32"/>
        </w:rPr>
        <w:t xml:space="preserve"> </w:t>
      </w:r>
    </w:p>
    <w:tbl>
      <w:tblPr>
        <w:tblStyle w:val="9"/>
        <w:tblW w:w="12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7"/>
        <w:gridCol w:w="2478"/>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2478"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3006"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2478"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w:t>
            </w:r>
          </w:p>
        </w:tc>
        <w:tc>
          <w:tcPr>
            <w:tcW w:w="3006" w:type="dxa"/>
            <w:vAlign w:val="center"/>
          </w:tcPr>
          <w:p>
            <w:pPr>
              <w:widowControl/>
              <w:jc w:val="center"/>
              <w:rPr>
                <w:rFonts w:ascii="仿宋" w:hAnsi="仿宋" w:eastAsia="仿宋"/>
                <w:sz w:val="32"/>
                <w:szCs w:val="32"/>
              </w:rPr>
            </w:pPr>
            <w:r>
              <w:rPr>
                <w:rFonts w:hint="eastAsia" w:ascii="仿宋" w:hAnsi="仿宋" w:eastAsia="仿宋"/>
                <w:sz w:val="32"/>
                <w:szCs w:val="32"/>
              </w:rPr>
              <w:t>2209.6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1</w:t>
            </w:r>
            <w:r>
              <w:rPr>
                <w:rFonts w:hint="eastAsia" w:cs="仿宋" w:asciiTheme="minorEastAsia" w:hAnsiTheme="minorEastAsia" w:eastAsiaTheme="minorEastAsia"/>
                <w:sz w:val="32"/>
                <w:szCs w:val="32"/>
              </w:rPr>
              <w:t>、房屋（平方米）</w:t>
            </w:r>
          </w:p>
        </w:tc>
        <w:tc>
          <w:tcPr>
            <w:tcW w:w="2478" w:type="dxa"/>
            <w:vAlign w:val="center"/>
          </w:tcPr>
          <w:p>
            <w:pPr>
              <w:widowControl/>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4500</w:t>
            </w:r>
          </w:p>
        </w:tc>
        <w:tc>
          <w:tcPr>
            <w:tcW w:w="3006" w:type="dxa"/>
            <w:vAlign w:val="center"/>
          </w:tcPr>
          <w:p>
            <w:pPr>
              <w:widowControl/>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938.11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其中：办公用房（平方米）</w:t>
            </w:r>
          </w:p>
        </w:tc>
        <w:tc>
          <w:tcPr>
            <w:tcW w:w="2478" w:type="dxa"/>
            <w:vAlign w:val="center"/>
          </w:tcPr>
          <w:p>
            <w:pPr>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4500</w:t>
            </w:r>
          </w:p>
        </w:tc>
        <w:tc>
          <w:tcPr>
            <w:tcW w:w="3006"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938.11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w:t>
            </w:r>
            <w:r>
              <w:rPr>
                <w:rFonts w:hint="eastAsia" w:cs="仿宋" w:asciiTheme="minorEastAsia" w:hAnsiTheme="minorEastAsia" w:eastAsiaTheme="minorEastAsia"/>
                <w:sz w:val="32"/>
                <w:szCs w:val="32"/>
              </w:rPr>
              <w:t>、车辆（台、辆）</w:t>
            </w:r>
          </w:p>
        </w:tc>
        <w:tc>
          <w:tcPr>
            <w:tcW w:w="2478" w:type="dxa"/>
            <w:vAlign w:val="center"/>
          </w:tcPr>
          <w:p>
            <w:pPr>
              <w:widowControl/>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52</w:t>
            </w:r>
          </w:p>
        </w:tc>
        <w:tc>
          <w:tcPr>
            <w:tcW w:w="3006" w:type="dxa"/>
            <w:vAlign w:val="center"/>
          </w:tcPr>
          <w:p>
            <w:pPr>
              <w:widowControl/>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620.63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3</w:t>
            </w:r>
            <w:r>
              <w:rPr>
                <w:rFonts w:hint="eastAsia" w:cs="仿宋" w:asciiTheme="minorEastAsia" w:hAnsiTheme="minorEastAsia" w:eastAsiaTheme="minorEastAsia"/>
                <w:sz w:val="32"/>
                <w:szCs w:val="32"/>
              </w:rPr>
              <w:t>、单价在</w:t>
            </w:r>
            <w:r>
              <w:rPr>
                <w:rFonts w:cs="仿宋" w:asciiTheme="minorEastAsia" w:hAnsiTheme="minorEastAsia" w:eastAsiaTheme="minorEastAsia"/>
                <w:sz w:val="32"/>
                <w:szCs w:val="32"/>
              </w:rPr>
              <w:t>20</w:t>
            </w:r>
            <w:r>
              <w:rPr>
                <w:rFonts w:hint="eastAsia" w:cs="仿宋" w:asciiTheme="minorEastAsia" w:hAnsiTheme="minorEastAsia" w:eastAsiaTheme="minorEastAsia"/>
                <w:sz w:val="32"/>
                <w:szCs w:val="32"/>
              </w:rPr>
              <w:t>万元以上的设备</w:t>
            </w:r>
          </w:p>
        </w:tc>
        <w:tc>
          <w:tcPr>
            <w:tcW w:w="2478" w:type="dxa"/>
            <w:vAlign w:val="center"/>
          </w:tcPr>
          <w:p>
            <w:pPr>
              <w:widowControl/>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w:t>
            </w:r>
          </w:p>
        </w:tc>
        <w:tc>
          <w:tcPr>
            <w:tcW w:w="3006" w:type="dxa"/>
            <w:vAlign w:val="center"/>
          </w:tcPr>
          <w:p>
            <w:pPr>
              <w:widowControl/>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4</w:t>
            </w:r>
            <w:r>
              <w:rPr>
                <w:rFonts w:hint="eastAsia" w:cs="仿宋" w:asciiTheme="minorEastAsia" w:hAnsiTheme="minorEastAsia" w:eastAsiaTheme="minorEastAsia"/>
                <w:sz w:val="32"/>
                <w:szCs w:val="32"/>
              </w:rPr>
              <w:t>、其他固定资产</w:t>
            </w:r>
          </w:p>
        </w:tc>
        <w:tc>
          <w:tcPr>
            <w:tcW w:w="2478"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w:t>
            </w:r>
          </w:p>
        </w:tc>
        <w:tc>
          <w:tcPr>
            <w:tcW w:w="3006"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650.86</w:t>
            </w:r>
          </w:p>
        </w:tc>
      </w:tr>
    </w:tbl>
    <w:p>
      <w:pPr>
        <w:ind w:firstLine="630" w:firstLineChars="196"/>
        <w:rPr>
          <w:rFonts w:ascii="仿宋" w:hAnsi="仿宋" w:eastAsia="仿宋" w:cs="仿宋_GB2312"/>
          <w:b/>
          <w:bCs/>
          <w:sz w:val="32"/>
          <w:szCs w:val="32"/>
        </w:rPr>
      </w:pPr>
      <w:r>
        <w:rPr>
          <w:rFonts w:hint="eastAsia" w:ascii="仿宋" w:hAnsi="仿宋" w:eastAsia="仿宋" w:cs="仿宋_GB2312"/>
          <w:b/>
          <w:bCs/>
          <w:sz w:val="32"/>
          <w:szCs w:val="32"/>
        </w:rPr>
        <w:t>八、专业名词解释</w:t>
      </w:r>
    </w:p>
    <w:p>
      <w:pPr>
        <w:ind w:firstLine="630" w:firstLineChars="196"/>
        <w:rPr>
          <w:rFonts w:cs="仿宋" w:asciiTheme="minorEastAsia" w:hAnsiTheme="minorEastAsia" w:eastAsiaTheme="minorEastAsia"/>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cs="仿宋" w:asciiTheme="minorEastAsia" w:hAnsiTheme="minorEastAsia" w:eastAsiaTheme="minorEastAsia"/>
          <w:sz w:val="32"/>
          <w:szCs w:val="32"/>
        </w:rPr>
        <w:t>县级财政当年拨付的资金。</w:t>
      </w:r>
    </w:p>
    <w:p>
      <w:pPr>
        <w:pStyle w:val="8"/>
        <w:ind w:firstLine="578" w:firstLineChars="180"/>
        <w:rPr>
          <w:rFonts w:cs="仿宋" w:asciiTheme="minorEastAsia" w:hAnsiTheme="minorEastAsia" w:eastAsiaTheme="minorEastAsia"/>
          <w:kern w:val="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cs="仿宋" w:asciiTheme="minorEastAsia" w:hAnsiTheme="minorEastAsia" w:eastAsiaTheme="minorEastAsia"/>
          <w:kern w:val="2"/>
          <w:sz w:val="32"/>
          <w:szCs w:val="32"/>
        </w:rPr>
        <w:t>指除上述财政拨款收入以外的收入。主要是存款利息收入。</w:t>
      </w:r>
    </w:p>
    <w:p>
      <w:pPr>
        <w:pStyle w:val="8"/>
        <w:ind w:firstLine="578" w:firstLineChars="180"/>
        <w:rPr>
          <w:rFonts w:ascii="仿宋" w:hAnsi="仿宋" w:eastAsia="仿宋"/>
          <w:sz w:val="32"/>
          <w:szCs w:val="32"/>
        </w:rPr>
      </w:pPr>
      <w:r>
        <w:rPr>
          <w:rStyle w:val="12"/>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cs="仿宋" w:asciiTheme="minorEastAsia" w:hAnsiTheme="minorEastAsia" w:eastAsiaTheme="minorEastAsia"/>
          <w:kern w:val="2"/>
          <w:sz w:val="32"/>
          <w:szCs w:val="32"/>
        </w:rPr>
        <w:t>指为保障机构正常运转、完成日常工作任务而发生的人员支出和公用支出。</w:t>
      </w:r>
    </w:p>
    <w:p>
      <w:pPr>
        <w:pStyle w:val="8"/>
        <w:rPr>
          <w:rFonts w:cs="仿宋" w:asciiTheme="minorEastAsia" w:hAnsiTheme="minorEastAsia" w:eastAsiaTheme="minorEastAsia"/>
          <w:kern w:val="2"/>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w:t>
      </w:r>
      <w:r>
        <w:rPr>
          <w:rFonts w:hint="eastAsia" w:cs="仿宋" w:asciiTheme="minorEastAsia" w:hAnsiTheme="minorEastAsia" w:eastAsiaTheme="minorEastAsia"/>
          <w:kern w:val="2"/>
          <w:sz w:val="32"/>
          <w:szCs w:val="32"/>
        </w:rPr>
        <w:t>指在基本支出之外为完成特定行政任务和事业发展目标所发生的支出。</w:t>
      </w:r>
    </w:p>
    <w:p>
      <w:pPr>
        <w:pStyle w:val="8"/>
        <w:ind w:firstLine="643" w:firstLineChars="200"/>
        <w:rPr>
          <w:rFonts w:cs="仿宋" w:asciiTheme="minorEastAsia" w:hAnsiTheme="minorEastAsia" w:eastAsiaTheme="minorEastAsia"/>
          <w:kern w:val="2"/>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cs="仿宋" w:asciiTheme="minorEastAsia" w:hAnsiTheme="minorEastAsia" w:eastAsiaTheme="minorEastAsia"/>
          <w:kern w:val="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3" w:firstLineChars="200"/>
        <w:rPr>
          <w:rFonts w:cs="仿宋" w:asciiTheme="minorEastAsia" w:hAnsiTheme="minorEastAsia" w:eastAsiaTheme="minorEastAsia"/>
          <w:kern w:val="2"/>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cs="仿宋" w:asciiTheme="minorEastAsia" w:hAnsiTheme="minorEastAsia" w:eastAsiaTheme="minorEastAsia"/>
          <w:kern w:val="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黑体"/>
          <w:sz w:val="32"/>
          <w:szCs w:val="32"/>
        </w:rPr>
      </w:pPr>
      <w:r>
        <w:rPr>
          <w:rFonts w:hint="eastAsia" w:ascii="黑体" w:hAnsi="黑体" w:eastAsia="黑体" w:cs="黑体"/>
          <w:sz w:val="32"/>
          <w:szCs w:val="32"/>
        </w:rPr>
        <w:t>九、其他需要说明的事项</w:t>
      </w:r>
    </w:p>
    <w:p>
      <w:pPr>
        <w:ind w:firstLine="640" w:firstLineChars="200"/>
        <w:jc w:val="both"/>
        <w:outlineLvl w:val="0"/>
        <w:rPr>
          <w:rFonts w:ascii="仿宋" w:hAnsi="仿宋" w:eastAsia="仿宋"/>
          <w:sz w:val="32"/>
          <w:szCs w:val="32"/>
        </w:rPr>
      </w:pPr>
      <w:r>
        <w:rPr>
          <w:rFonts w:hint="eastAsia" w:cs="仿宋" w:asciiTheme="minorEastAsia" w:hAnsiTheme="minorEastAsia" w:eastAsiaTheme="minorEastAsia"/>
          <w:sz w:val="32"/>
          <w:szCs w:val="32"/>
        </w:rPr>
        <w:t>我</w:t>
      </w:r>
      <w:r>
        <w:rPr>
          <w:rFonts w:hint="eastAsia" w:cs="仿宋" w:asciiTheme="minorEastAsia" w:hAnsiTheme="minorEastAsia" w:eastAsiaTheme="minorEastAsia"/>
          <w:sz w:val="32"/>
          <w:szCs w:val="32"/>
          <w:lang w:val="en-US" w:eastAsia="zh-CN"/>
        </w:rPr>
        <w:t>单位无其他需要说明的事项。</w:t>
      </w:r>
      <w:r>
        <w:rPr>
          <w:rFonts w:ascii="仿宋" w:hAnsi="仿宋" w:eastAsia="仿宋"/>
          <w:sz w:val="32"/>
          <w:szCs w:val="32"/>
        </w:rPr>
        <w:t xml:space="preserve">                        </w:t>
      </w:r>
    </w:p>
    <w:p>
      <w:pPr>
        <w:jc w:val="center"/>
        <w:outlineLvl w:val="0"/>
        <w:rPr>
          <w:rFonts w:ascii="仿宋" w:hAnsi="仿宋" w:eastAsia="仿宋"/>
          <w:sz w:val="32"/>
          <w:szCs w:val="32"/>
        </w:rPr>
      </w:pPr>
      <w:r>
        <w:rPr>
          <w:rFonts w:ascii="仿宋" w:hAnsi="仿宋" w:eastAsia="仿宋"/>
          <w:sz w:val="32"/>
          <w:szCs w:val="32"/>
        </w:rPr>
        <w:t xml:space="preserve">                                 </w:t>
      </w: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rPr>
        <w:t>2年2月23日</w:t>
      </w:r>
    </w:p>
    <w:p>
      <w:pPr>
        <w:spacing w:line="560" w:lineRule="exact"/>
        <w:rPr>
          <w:rFonts w:ascii="宋体"/>
          <w:sz w:val="30"/>
          <w:szCs w:val="30"/>
        </w:rPr>
      </w:pPr>
    </w:p>
    <w:p>
      <w:pPr>
        <w:spacing w:line="500" w:lineRule="exact"/>
        <w:ind w:firstLine="560"/>
        <w:rPr>
          <w:lang w:eastAsia="zh-CN"/>
        </w:rPr>
      </w:pPr>
    </w:p>
    <w:p>
      <w:pPr>
        <w:jc w:val="both"/>
        <w:outlineLvl w:val="3"/>
      </w:pPr>
    </w:p>
    <w:sectPr>
      <w:headerReference r:id="rId9" w:type="default"/>
      <w:footerReference r:id="rId11" w:type="default"/>
      <w:headerReference r:id="rId10" w:type="even"/>
      <w:footerReference r:id="rId12" w:type="even"/>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12</w:t>
    </w:r>
    <w:r>
      <w:rPr>
        <w:rStyle w:val="13"/>
      </w:rP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2ZhZDNjZTIwN2ZiNmU4ODY4MDRiNTVmMjFlYmRkMTQ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6CC41AA"/>
    <w:rsid w:val="158F5031"/>
    <w:rsid w:val="22090B6C"/>
    <w:rsid w:val="2B0B2850"/>
    <w:rsid w:val="391B70EA"/>
    <w:rsid w:val="3A4B0C5C"/>
    <w:rsid w:val="3B4C2652"/>
    <w:rsid w:val="3B8F458E"/>
    <w:rsid w:val="3F033BBB"/>
    <w:rsid w:val="41293B99"/>
    <w:rsid w:val="474B1AC7"/>
    <w:rsid w:val="47A655FD"/>
    <w:rsid w:val="48390A7E"/>
    <w:rsid w:val="4B5A3EFD"/>
    <w:rsid w:val="562A7E7A"/>
    <w:rsid w:val="575B27BF"/>
    <w:rsid w:val="57D90377"/>
    <w:rsid w:val="6F6F75A8"/>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7"/>
    <w:qFormat/>
    <w:uiPriority w:val="99"/>
    <w:pPr>
      <w:tabs>
        <w:tab w:val="center" w:pos="4153"/>
        <w:tab w:val="right" w:pos="8306"/>
      </w:tabs>
      <w:snapToGrid w:val="0"/>
    </w:pPr>
    <w:rPr>
      <w:sz w:val="18"/>
      <w:szCs w:val="18"/>
    </w:rPr>
  </w:style>
  <w:style w:type="paragraph" w:styleId="4">
    <w:name w:val="header"/>
    <w:basedOn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99"/>
    <w:pPr>
      <w:jc w:val="left"/>
    </w:pPr>
    <w:rPr>
      <w:kern w:val="0"/>
      <w:sz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locked/>
    <w:uiPriority w:val="99"/>
    <w:rPr>
      <w:rFonts w:cs="Times New Roman"/>
      <w:b/>
    </w:rPr>
  </w:style>
  <w:style w:type="character" w:styleId="13">
    <w:name w:val="page number"/>
    <w:basedOn w:val="11"/>
    <w:qFormat/>
    <w:uiPriority w:val="99"/>
    <w:rPr>
      <w:rFonts w:cs="Times New Roman"/>
    </w:rPr>
  </w:style>
  <w:style w:type="paragraph" w:customStyle="1" w:styleId="14">
    <w:name w:val="单元格样式22"/>
    <w:basedOn w:val="1"/>
    <w:qFormat/>
    <w:uiPriority w:val="99"/>
    <w:pPr>
      <w:jc w:val="right"/>
    </w:pPr>
    <w:rPr>
      <w:rFonts w:ascii="方正小标宋_GBK" w:hAnsi="方正小标宋_GBK" w:eastAsia="方正小标宋_GBK" w:cs="方正小标宋_GBK"/>
    </w:rPr>
  </w:style>
  <w:style w:type="paragraph" w:customStyle="1" w:styleId="15">
    <w:name w:val="单元格样式21"/>
    <w:basedOn w:val="1"/>
    <w:qFormat/>
    <w:uiPriority w:val="99"/>
    <w:pPr>
      <w:jc w:val="center"/>
    </w:pPr>
    <w:rPr>
      <w:rFonts w:ascii="方正小标宋_GBK" w:hAnsi="方正小标宋_GBK" w:eastAsia="方正小标宋_GBK" w:cs="方正小标宋_GBK"/>
    </w:rPr>
  </w:style>
  <w:style w:type="paragraph" w:customStyle="1" w:styleId="16">
    <w:name w:val="单元格样式20"/>
    <w:basedOn w:val="1"/>
    <w:qFormat/>
    <w:uiPriority w:val="99"/>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99"/>
    <w:pPr>
      <w:jc w:val="right"/>
    </w:pPr>
    <w:rPr>
      <w:rFonts w:ascii="方正书宋_GBK" w:hAnsi="方正书宋_GBK" w:eastAsia="方正书宋_GBK" w:cs="方正书宋_GBK"/>
      <w:sz w:val="21"/>
    </w:rPr>
  </w:style>
  <w:style w:type="paragraph" w:customStyle="1" w:styleId="19">
    <w:name w:val="单元格样式2"/>
    <w:basedOn w:val="1"/>
    <w:qFormat/>
    <w:uiPriority w:val="99"/>
    <w:rPr>
      <w:rFonts w:ascii="方正书宋_GBK" w:hAnsi="方正书宋_GBK" w:eastAsia="方正书宋_GBK" w:cs="方正书宋_GBK"/>
      <w:sz w:val="21"/>
    </w:rPr>
  </w:style>
  <w:style w:type="paragraph" w:customStyle="1" w:styleId="20">
    <w:name w:val="单元格样式3"/>
    <w:basedOn w:val="1"/>
    <w:qFormat/>
    <w:uiPriority w:val="99"/>
    <w:pPr>
      <w:jc w:val="center"/>
    </w:pPr>
    <w:rPr>
      <w:rFonts w:ascii="方正书宋_GBK" w:hAnsi="方正书宋_GBK" w:eastAsia="方正书宋_GBK" w:cs="方正书宋_GBK"/>
      <w:sz w:val="21"/>
    </w:rPr>
  </w:style>
  <w:style w:type="paragraph" w:customStyle="1" w:styleId="21">
    <w:name w:val="单元格样式6"/>
    <w:basedOn w:val="1"/>
    <w:qFormat/>
    <w:uiPriority w:val="99"/>
    <w:pPr>
      <w:jc w:val="center"/>
    </w:pPr>
    <w:rPr>
      <w:rFonts w:ascii="方正书宋_GBK" w:hAnsi="方正书宋_GBK" w:eastAsia="方正书宋_GBK" w:cs="方正书宋_GBK"/>
      <w:b/>
      <w:sz w:val="21"/>
    </w:rPr>
  </w:style>
  <w:style w:type="paragraph" w:customStyle="1" w:styleId="22">
    <w:name w:val="单元格样式7"/>
    <w:basedOn w:val="1"/>
    <w:qFormat/>
    <w:uiPriority w:val="99"/>
    <w:pPr>
      <w:jc w:val="right"/>
    </w:pPr>
    <w:rPr>
      <w:rFonts w:ascii="方正书宋_GBK" w:hAnsi="方正书宋_GBK" w:eastAsia="方正书宋_GBK" w:cs="方正书宋_GBK"/>
      <w:b/>
      <w:sz w:val="21"/>
    </w:rPr>
  </w:style>
  <w:style w:type="paragraph" w:customStyle="1" w:styleId="23">
    <w:name w:val="单元格样式5"/>
    <w:basedOn w:val="1"/>
    <w:qFormat/>
    <w:uiPriority w:val="99"/>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8">
    <w:name w:val="插入文本样式-插入总体目标文件"/>
    <w:basedOn w:val="1"/>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1">
    <w:name w:val="单元格样式23"/>
    <w:basedOn w:val="1"/>
    <w:autoRedefine/>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6">
    <w:name w:val="页眉 Char"/>
    <w:basedOn w:val="11"/>
    <w:link w:val="4"/>
    <w:qFormat/>
    <w:locked/>
    <w:uiPriority w:val="99"/>
    <w:rPr>
      <w:rFonts w:eastAsia="Times New Roman" w:cs="Times New Roman"/>
      <w:sz w:val="18"/>
      <w:szCs w:val="18"/>
      <w:lang w:eastAsia="uk-UA"/>
    </w:rPr>
  </w:style>
  <w:style w:type="character" w:customStyle="1" w:styleId="37">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7806</Words>
  <Characters>9561</Characters>
  <Lines>127</Lines>
  <Paragraphs>36</Paragraphs>
  <TotalTime>8</TotalTime>
  <ScaleCrop>false</ScaleCrop>
  <LinksUpToDate>false</LinksUpToDate>
  <CharactersWithSpaces>9997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W       R</cp:lastModifiedBy>
  <dcterms:modified xsi:type="dcterms:W3CDTF">2024-01-03T03:32:39Z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