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b/>
          <w:color w:val="000000"/>
          <w:sz w:val="44"/>
        </w:rPr>
        <w:t>2023年涞水县发展和改革局部门预算信息公开目录</w:t>
      </w:r>
    </w:p>
    <w:p>
      <w:pPr>
        <w:jc w:val="center"/>
      </w:pPr>
      <w:r>
        <w:rPr>
          <w:rFonts w:hint="eastAsia" w:ascii="黑体" w:hAnsi="黑体" w:eastAsia="黑体"/>
          <w:b/>
          <w:color w:val="000000"/>
          <w:sz w:val="30"/>
        </w:rPr>
        <w:t xml:space="preserve"> </w:t>
      </w:r>
    </w:p>
    <w:p>
      <w:r>
        <w:rPr>
          <w:rFonts w:hint="eastAsia" w:ascii="方正楷体_GBK" w:hAnsi="方正楷体_GBK" w:eastAsia="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eastAsia="宋体"/>
        </w:rPr>
        <w:t>1</w:t>
      </w:r>
      <w:r>
        <w:rPr>
          <w:rFonts w:hint="eastAsia" w:eastAsia="宋体"/>
        </w:rP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eastAsia="宋体"/>
        </w:rPr>
        <w:t>3</w:t>
      </w:r>
      <w:r>
        <w:rPr>
          <w:rFonts w:hint="eastAsia" w:eastAsia="宋体"/>
        </w:rP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eastAsia="宋体"/>
        </w:rPr>
        <w:t>6</w:t>
      </w:r>
      <w:r>
        <w:rPr>
          <w:rFonts w:hint="eastAsia" w:eastAsia="宋体"/>
        </w:rP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eastAsia="宋体"/>
        </w:rPr>
        <w:t>8</w:t>
      </w:r>
      <w:r>
        <w:rPr>
          <w:rFonts w:hint="eastAsia" w:eastAsia="宋体"/>
        </w:rPr>
        <w:fldChar w:fldCharType="end"/>
      </w:r>
    </w:p>
    <w:p>
      <w:pPr>
        <w:pStyle w:val="4"/>
        <w:tabs>
          <w:tab w:val="right" w:leader="dot" w:pos="14562"/>
        </w:tabs>
        <w:rPr>
          <w:rFonts w:eastAsia="宋体"/>
        </w:rPr>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eastAsia="宋体"/>
        </w:rPr>
        <w:t>1</w:t>
      </w:r>
      <w:r>
        <w:rPr>
          <w:rFonts w:hint="eastAsia" w:eastAsia="宋体"/>
        </w:rPr>
        <w:fldChar w:fldCharType="end"/>
      </w:r>
      <w:r>
        <w:rPr>
          <w:rFonts w:hint="eastAsia" w:eastAsia="宋体"/>
        </w:rPr>
        <w:t>0</w:t>
      </w:r>
    </w:p>
    <w:p>
      <w:pPr>
        <w:pStyle w:val="4"/>
        <w:tabs>
          <w:tab w:val="right" w:leader="dot" w:pos="14562"/>
        </w:tabs>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eastAsia="宋体"/>
        </w:rPr>
        <w:t>12</w:t>
      </w:r>
      <w:r>
        <w:rPr>
          <w:rFonts w:hint="eastAsia" w:eastAsia="宋体"/>
        </w:rP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eastAsia="宋体"/>
        </w:rPr>
        <w:t>14</w:t>
      </w:r>
      <w:r>
        <w:rPr>
          <w:rFonts w:hint="eastAsia" w:eastAsia="宋体"/>
        </w:rP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eastAsia="宋体"/>
        </w:rPr>
        <w:t>15</w:t>
      </w:r>
      <w:r>
        <w:rPr>
          <w:rFonts w:hint="eastAsia" w:eastAsia="宋体"/>
        </w:rP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rPr>
        <w:t>部门预算财政拨款“三公”经费支出表</w:t>
      </w:r>
      <w:r>
        <w:tab/>
      </w:r>
      <w:r>
        <w:rPr>
          <w:rFonts w:hint="eastAsia" w:eastAsia="宋体"/>
        </w:rPr>
        <w:t>16</w:t>
      </w:r>
      <w:r>
        <w:rPr>
          <w:rFonts w:hint="eastAsia" w:eastAsia="宋体"/>
        </w:rPr>
        <w:fldChar w:fldCharType="end"/>
      </w:r>
    </w:p>
    <w:p>
      <w:pPr>
        <w:pStyle w:val="4"/>
        <w:tabs>
          <w:tab w:val="right" w:leader="dot" w:pos="14562"/>
        </w:tabs>
        <w:rPr>
          <w:rFonts w:eastAsia="Times New Roman"/>
          <w:sz w:val="24"/>
        </w:rPr>
      </w:pPr>
      <w:r>
        <w:fldChar w:fldCharType="end"/>
      </w:r>
    </w:p>
    <w:p>
      <w:pPr>
        <w:rPr>
          <w:rFonts w:ascii="方正楷体_GBK" w:hAnsi="方正楷体_GBK" w:eastAsia="方正楷体_GBK"/>
          <w:b/>
          <w:color w:val="000000"/>
          <w:sz w:val="28"/>
        </w:rPr>
      </w:pPr>
    </w:p>
    <w:p>
      <w:r>
        <w:rPr>
          <w:rFonts w:hint="eastAsia" w:ascii="方正楷体_GBK" w:hAnsi="方正楷体_GBK" w:eastAsia="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rPr>
          <w:rFonts w:hint="eastAsia"/>
        </w:rPr>
        <w:t>2</w:t>
      </w:r>
      <w:r>
        <w:rPr>
          <w:rFonts w:hint="eastAsia"/>
        </w:rPr>
        <w:fldChar w:fldCharType="end"/>
      </w:r>
      <w:r>
        <w:rPr>
          <w:rFonts w:hint="eastAsia"/>
        </w:rPr>
        <w:t>8</w:t>
      </w:r>
    </w:p>
    <w:p>
      <w:pPr>
        <w:pStyle w:val="4"/>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rPr>
          <w:rFonts w:hint="eastAsia"/>
        </w:rPr>
        <w:t>2</w:t>
      </w:r>
      <w:r>
        <w:rPr>
          <w:rFonts w:hint="eastAsia"/>
        </w:rPr>
        <w:fldChar w:fldCharType="end"/>
      </w:r>
      <w:r>
        <w:rPr>
          <w:rFonts w:hint="eastAsia"/>
        </w:rPr>
        <w:t>9</w:t>
      </w:r>
    </w:p>
    <w:p>
      <w:pPr>
        <w:pStyle w:val="4"/>
        <w:tabs>
          <w:tab w:val="right" w:leader="dot" w:pos="14562"/>
        </w:tabs>
      </w:pPr>
      <w:r>
        <w:fldChar w:fldCharType="begin"/>
      </w:r>
      <w:r>
        <w:instrText xml:space="preserve"> HYPERLINK \l "_Toc_3_3_0000000013" </w:instrText>
      </w:r>
      <w:r>
        <w:fldChar w:fldCharType="separate"/>
      </w:r>
      <w:r>
        <w:rPr>
          <w:rFonts w:hint="eastAsia"/>
        </w:rPr>
        <w:t>四、财政拨款“三公”经费预算情况及增减变化原因</w:t>
      </w:r>
      <w:r>
        <w:tab/>
      </w:r>
      <w:r>
        <w:rPr>
          <w:rFonts w:hint="eastAsia"/>
        </w:rPr>
        <w:t>2</w:t>
      </w:r>
      <w:r>
        <w:rPr>
          <w:rFonts w:hint="eastAsia"/>
        </w:rPr>
        <w:fldChar w:fldCharType="end"/>
      </w:r>
      <w:r>
        <w:rPr>
          <w:rFonts w:hint="eastAsia"/>
        </w:rPr>
        <w:t>9</w:t>
      </w:r>
    </w:p>
    <w:p>
      <w:pPr>
        <w:pStyle w:val="4"/>
        <w:tabs>
          <w:tab w:val="right" w:leader="dot" w:pos="14562"/>
        </w:tabs>
      </w:pPr>
      <w:r>
        <w:fldChar w:fldCharType="begin"/>
      </w:r>
      <w:r>
        <w:instrText xml:space="preserve"> HYPERLINK \l "_Toc_3_3_0000000014" </w:instrText>
      </w:r>
      <w:r>
        <w:fldChar w:fldCharType="separate"/>
      </w:r>
      <w:r>
        <w:rPr>
          <w:rFonts w:hint="eastAsia"/>
        </w:rPr>
        <w:t>五、预算绩效信息</w:t>
      </w:r>
      <w:r>
        <w:tab/>
      </w:r>
      <w:r>
        <w:rPr>
          <w:rFonts w:hint="eastAsia"/>
        </w:rPr>
        <w:t>3</w:t>
      </w:r>
      <w:r>
        <w:rPr>
          <w:rFonts w:hint="eastAsia"/>
        </w:rPr>
        <w:fldChar w:fldCharType="end"/>
      </w:r>
      <w:r>
        <w:rPr>
          <w:rFonts w:hint="eastAsia"/>
        </w:rPr>
        <w:t>0</w:t>
      </w:r>
    </w:p>
    <w:p>
      <w:pPr>
        <w:pStyle w:val="4"/>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rPr>
          <w:rFonts w:hint="eastAsia"/>
        </w:rPr>
        <w:t>6</w:t>
      </w:r>
      <w:r>
        <w:rPr>
          <w:rFonts w:hint="eastAsia"/>
        </w:rPr>
        <w:fldChar w:fldCharType="end"/>
      </w:r>
      <w:r>
        <w:rPr>
          <w:rFonts w:hint="eastAsia"/>
        </w:rPr>
        <w:t>8</w:t>
      </w:r>
    </w:p>
    <w:p>
      <w:pPr>
        <w:pStyle w:val="4"/>
        <w:tabs>
          <w:tab w:val="right" w:leader="dot" w:pos="14562"/>
        </w:tabs>
      </w:pPr>
      <w:r>
        <w:fldChar w:fldCharType="begin"/>
      </w:r>
      <w:r>
        <w:instrText xml:space="preserve"> HYPERLINK \l "_Toc_3_3_0000000016" </w:instrText>
      </w:r>
      <w:r>
        <w:fldChar w:fldCharType="separate"/>
      </w:r>
      <w:r>
        <w:rPr>
          <w:rFonts w:hint="eastAsia"/>
        </w:rPr>
        <w:t>七、国有资产信息</w:t>
      </w:r>
      <w:r>
        <w:tab/>
      </w:r>
      <w:r>
        <w:rPr>
          <w:rFonts w:hint="eastAsia"/>
        </w:rPr>
        <w:t>6</w:t>
      </w:r>
      <w:r>
        <w:rPr>
          <w:rFonts w:hint="eastAsia"/>
        </w:rPr>
        <w:fldChar w:fldCharType="end"/>
      </w:r>
      <w:r>
        <w:rPr>
          <w:rFonts w:hint="eastAsia"/>
        </w:rPr>
        <w:t>9</w:t>
      </w:r>
    </w:p>
    <w:p>
      <w:pPr>
        <w:pStyle w:val="4"/>
        <w:tabs>
          <w:tab w:val="right" w:leader="dot" w:pos="14562"/>
        </w:tabs>
      </w:pPr>
      <w:r>
        <w:fldChar w:fldCharType="begin"/>
      </w:r>
      <w:r>
        <w:instrText xml:space="preserve"> HYPERLINK \l "_Toc_3_3_0000000017" </w:instrText>
      </w:r>
      <w:r>
        <w:fldChar w:fldCharType="separate"/>
      </w:r>
      <w:r>
        <w:rPr>
          <w:rFonts w:hint="eastAsia"/>
        </w:rPr>
        <w:t>八、名词解释</w:t>
      </w:r>
      <w:r>
        <w:tab/>
      </w:r>
      <w:r>
        <w:rPr>
          <w:rFonts w:hint="eastAsia"/>
        </w:rPr>
        <w:t>7</w:t>
      </w:r>
      <w:r>
        <w:rPr>
          <w:rFonts w:hint="eastAsia"/>
        </w:rPr>
        <w:fldChar w:fldCharType="end"/>
      </w:r>
      <w:r>
        <w:rPr>
          <w:rFonts w:hint="eastAsia"/>
        </w:rPr>
        <w:t>0</w:t>
      </w:r>
    </w:p>
    <w:p>
      <w:pPr>
        <w:pStyle w:val="4"/>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rPr>
          <w:rFonts w:hint="eastAsia"/>
        </w:rPr>
        <w:fldChar w:fldCharType="begin"/>
      </w:r>
      <w:r>
        <w:instrText xml:space="preserve">PAGEREF _Toc_3_3_0000000018 \h</w:instrText>
      </w:r>
      <w:r>
        <w:rPr>
          <w:rFonts w:hint="eastAsia"/>
        </w:rPr>
        <w:fldChar w:fldCharType="separate"/>
      </w:r>
      <w:r>
        <w:rPr>
          <w:rFonts w:hint="eastAsia"/>
        </w:rPr>
        <w:t>70</w:t>
      </w:r>
      <w:r>
        <w:rPr>
          <w:rFonts w:hint="eastAsia"/>
        </w:rPr>
        <w:fldChar w:fldCharType="end"/>
      </w:r>
      <w:r>
        <w:rPr>
          <w:rFonts w:hint="eastAsia"/>
        </w:rPr>
        <w:fldChar w:fldCharType="end"/>
      </w:r>
    </w:p>
    <w:p>
      <w:pPr>
        <w:pStyle w:val="4"/>
        <w:tabs>
          <w:tab w:val="right" w:leader="dot" w:pos="14562"/>
        </w:tabs>
        <w:rPr>
          <w:rFonts w:eastAsia="Times New Roman"/>
          <w:sz w:val="24"/>
        </w:rPr>
      </w:pPr>
      <w:r>
        <w:fldChar w:fldCharType="end"/>
      </w:r>
    </w:p>
    <w:p>
      <w:pPr>
        <w:outlineLvl w:val="1"/>
        <w:rPr>
          <w:rFonts w:ascii="黑体" w:hAnsi="黑体" w:eastAsia="黑体"/>
          <w:b/>
          <w:color w:val="000000"/>
          <w:sz w:val="30"/>
        </w:rPr>
      </w:pPr>
    </w:p>
    <w:p>
      <w:pPr>
        <w:outlineLvl w:val="1"/>
        <w:rPr>
          <w:rFonts w:ascii="黑体" w:hAnsi="黑体" w:eastAsia="黑体"/>
          <w:b/>
          <w:color w:val="000000"/>
          <w:sz w:val="30"/>
        </w:rPr>
      </w:pPr>
    </w:p>
    <w:p>
      <w:pPr>
        <w:outlineLvl w:val="1"/>
        <w:rPr>
          <w:rFonts w:ascii="黑体" w:hAnsi="黑体" w:eastAsia="黑体"/>
          <w:b/>
          <w:color w:val="000000"/>
          <w:sz w:val="30"/>
        </w:rPr>
        <w:sectPr>
          <w:footerReference r:id="rId3" w:type="default"/>
          <w:footerReference r:id="rId4" w:type="even"/>
          <w:pgSz w:w="16840" w:h="11900" w:orient="landscape"/>
          <w:pgMar w:top="1361" w:right="1020" w:bottom="1134" w:left="1020" w:header="720" w:footer="720" w:gutter="0"/>
          <w:pgNumType w:fmt="numberInDash" w:start="1"/>
          <w:cols w:space="720" w:num="1"/>
          <w:docGrid w:type="lines" w:linePitch="312" w:charSpace="0"/>
        </w:sectPr>
      </w:pPr>
    </w:p>
    <w:p>
      <w:pPr>
        <w:outlineLvl w:val="1"/>
        <w:rPr>
          <w:rFonts w:ascii="黑体" w:hAnsi="黑体" w:eastAsia="黑体"/>
          <w:b/>
          <w:color w:val="000000"/>
          <w:sz w:val="30"/>
        </w:rPr>
      </w:pPr>
    </w:p>
    <w:tbl>
      <w:tblPr>
        <w:tblStyle w:val="6"/>
        <w:tblW w:w="14640" w:type="dxa"/>
        <w:tblInd w:w="0" w:type="dxa"/>
        <w:tblLayout w:type="fixed"/>
        <w:tblCellMar>
          <w:top w:w="15" w:type="dxa"/>
          <w:left w:w="15" w:type="dxa"/>
          <w:bottom w:w="15" w:type="dxa"/>
          <w:right w:w="15" w:type="dxa"/>
        </w:tblCellMar>
      </w:tblPr>
      <w:tblGrid>
        <w:gridCol w:w="1349"/>
        <w:gridCol w:w="2990"/>
        <w:gridCol w:w="3045"/>
        <w:gridCol w:w="3601"/>
        <w:gridCol w:w="3655"/>
      </w:tblGrid>
      <w:tr>
        <w:tblPrEx>
          <w:tblCellMar>
            <w:top w:w="15" w:type="dxa"/>
            <w:left w:w="15" w:type="dxa"/>
            <w:bottom w:w="15" w:type="dxa"/>
            <w:right w:w="15" w:type="dxa"/>
          </w:tblCellMar>
        </w:tblPrEx>
        <w:trPr>
          <w:trHeight w:val="285" w:hRule="atLeast"/>
        </w:trPr>
        <w:tc>
          <w:tcPr>
            <w:tcW w:w="14640" w:type="dxa"/>
            <w:gridSpan w:val="5"/>
            <w:tcBorders>
              <w:top w:val="nil"/>
              <w:left w:val="nil"/>
              <w:bottom w:val="nil"/>
              <w:right w:val="nil"/>
              <w:tl2br w:val="nil"/>
              <w:tr2bl w:val="nil"/>
            </w:tcBorders>
            <w:vAlign w:val="center"/>
          </w:tcPr>
          <w:p>
            <w:pPr>
              <w:jc w:val="center"/>
              <w:textAlignment w:val="center"/>
              <w:rPr>
                <w:rFonts w:ascii="宋体" w:hAnsi="宋体" w:eastAsia="宋体"/>
                <w:color w:val="000000"/>
                <w:sz w:val="22"/>
              </w:rPr>
            </w:pPr>
            <w:r>
              <w:rPr>
                <w:rFonts w:hint="eastAsia" w:ascii="方正小标宋_GBK" w:hAnsi="方正小标宋_GBK" w:eastAsia="方正小标宋_GBK"/>
                <w:color w:val="000000"/>
                <w:sz w:val="36"/>
              </w:rPr>
              <w:t>部门预算收支总表</w:t>
            </w:r>
          </w:p>
        </w:tc>
      </w:tr>
      <w:tr>
        <w:tblPrEx>
          <w:tblCellMar>
            <w:top w:w="15" w:type="dxa"/>
            <w:left w:w="15" w:type="dxa"/>
            <w:bottom w:w="15" w:type="dxa"/>
            <w:right w:w="15" w:type="dxa"/>
          </w:tblCellMar>
        </w:tblPrEx>
        <w:trPr>
          <w:trHeight w:val="285" w:hRule="atLeast"/>
        </w:trPr>
        <w:tc>
          <w:tcPr>
            <w:tcW w:w="7384" w:type="dxa"/>
            <w:gridSpan w:val="3"/>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3601" w:type="dxa"/>
            <w:tcBorders>
              <w:top w:val="nil"/>
              <w:left w:val="nil"/>
              <w:bottom w:val="nil"/>
              <w:right w:val="nil"/>
              <w:tl2br w:val="nil"/>
              <w:tr2bl w:val="nil"/>
            </w:tcBorders>
            <w:vAlign w:val="center"/>
          </w:tcPr>
          <w:p>
            <w:pPr>
              <w:pStyle w:val="14"/>
              <w:rPr>
                <w:rFonts w:hint="default"/>
              </w:rPr>
            </w:pPr>
            <w:r>
              <w:t xml:space="preserve">预算年度：2023                               </w:t>
            </w:r>
          </w:p>
        </w:tc>
        <w:tc>
          <w:tcPr>
            <w:tcW w:w="3655" w:type="dxa"/>
            <w:tcBorders>
              <w:top w:val="nil"/>
              <w:left w:val="nil"/>
              <w:bottom w:val="nil"/>
              <w:right w:val="nil"/>
              <w:tl2br w:val="nil"/>
              <w:tr2bl w:val="nil"/>
            </w:tcBorders>
            <w:vAlign w:val="center"/>
          </w:tcPr>
          <w:p>
            <w:pPr>
              <w:pStyle w:val="14"/>
              <w:rPr>
                <w:rFonts w:hint="default"/>
              </w:rPr>
            </w:pPr>
            <w:r>
              <w:t>金额单位：万元</w:t>
            </w:r>
          </w:p>
        </w:tc>
      </w:tr>
      <w:tr>
        <w:tblPrEx>
          <w:tblCellMar>
            <w:top w:w="15" w:type="dxa"/>
            <w:left w:w="15" w:type="dxa"/>
            <w:bottom w:w="15" w:type="dxa"/>
            <w:right w:w="15" w:type="dxa"/>
          </w:tblCellMar>
        </w:tblPrEx>
        <w:trPr>
          <w:trHeight w:val="285" w:hRule="atLeast"/>
        </w:trPr>
        <w:tc>
          <w:tcPr>
            <w:tcW w:w="134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60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收入</w:t>
            </w:r>
          </w:p>
        </w:tc>
        <w:tc>
          <w:tcPr>
            <w:tcW w:w="725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支出</w:t>
            </w:r>
          </w:p>
        </w:tc>
      </w:tr>
      <w:tr>
        <w:tblPrEx>
          <w:tblCellMar>
            <w:top w:w="15" w:type="dxa"/>
            <w:left w:w="15" w:type="dxa"/>
            <w:bottom w:w="15" w:type="dxa"/>
            <w:right w:w="15" w:type="dxa"/>
          </w:tblCellMar>
        </w:tblPrEx>
        <w:trPr>
          <w:trHeight w:val="285" w:hRule="atLeast"/>
        </w:trPr>
        <w:tc>
          <w:tcPr>
            <w:tcW w:w="13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29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w:t>
            </w:r>
          </w:p>
        </w:tc>
        <w:tc>
          <w:tcPr>
            <w:tcW w:w="304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预算数</w:t>
            </w:r>
          </w:p>
        </w:tc>
        <w:tc>
          <w:tcPr>
            <w:tcW w:w="360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w:t>
            </w:r>
          </w:p>
        </w:tc>
        <w:tc>
          <w:tcPr>
            <w:tcW w:w="365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预算数</w:t>
            </w:r>
          </w:p>
        </w:tc>
      </w:tr>
      <w:tr>
        <w:tblPrEx>
          <w:tblCellMar>
            <w:top w:w="15" w:type="dxa"/>
            <w:left w:w="15" w:type="dxa"/>
            <w:bottom w:w="15" w:type="dxa"/>
            <w:right w:w="15"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29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304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360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365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一、一般公共预算拨款收入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3044.80</w:t>
            </w: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一、一般公共服务支出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575.32</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二、政府性基金预算拨款收入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二、外交支出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三、国有资本经营预算拨款收入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三、国防支出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四、财政专户管理资金收入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四、公共安全支出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五、事业收入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五、教育支出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六、事业单位经营收入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六、科学技术支出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413.74</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七、上级补助收入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七、文化旅游体育与传媒支出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八、附属单位上缴收入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八、社会保障和就业支出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18.69</w:t>
            </w:r>
          </w:p>
        </w:tc>
      </w:tr>
      <w:tr>
        <w:tblPrEx>
          <w:tblCellMar>
            <w:top w:w="15" w:type="dxa"/>
            <w:left w:w="15" w:type="dxa"/>
            <w:bottom w:w="15" w:type="dxa"/>
            <w:right w:w="15" w:type="dxa"/>
          </w:tblCellMar>
        </w:tblPrEx>
        <w:trPr>
          <w:trHeight w:val="302"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九、其他收入</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九、社会保险基金支出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十、卫生健康支出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102.35</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十一、节能环保支出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7389.31</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十二、城乡社区支出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十三、农林水支出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十四、交通运输支出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十五、资源勘探工业信息等支出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r>
              <w:rPr>
                <w:rFonts w:hint="eastAsia" w:ascii="Calibri" w:hAnsi="Calibri" w:eastAsia="宋体"/>
                <w:color w:val="000000"/>
                <w:sz w:val="22"/>
              </w:rPr>
              <w:t>15</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十六、商业服务业等支出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olor w:val="000000"/>
                <w:sz w:val="22"/>
              </w:rPr>
              <w:t>10.00</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十七、金融支出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十八、援助其他地区支出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十九、自然资源海洋气象等支出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二十、住房保障支出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13.70</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二十一、粮油物资储备支出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二十二、国有资本经营预算支出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23</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二十三、灾害防治及应急管理支出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24</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二十四、预备费</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25</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二十五、其他支出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26</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二十六、转移性支出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tabs>
                <w:tab w:val="left" w:pos="2453"/>
              </w:tabs>
              <w:jc w:val="right"/>
              <w:rPr>
                <w:rFonts w:ascii="Calibri" w:hAnsi="Calibri" w:eastAsia="宋体"/>
                <w:color w:val="000000"/>
                <w:sz w:val="22"/>
              </w:rPr>
            </w:pPr>
            <w:r>
              <w:rPr>
                <w:rFonts w:hint="eastAsia" w:ascii="Calibri" w:hAnsi="Calibri" w:eastAsia="宋体"/>
                <w:color w:val="000000"/>
                <w:sz w:val="22"/>
              </w:rPr>
              <w:tab/>
            </w:r>
            <w:r>
              <w:rPr>
                <w:rFonts w:hint="eastAsia" w:ascii="Calibri" w:hAnsi="Calibri" w:eastAsia="宋体"/>
                <w:color w:val="000000"/>
                <w:sz w:val="22"/>
              </w:rPr>
              <w:t>326.00</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27</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二十七、债务还本支出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28</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二十八、债务付息支出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29</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二十九、债务发行费用支出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30</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三十、抗疫特别国债安排的支出</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31</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本年收入合计</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3044.80</w:t>
            </w: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本年支出合计</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r>
      <w:tr>
        <w:tblPrEx>
          <w:tblCellMar>
            <w:top w:w="15" w:type="dxa"/>
            <w:left w:w="15" w:type="dxa"/>
            <w:bottom w:w="15" w:type="dxa"/>
            <w:right w:w="15" w:type="dxa"/>
          </w:tblCellMar>
        </w:tblPrEx>
        <w:trPr>
          <w:trHeight w:val="30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32</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上年结转结余</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r>
              <w:rPr>
                <w:rFonts w:hint="eastAsia" w:ascii="Calibri" w:hAnsi="Calibri" w:eastAsia="宋体"/>
                <w:color w:val="000000"/>
                <w:sz w:val="22"/>
              </w:rPr>
              <w:t>5819.31</w:t>
            </w: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年终结转结余</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p>
        </w:tc>
      </w:tr>
      <w:tr>
        <w:tblPrEx>
          <w:tblCellMar>
            <w:top w:w="15" w:type="dxa"/>
            <w:left w:w="15" w:type="dxa"/>
            <w:bottom w:w="15" w:type="dxa"/>
            <w:right w:w="15" w:type="dxa"/>
          </w:tblCellMar>
        </w:tblPrEx>
        <w:trPr>
          <w:trHeight w:val="90" w:hRule="atLeast"/>
        </w:trPr>
        <w:tc>
          <w:tcPr>
            <w:tcW w:w="1349"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33</w:t>
            </w:r>
          </w:p>
        </w:tc>
        <w:tc>
          <w:tcPr>
            <w:tcW w:w="2990"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收入总计</w:t>
            </w:r>
          </w:p>
        </w:tc>
        <w:tc>
          <w:tcPr>
            <w:tcW w:w="304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c>
          <w:tcPr>
            <w:tcW w:w="360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支出总计</w:t>
            </w:r>
          </w:p>
        </w:tc>
        <w:tc>
          <w:tcPr>
            <w:tcW w:w="365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r>
    </w:tbl>
    <w:p>
      <w:pPr>
        <w:jc w:val="center"/>
        <w:textAlignment w:val="top"/>
        <w:rPr>
          <w:rFonts w:ascii="Calibri" w:hAnsi="Calibri" w:eastAsia="宋体"/>
          <w:color w:val="000000"/>
          <w:sz w:val="22"/>
        </w:rPr>
        <w:sectPr>
          <w:footerReference r:id="rId5" w:type="default"/>
          <w:footerReference r:id="rId6" w:type="even"/>
          <w:pgSz w:w="16840" w:h="11900" w:orient="landscape"/>
          <w:pgMar w:top="1361" w:right="1020" w:bottom="1134" w:left="1020" w:header="720" w:footer="720" w:gutter="0"/>
          <w:pgNumType w:fmt="numberInDash" w:start="1"/>
          <w:cols w:space="720" w:num="1"/>
          <w:docGrid w:type="lines" w:linePitch="312" w:charSpace="0"/>
        </w:sectPr>
      </w:pPr>
    </w:p>
    <w:tbl>
      <w:tblPr>
        <w:tblStyle w:val="6"/>
        <w:tblW w:w="15120" w:type="dxa"/>
        <w:tblInd w:w="0" w:type="dxa"/>
        <w:tblLayout w:type="fixed"/>
        <w:tblCellMar>
          <w:top w:w="15" w:type="dxa"/>
          <w:left w:w="15" w:type="dxa"/>
          <w:bottom w:w="15" w:type="dxa"/>
          <w:right w:w="15" w:type="dxa"/>
        </w:tblCellMar>
      </w:tblPr>
      <w:tblGrid>
        <w:gridCol w:w="608"/>
        <w:gridCol w:w="7"/>
        <w:gridCol w:w="884"/>
        <w:gridCol w:w="1677"/>
        <w:gridCol w:w="853"/>
        <w:gridCol w:w="1074"/>
        <w:gridCol w:w="1122"/>
        <w:gridCol w:w="409"/>
        <w:gridCol w:w="1065"/>
        <w:gridCol w:w="71"/>
        <w:gridCol w:w="980"/>
        <w:gridCol w:w="85"/>
        <w:gridCol w:w="980"/>
        <w:gridCol w:w="100"/>
        <w:gridCol w:w="1080"/>
        <w:gridCol w:w="225"/>
        <w:gridCol w:w="1405"/>
        <w:gridCol w:w="200"/>
        <w:gridCol w:w="865"/>
        <w:gridCol w:w="1016"/>
        <w:gridCol w:w="414"/>
      </w:tblGrid>
      <w:tr>
        <w:tblPrEx>
          <w:tblCellMar>
            <w:top w:w="15" w:type="dxa"/>
            <w:left w:w="15" w:type="dxa"/>
            <w:bottom w:w="15" w:type="dxa"/>
            <w:right w:w="15" w:type="dxa"/>
          </w:tblCellMar>
        </w:tblPrEx>
        <w:trPr>
          <w:gridAfter w:val="1"/>
          <w:wAfter w:w="414" w:type="dxa"/>
          <w:trHeight w:val="285" w:hRule="atLeast"/>
        </w:trPr>
        <w:tc>
          <w:tcPr>
            <w:tcW w:w="14706" w:type="dxa"/>
            <w:gridSpan w:val="20"/>
            <w:tcBorders>
              <w:top w:val="nil"/>
              <w:left w:val="nil"/>
              <w:bottom w:val="nil"/>
              <w:right w:val="nil"/>
              <w:tl2br w:val="nil"/>
              <w:tr2bl w:val="nil"/>
            </w:tcBorders>
            <w:vAlign w:val="center"/>
          </w:tcPr>
          <w:p>
            <w:pPr>
              <w:jc w:val="center"/>
              <w:textAlignment w:val="center"/>
              <w:rPr>
                <w:rFonts w:ascii="宋体" w:hAnsi="宋体" w:eastAsia="宋体"/>
                <w:color w:val="000000"/>
                <w:sz w:val="22"/>
              </w:rPr>
            </w:pPr>
            <w:r>
              <w:rPr>
                <w:rFonts w:hint="eastAsia" w:ascii="方正小标宋_GBK" w:hAnsi="方正小标宋_GBK" w:eastAsia="方正小标宋_GBK"/>
                <w:sz w:val="36"/>
              </w:rPr>
              <w:t>部门预算收入总表</w:t>
            </w:r>
          </w:p>
        </w:tc>
      </w:tr>
      <w:tr>
        <w:tblPrEx>
          <w:tblCellMar>
            <w:top w:w="15" w:type="dxa"/>
            <w:left w:w="15" w:type="dxa"/>
            <w:bottom w:w="15" w:type="dxa"/>
            <w:right w:w="15" w:type="dxa"/>
          </w:tblCellMar>
        </w:tblPrEx>
        <w:trPr>
          <w:gridAfter w:val="1"/>
          <w:wAfter w:w="414" w:type="dxa"/>
          <w:trHeight w:val="285" w:hRule="atLeast"/>
        </w:trPr>
        <w:tc>
          <w:tcPr>
            <w:tcW w:w="9815" w:type="dxa"/>
            <w:gridSpan w:val="13"/>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2810" w:type="dxa"/>
            <w:gridSpan w:val="4"/>
            <w:tcBorders>
              <w:top w:val="nil"/>
              <w:left w:val="nil"/>
              <w:bottom w:val="nil"/>
              <w:right w:val="nil"/>
              <w:tl2br w:val="nil"/>
              <w:tr2bl w:val="nil"/>
            </w:tcBorders>
            <w:vAlign w:val="center"/>
          </w:tcPr>
          <w:p>
            <w:pPr>
              <w:pStyle w:val="14"/>
              <w:rPr>
                <w:rFonts w:hint="default"/>
              </w:rPr>
            </w:pPr>
            <w:r>
              <w:t>预算年度：2023</w:t>
            </w:r>
          </w:p>
        </w:tc>
        <w:tc>
          <w:tcPr>
            <w:tcW w:w="2081" w:type="dxa"/>
            <w:gridSpan w:val="3"/>
            <w:tcBorders>
              <w:top w:val="nil"/>
              <w:left w:val="nil"/>
              <w:bottom w:val="nil"/>
              <w:right w:val="nil"/>
              <w:tl2br w:val="nil"/>
              <w:tr2bl w:val="nil"/>
            </w:tcBorders>
            <w:vAlign w:val="center"/>
          </w:tcPr>
          <w:p>
            <w:pPr>
              <w:pStyle w:val="14"/>
              <w:rPr>
                <w:rFonts w:hint="default"/>
              </w:rPr>
            </w:pPr>
            <w:r>
              <w:t>金额单位：万元</w:t>
            </w:r>
          </w:p>
        </w:tc>
      </w:tr>
      <w:tr>
        <w:tblPrEx>
          <w:tblCellMar>
            <w:top w:w="15" w:type="dxa"/>
            <w:left w:w="15" w:type="dxa"/>
            <w:bottom w:w="15" w:type="dxa"/>
            <w:right w:w="15" w:type="dxa"/>
          </w:tblCellMar>
        </w:tblPrEx>
        <w:trPr>
          <w:gridAfter w:val="1"/>
          <w:wAfter w:w="414" w:type="dxa"/>
          <w:trHeight w:val="285" w:hRule="atLeast"/>
        </w:trPr>
        <w:tc>
          <w:tcPr>
            <w:tcW w:w="60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256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功能分类科目</w:t>
            </w:r>
          </w:p>
        </w:tc>
        <w:tc>
          <w:tcPr>
            <w:tcW w:w="85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合计</w:t>
            </w:r>
          </w:p>
        </w:tc>
        <w:tc>
          <w:tcPr>
            <w:tcW w:w="9661" w:type="dxa"/>
            <w:gridSpan w:val="14"/>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本年收入</w:t>
            </w:r>
          </w:p>
        </w:tc>
        <w:tc>
          <w:tcPr>
            <w:tcW w:w="101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上年结转</w:t>
            </w:r>
          </w:p>
        </w:tc>
      </w:tr>
      <w:tr>
        <w:tblPrEx>
          <w:tblCellMar>
            <w:top w:w="15" w:type="dxa"/>
            <w:left w:w="15" w:type="dxa"/>
            <w:bottom w:w="15" w:type="dxa"/>
            <w:right w:w="15" w:type="dxa"/>
          </w:tblCellMar>
        </w:tblPrEx>
        <w:trPr>
          <w:gridAfter w:val="1"/>
          <w:wAfter w:w="414" w:type="dxa"/>
          <w:trHeight w:val="510" w:hRule="atLeast"/>
        </w:trPr>
        <w:tc>
          <w:tcPr>
            <w:tcW w:w="6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科目编码</w:t>
            </w:r>
          </w:p>
        </w:tc>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科目名称</w:t>
            </w:r>
          </w:p>
        </w:tc>
        <w:tc>
          <w:tcPr>
            <w:tcW w:w="85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小计</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财政拨款收入</w:t>
            </w: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财政专户收入</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事业收入</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经营收入</w:t>
            </w: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上级补助收入</w:t>
            </w:r>
          </w:p>
        </w:tc>
        <w:tc>
          <w:tcPr>
            <w:tcW w:w="140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附属单位上缴收入</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其他收入</w:t>
            </w:r>
          </w:p>
        </w:tc>
        <w:tc>
          <w:tcPr>
            <w:tcW w:w="101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r>
      <w:tr>
        <w:tblPrEx>
          <w:tblCellMar>
            <w:top w:w="15" w:type="dxa"/>
            <w:left w:w="15" w:type="dxa"/>
            <w:bottom w:w="15" w:type="dxa"/>
            <w:right w:w="15" w:type="dxa"/>
          </w:tblCellMar>
        </w:tblPrEx>
        <w:trPr>
          <w:gridAfter w:val="1"/>
          <w:wAfter w:w="414" w:type="dxa"/>
          <w:trHeight w:val="285" w:hRule="atLeast"/>
        </w:trPr>
        <w:tc>
          <w:tcPr>
            <w:tcW w:w="60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8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5</w:t>
            </w:r>
          </w:p>
        </w:tc>
        <w:tc>
          <w:tcPr>
            <w:tcW w:w="10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6</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7</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8</w:t>
            </w: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9</w:t>
            </w:r>
          </w:p>
        </w:tc>
        <w:tc>
          <w:tcPr>
            <w:tcW w:w="140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11</w:t>
            </w:r>
          </w:p>
        </w:tc>
        <w:tc>
          <w:tcPr>
            <w:tcW w:w="101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12</w:t>
            </w:r>
          </w:p>
        </w:tc>
      </w:tr>
      <w:tr>
        <w:tblPrEx>
          <w:tblCellMar>
            <w:top w:w="15" w:type="dxa"/>
            <w:left w:w="15" w:type="dxa"/>
            <w:bottom w:w="15" w:type="dxa"/>
            <w:right w:w="15" w:type="dxa"/>
          </w:tblCellMar>
        </w:tblPrEx>
        <w:trPr>
          <w:gridAfter w:val="1"/>
          <w:wAfter w:w="414" w:type="dxa"/>
          <w:trHeight w:val="300"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合计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c>
          <w:tcPr>
            <w:tcW w:w="107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3044.80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3044.80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5819.31</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一般公共服务支出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575.32</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575.32</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20104</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发展与改革事务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575.32</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575.32</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2010401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行政运行</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547.84</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547.84</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2010402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一般行政管理事务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27.48</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27.48</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科学技术支出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413.7394</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403.7394</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403.7394</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科学技术管理事务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326.96</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326.96</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2060102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一般行政管理事务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326.96</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326.96</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20604</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技术研究与开发</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26.7794</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26.7794</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2060499</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其他技术研究与开发支出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26.7794</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26.7794</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科技条件与服务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2060502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技术创新服务体系</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30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20699</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其他科学技术支出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2069999</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其他科学技术支出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208</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社会保障和就业支出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20805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行政事业单位养老支出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2080505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机关事业单位基本养老保险缴费支出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18.69</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卫生健康支出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102.353</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102.353</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102.353</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21004</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公共卫生</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93.133</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93.133</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2100410</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突发公共卫生事件应急处理</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93.133</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93.133</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21011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行政事业单位医疗</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9.22</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9.22</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2101101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行政单位医疗</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6.89</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6.89</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23</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2101103</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公务员医疗补助</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2.33</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2.33</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24</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节能环保支出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5468.31</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25</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21103</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污染防治</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5468.31</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26</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2110301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大气</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1921</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5468.31</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27</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资源勘探工业信息等支出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15</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28</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21502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制造业</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29</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2150299</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其他制造业支出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30</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21505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工业和信息产业监管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31</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2150517</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产业发展</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32</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216</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商业服务业等支出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33</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21602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商业流通事务</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34</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2160299</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其他商业流通事务支出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35</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221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住房保障支出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36</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22102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住房改革支出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37</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2210201</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住房公积金</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13.7</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38</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230</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转移性支出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39</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23002</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一般性转移支付</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r>
        <w:tblPrEx>
          <w:tblCellMar>
            <w:top w:w="15" w:type="dxa"/>
            <w:left w:w="15" w:type="dxa"/>
            <w:bottom w:w="15" w:type="dxa"/>
            <w:right w:w="15" w:type="dxa"/>
          </w:tblCellMar>
        </w:tblPrEx>
        <w:trPr>
          <w:gridAfter w:val="1"/>
          <w:wAfter w:w="414" w:type="dxa"/>
          <w:trHeight w:val="495" w:hRule="atLeast"/>
        </w:trPr>
        <w:tc>
          <w:tcPr>
            <w:tcW w:w="608"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40</w:t>
            </w:r>
          </w:p>
        </w:tc>
        <w:tc>
          <w:tcPr>
            <w:tcW w:w="891" w:type="dxa"/>
            <w:gridSpan w:val="2"/>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2300225</w:t>
            </w:r>
          </w:p>
        </w:tc>
        <w:tc>
          <w:tcPr>
            <w:tcW w:w="1677"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ascii="Calibri" w:hAnsi="Calibri" w:eastAsia="宋体" w:cs="Calibri"/>
                <w:color w:val="000000"/>
                <w:sz w:val="22"/>
                <w:szCs w:val="22"/>
                <w:lang w:bidi="ar"/>
              </w:rPr>
              <w:t>产粮（油）大县奖励资金支出</w:t>
            </w:r>
          </w:p>
        </w:tc>
        <w:tc>
          <w:tcPr>
            <w:tcW w:w="85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7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53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s="Calibri"/>
                <w:color w:val="000000"/>
                <w:sz w:val="22"/>
                <w:szCs w:val="22"/>
                <w:lang w:bidi="ar"/>
              </w:rPr>
            </w:pPr>
            <w:r>
              <w:rPr>
                <w:rFonts w:hint="eastAsia" w:ascii="Calibri" w:hAnsi="Calibri" w:eastAsia="宋体" w:cs="Calibri"/>
                <w:color w:val="000000"/>
                <w:sz w:val="22"/>
                <w:szCs w:val="22"/>
                <w:lang w:bidi="ar"/>
              </w:rPr>
              <w:t>0</w:t>
            </w:r>
          </w:p>
        </w:tc>
        <w:tc>
          <w:tcPr>
            <w:tcW w:w="106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405"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016"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r>
        <w:tblPrEx>
          <w:tblCellMar>
            <w:top w:w="15" w:type="dxa"/>
            <w:left w:w="15" w:type="dxa"/>
            <w:bottom w:w="15" w:type="dxa"/>
            <w:right w:w="15" w:type="dxa"/>
          </w:tblCellMar>
        </w:tblPrEx>
        <w:trPr>
          <w:trHeight w:val="285" w:hRule="atLeast"/>
        </w:trPr>
        <w:tc>
          <w:tcPr>
            <w:tcW w:w="15120" w:type="dxa"/>
            <w:gridSpan w:val="21"/>
            <w:tcBorders>
              <w:top w:val="nil"/>
              <w:left w:val="nil"/>
              <w:bottom w:val="nil"/>
              <w:right w:val="nil"/>
              <w:tl2br w:val="nil"/>
              <w:tr2bl w:val="nil"/>
            </w:tcBorders>
            <w:vAlign w:val="center"/>
          </w:tcPr>
          <w:p>
            <w:pPr>
              <w:jc w:val="center"/>
              <w:textAlignment w:val="center"/>
              <w:rPr>
                <w:rFonts w:ascii="方正小标宋_GBK" w:hAnsi="方正小标宋_GBK" w:eastAsia="方正小标宋_GBK"/>
                <w:color w:val="000000"/>
                <w:sz w:val="36"/>
              </w:rPr>
            </w:pPr>
            <w:bookmarkStart w:id="0" w:name="_Toc_2_2_0000000003"/>
          </w:p>
          <w:p>
            <w:pPr>
              <w:jc w:val="center"/>
              <w:textAlignment w:val="center"/>
              <w:rPr>
                <w:rFonts w:ascii="方正小标宋_GBK" w:hAnsi="方正小标宋_GBK" w:eastAsia="方正小标宋_GBK"/>
                <w:color w:val="000000"/>
                <w:sz w:val="36"/>
              </w:rPr>
            </w:pPr>
            <w:r>
              <w:rPr>
                <w:rFonts w:hint="eastAsia" w:ascii="方正小标宋_GBK" w:hAnsi="方正小标宋_GBK" w:eastAsia="方正小标宋_GBK"/>
                <w:color w:val="000000"/>
                <w:sz w:val="36"/>
              </w:rPr>
              <w:t>部门预算支出总表</w:t>
            </w:r>
          </w:p>
        </w:tc>
      </w:tr>
      <w:tr>
        <w:tblPrEx>
          <w:tblCellMar>
            <w:top w:w="15" w:type="dxa"/>
            <w:left w:w="15" w:type="dxa"/>
            <w:bottom w:w="15" w:type="dxa"/>
            <w:right w:w="15" w:type="dxa"/>
          </w:tblCellMar>
        </w:tblPrEx>
        <w:trPr>
          <w:trHeight w:val="285" w:hRule="atLeast"/>
        </w:trPr>
        <w:tc>
          <w:tcPr>
            <w:tcW w:w="10995" w:type="dxa"/>
            <w:gridSpan w:val="15"/>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1830" w:type="dxa"/>
            <w:gridSpan w:val="3"/>
            <w:tcBorders>
              <w:top w:val="nil"/>
              <w:left w:val="nil"/>
              <w:bottom w:val="nil"/>
              <w:right w:val="nil"/>
              <w:tl2br w:val="nil"/>
              <w:tr2bl w:val="nil"/>
            </w:tcBorders>
            <w:vAlign w:val="center"/>
          </w:tcPr>
          <w:p>
            <w:pPr>
              <w:pStyle w:val="14"/>
              <w:rPr>
                <w:rFonts w:hint="default"/>
              </w:rPr>
            </w:pPr>
            <w:r>
              <w:t>预算年度：2023</w:t>
            </w:r>
          </w:p>
        </w:tc>
        <w:tc>
          <w:tcPr>
            <w:tcW w:w="2295" w:type="dxa"/>
            <w:gridSpan w:val="3"/>
            <w:tcBorders>
              <w:top w:val="nil"/>
              <w:left w:val="nil"/>
              <w:bottom w:val="nil"/>
              <w:right w:val="nil"/>
              <w:tl2br w:val="nil"/>
              <w:tr2bl w:val="nil"/>
            </w:tcBorders>
            <w:vAlign w:val="center"/>
          </w:tcPr>
          <w:p>
            <w:pPr>
              <w:pStyle w:val="14"/>
              <w:rPr>
                <w:rFonts w:hint="default"/>
              </w:rPr>
            </w:pPr>
            <w:r>
              <w:t>金额单位：万元</w:t>
            </w:r>
          </w:p>
        </w:tc>
      </w:tr>
      <w:tr>
        <w:tblPrEx>
          <w:tblCellMar>
            <w:top w:w="15" w:type="dxa"/>
            <w:left w:w="15" w:type="dxa"/>
            <w:bottom w:w="15" w:type="dxa"/>
            <w:right w:w="15" w:type="dxa"/>
          </w:tblCellMar>
        </w:tblPrEx>
        <w:trPr>
          <w:trHeight w:val="285" w:hRule="atLeast"/>
        </w:trPr>
        <w:tc>
          <w:tcPr>
            <w:tcW w:w="615"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561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支出功能分类科目</w:t>
            </w:r>
          </w:p>
        </w:tc>
        <w:tc>
          <w:tcPr>
            <w:tcW w:w="1545"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本年支出合计</w:t>
            </w:r>
          </w:p>
        </w:tc>
        <w:tc>
          <w:tcPr>
            <w:tcW w:w="1065"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基本支出</w:t>
            </w:r>
          </w:p>
        </w:tc>
        <w:tc>
          <w:tcPr>
            <w:tcW w:w="108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项目支出</w:t>
            </w:r>
          </w:p>
        </w:tc>
        <w:tc>
          <w:tcPr>
            <w:tcW w:w="108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经营支出</w:t>
            </w:r>
          </w:p>
        </w:tc>
        <w:tc>
          <w:tcPr>
            <w:tcW w:w="183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上缴上级支出</w:t>
            </w:r>
          </w:p>
        </w:tc>
        <w:tc>
          <w:tcPr>
            <w:tcW w:w="2295"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对附属单位补助支出</w:t>
            </w:r>
          </w:p>
        </w:tc>
      </w:tr>
      <w:tr>
        <w:tblPrEx>
          <w:tblCellMar>
            <w:top w:w="15" w:type="dxa"/>
            <w:left w:w="15" w:type="dxa"/>
            <w:bottom w:w="15" w:type="dxa"/>
            <w:right w:w="15" w:type="dxa"/>
          </w:tblCellMar>
        </w:tblPrEx>
        <w:trPr>
          <w:trHeight w:val="285" w:hRule="atLeast"/>
        </w:trPr>
        <w:tc>
          <w:tcPr>
            <w:tcW w:w="615"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科目编码</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科目名称</w:t>
            </w:r>
          </w:p>
        </w:tc>
        <w:tc>
          <w:tcPr>
            <w:tcW w:w="154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065"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08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83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229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r>
      <w:tr>
        <w:tblPrEx>
          <w:tblCellMar>
            <w:top w:w="15" w:type="dxa"/>
            <w:left w:w="15" w:type="dxa"/>
            <w:bottom w:w="15" w:type="dxa"/>
            <w:right w:w="15" w:type="dxa"/>
          </w:tblCellMar>
        </w:tblPrEx>
        <w:trPr>
          <w:trHeight w:val="285"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5</w:t>
            </w:r>
          </w:p>
        </w:tc>
        <w:tc>
          <w:tcPr>
            <w:tcW w:w="10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6</w:t>
            </w: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7</w:t>
            </w: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8</w:t>
            </w: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884"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合计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8864.11</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589.45</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8274.6</w:t>
            </w:r>
            <w:r>
              <w:rPr>
                <w:rFonts w:hint="eastAsia" w:ascii="Calibri" w:hAnsi="Calibri" w:eastAsia="宋体" w:cs="Calibri"/>
                <w:color w:val="000000"/>
                <w:sz w:val="22"/>
                <w:szCs w:val="22"/>
                <w:lang w:bidi="ar"/>
              </w:rPr>
              <w:t>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一般公共服务支出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发展与改革事务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行政运行</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一般行政管理事务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科学技术支出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413.7394</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413.7394</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科学技术管理事务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2060102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一般行政管理事务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20604</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技术研究与开发</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2060499</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其他技术研究与开发支出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科技条件与服务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2060502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技术创新服务体系</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20699</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其他科学技术支出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2069999</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其他科学技术支出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社会保障和就业支出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20805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行政事业单位养老支出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2080505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机关事业单位基本养老保险缴费支出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卫生健康支出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102.353</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21004</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公共卫生</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2100410</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突发公共卫生事件应急处理</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行政事业单位医疗</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行政单位医疗</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23</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2101103</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公务员医疗补助</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24</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节能环保支出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25</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21103</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污染防治</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26</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2110301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大气</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27</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资源勘探工业信息等支出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15</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15</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28</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制造业</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29</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2150299</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其他制造业支出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30</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工业和信息产业监管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31</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2150517</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产业发展</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32</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商业服务业等支出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33</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商业流通事务</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34</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2160299</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其他商业流通事务支出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35</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住房保障支出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36</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住房改革支出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37</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2210201</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住房公积金</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38</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230</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转移性支出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39</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23002</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一般性转移支付</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615" w:type="dxa"/>
            <w:gridSpan w:val="2"/>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40</w:t>
            </w:r>
          </w:p>
        </w:tc>
        <w:tc>
          <w:tcPr>
            <w:tcW w:w="884"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2300225</w:t>
            </w:r>
          </w:p>
        </w:tc>
        <w:tc>
          <w:tcPr>
            <w:tcW w:w="472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产粮（油）大县奖励资金支出</w:t>
            </w:r>
          </w:p>
        </w:tc>
        <w:tc>
          <w:tcPr>
            <w:tcW w:w="154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6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 xml:space="preserve">0 </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c>
          <w:tcPr>
            <w:tcW w:w="108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830"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295" w:type="dxa"/>
            <w:gridSpan w:val="3"/>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bookmarkEnd w:id="0"/>
    </w:tbl>
    <w:p>
      <w:pPr>
        <w:jc w:val="center"/>
        <w:textAlignment w:val="center"/>
        <w:rPr>
          <w:rFonts w:ascii="方正小标宋_GBK" w:hAnsi="方正小标宋_GBK" w:eastAsia="方正小标宋_GBK"/>
          <w:color w:val="000000"/>
          <w:sz w:val="36"/>
        </w:rPr>
      </w:pPr>
      <w:bookmarkStart w:id="1" w:name="_Toc_2_2_0000000007"/>
    </w:p>
    <w:p>
      <w:pPr>
        <w:jc w:val="center"/>
        <w:textAlignment w:val="center"/>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tbl>
      <w:tblPr>
        <w:tblStyle w:val="6"/>
        <w:tblW w:w="15312" w:type="dxa"/>
        <w:tblInd w:w="0" w:type="dxa"/>
        <w:tblLayout w:type="fixed"/>
        <w:tblCellMar>
          <w:top w:w="15" w:type="dxa"/>
          <w:left w:w="15" w:type="dxa"/>
          <w:bottom w:w="15" w:type="dxa"/>
          <w:right w:w="15" w:type="dxa"/>
        </w:tblCellMar>
      </w:tblPr>
      <w:tblGrid>
        <w:gridCol w:w="580"/>
        <w:gridCol w:w="2741"/>
        <w:gridCol w:w="2768"/>
        <w:gridCol w:w="3472"/>
        <w:gridCol w:w="845"/>
        <w:gridCol w:w="1793"/>
        <w:gridCol w:w="1983"/>
        <w:gridCol w:w="1130"/>
      </w:tblGrid>
      <w:tr>
        <w:tblPrEx>
          <w:tblCellMar>
            <w:top w:w="15" w:type="dxa"/>
            <w:left w:w="15" w:type="dxa"/>
            <w:bottom w:w="15" w:type="dxa"/>
            <w:right w:w="15" w:type="dxa"/>
          </w:tblCellMar>
        </w:tblPrEx>
        <w:trPr>
          <w:trHeight w:val="285" w:hRule="atLeast"/>
        </w:trPr>
        <w:tc>
          <w:tcPr>
            <w:tcW w:w="15312" w:type="dxa"/>
            <w:gridSpan w:val="8"/>
            <w:tcBorders>
              <w:top w:val="nil"/>
              <w:left w:val="nil"/>
              <w:bottom w:val="nil"/>
              <w:right w:val="nil"/>
              <w:tl2br w:val="nil"/>
              <w:tr2bl w:val="nil"/>
            </w:tcBorders>
            <w:vAlign w:val="center"/>
          </w:tcPr>
          <w:p>
            <w:pPr>
              <w:jc w:val="center"/>
              <w:textAlignment w:val="center"/>
              <w:rPr>
                <w:rFonts w:ascii="方正小标宋_GBK" w:hAnsi="方正小标宋_GBK" w:eastAsia="方正小标宋_GBK"/>
                <w:color w:val="000000"/>
                <w:sz w:val="36"/>
              </w:rPr>
            </w:pPr>
            <w:r>
              <w:rPr>
                <w:rFonts w:hint="eastAsia" w:ascii="方正小标宋_GBK" w:hAnsi="方正小标宋_GBK" w:eastAsia="方正小标宋_GBK"/>
                <w:color w:val="000000"/>
                <w:sz w:val="36"/>
              </w:rPr>
              <w:t>部门预算财政拨款收支总表</w:t>
            </w:r>
          </w:p>
        </w:tc>
      </w:tr>
      <w:tr>
        <w:tblPrEx>
          <w:tblCellMar>
            <w:top w:w="15" w:type="dxa"/>
            <w:left w:w="15" w:type="dxa"/>
            <w:bottom w:w="15" w:type="dxa"/>
            <w:right w:w="15" w:type="dxa"/>
          </w:tblCellMar>
        </w:tblPrEx>
        <w:trPr>
          <w:trHeight w:val="285" w:hRule="atLeast"/>
        </w:trPr>
        <w:tc>
          <w:tcPr>
            <w:tcW w:w="12199" w:type="dxa"/>
            <w:gridSpan w:val="6"/>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1983" w:type="dxa"/>
            <w:tcBorders>
              <w:top w:val="nil"/>
              <w:left w:val="nil"/>
              <w:bottom w:val="nil"/>
              <w:right w:val="nil"/>
              <w:tl2br w:val="nil"/>
              <w:tr2bl w:val="nil"/>
            </w:tcBorders>
            <w:vAlign w:val="center"/>
          </w:tcPr>
          <w:p>
            <w:pPr>
              <w:pStyle w:val="14"/>
              <w:rPr>
                <w:rFonts w:hint="default"/>
                <w:szCs w:val="22"/>
              </w:rPr>
            </w:pPr>
            <w:r>
              <w:rPr>
                <w:szCs w:val="22"/>
              </w:rPr>
              <w:t>预算年度：2023</w:t>
            </w:r>
          </w:p>
        </w:tc>
        <w:tc>
          <w:tcPr>
            <w:tcW w:w="1130" w:type="dxa"/>
            <w:tcBorders>
              <w:top w:val="nil"/>
              <w:left w:val="nil"/>
              <w:bottom w:val="nil"/>
              <w:right w:val="nil"/>
              <w:tl2br w:val="nil"/>
              <w:tr2bl w:val="nil"/>
            </w:tcBorders>
            <w:vAlign w:val="center"/>
          </w:tcPr>
          <w:p>
            <w:pPr>
              <w:pStyle w:val="14"/>
              <w:rPr>
                <w:rFonts w:hint="default"/>
                <w:szCs w:val="22"/>
              </w:rPr>
            </w:pPr>
            <w:r>
              <w:rPr>
                <w:szCs w:val="22"/>
              </w:rPr>
              <w:t>金额单位：万元</w:t>
            </w:r>
          </w:p>
        </w:tc>
      </w:tr>
      <w:tr>
        <w:tblPrEx>
          <w:tblCellMar>
            <w:top w:w="15" w:type="dxa"/>
            <w:left w:w="15" w:type="dxa"/>
            <w:bottom w:w="15" w:type="dxa"/>
            <w:right w:w="15" w:type="dxa"/>
          </w:tblCellMar>
        </w:tblPrEx>
        <w:trPr>
          <w:trHeight w:val="285" w:hRule="atLeast"/>
        </w:trPr>
        <w:tc>
          <w:tcPr>
            <w:tcW w:w="58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550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收入</w:t>
            </w:r>
          </w:p>
        </w:tc>
        <w:tc>
          <w:tcPr>
            <w:tcW w:w="922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支出</w:t>
            </w:r>
          </w:p>
        </w:tc>
      </w:tr>
      <w:tr>
        <w:tblPrEx>
          <w:tblCellMar>
            <w:top w:w="15" w:type="dxa"/>
            <w:left w:w="15" w:type="dxa"/>
            <w:bottom w:w="15" w:type="dxa"/>
            <w:right w:w="15" w:type="dxa"/>
          </w:tblCellMar>
        </w:tblPrEx>
        <w:trPr>
          <w:trHeight w:val="720" w:hRule="atLeast"/>
        </w:trPr>
        <w:tc>
          <w:tcPr>
            <w:tcW w:w="5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274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w:t>
            </w:r>
          </w:p>
        </w:tc>
        <w:tc>
          <w:tcPr>
            <w:tcW w:w="27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金额</w:t>
            </w: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合计</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一般公共预算财政拨款</w:t>
            </w:r>
          </w:p>
        </w:tc>
        <w:tc>
          <w:tcPr>
            <w:tcW w:w="198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政府性基金预算财政拨款</w:t>
            </w:r>
          </w:p>
        </w:tc>
        <w:tc>
          <w:tcPr>
            <w:tcW w:w="113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国有资本经营预算财政拨款</w:t>
            </w:r>
          </w:p>
        </w:tc>
      </w:tr>
      <w:tr>
        <w:tblPrEx>
          <w:tblCellMar>
            <w:top w:w="15" w:type="dxa"/>
            <w:left w:w="15" w:type="dxa"/>
            <w:bottom w:w="15" w:type="dxa"/>
            <w:right w:w="15" w:type="dxa"/>
          </w:tblCellMar>
        </w:tblPrEx>
        <w:trPr>
          <w:trHeight w:val="285" w:hRule="atLeast"/>
        </w:trPr>
        <w:tc>
          <w:tcPr>
            <w:tcW w:w="5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274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27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5</w:t>
            </w:r>
          </w:p>
        </w:tc>
        <w:tc>
          <w:tcPr>
            <w:tcW w:w="198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6</w:t>
            </w:r>
          </w:p>
        </w:tc>
        <w:tc>
          <w:tcPr>
            <w:tcW w:w="113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7</w:t>
            </w: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一、一般公共预算拨款</w:t>
            </w: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olor w:val="000000"/>
                <w:sz w:val="22"/>
              </w:rPr>
              <w:t>3044.</w:t>
            </w:r>
            <w:r>
              <w:rPr>
                <w:rFonts w:hint="eastAsia" w:ascii="Calibri" w:hAnsi="Calibri" w:eastAsia="宋体"/>
                <w:color w:val="000000"/>
                <w:sz w:val="22"/>
              </w:rPr>
              <w:t>80</w:t>
            </w: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一、一般公共服务支出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575.32</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575.32</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二、政府性基金预算拨款</w:t>
            </w: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二、外交支出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三、国有资本经营预算拨款</w:t>
            </w: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三、国防支出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四、公共安全支出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五、教育支出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六、科学技术支出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413.74</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413.74</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七、文化旅游体育与传媒支出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八、社会保障和就业支出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18.69</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18.69</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九、社会保险基金支出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十、卫生健康支出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102.35</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102.35</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十一、节能环保支出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7389.31</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7389.31</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十二、城乡社区支出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十三、农林水支出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十四、交通运输支出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十五、资源勘探工业信息等支出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15</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15</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十六、商业服务业等支出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十七、金融支出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十八、援助其他地区支出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十九、自然资源海洋气象等支出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二十、住房保障支出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13.7</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13.7</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二十一、粮油物资储备支出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二十二、国有资本经营预算支出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23</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二十三、灾害防治及应急管理支出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24</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二十四、预备费</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25</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二十五、其他支出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26</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二十六、转移性支出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326</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326</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27</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二十七、债务还本支出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28</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二十八、债务付息支出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29</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二十九、债务发行费用支出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30</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3472"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三十、抗疫特别国债安排的支出</w:t>
            </w:r>
          </w:p>
        </w:tc>
        <w:tc>
          <w:tcPr>
            <w:tcW w:w="845"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793"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textAlignment w:val="top"/>
              <w:rPr>
                <w:rFonts w:ascii="Calibri" w:hAnsi="Calibri" w:eastAsia="宋体"/>
                <w:color w:val="000000"/>
                <w:sz w:val="22"/>
                <w:szCs w:val="22"/>
              </w:rPr>
            </w:pPr>
            <w:r>
              <w:rPr>
                <w:rFonts w:hint="eastAsia" w:ascii="Calibri" w:hAnsi="Calibri" w:eastAsia="宋体"/>
                <w:color w:val="000000"/>
                <w:sz w:val="22"/>
                <w:szCs w:val="22"/>
              </w:rPr>
              <w:t>0</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r>
        <w:tblPrEx>
          <w:tblCellMar>
            <w:top w:w="15" w:type="dxa"/>
            <w:left w:w="15" w:type="dxa"/>
            <w:bottom w:w="15" w:type="dxa"/>
            <w:right w:w="15" w:type="dxa"/>
          </w:tblCellMar>
        </w:tblPrEx>
        <w:trPr>
          <w:trHeight w:val="300" w:hRule="atLeast"/>
        </w:trPr>
        <w:tc>
          <w:tcPr>
            <w:tcW w:w="580"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31</w:t>
            </w:r>
          </w:p>
        </w:tc>
        <w:tc>
          <w:tcPr>
            <w:tcW w:w="2741"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本年收入合计</w:t>
            </w:r>
          </w:p>
        </w:tc>
        <w:tc>
          <w:tcPr>
            <w:tcW w:w="2768"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olor w:val="000000"/>
                <w:sz w:val="22"/>
              </w:rPr>
              <w:t>3044.80</w:t>
            </w:r>
          </w:p>
        </w:tc>
        <w:tc>
          <w:tcPr>
            <w:tcW w:w="3472"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本年支出合计</w:t>
            </w:r>
          </w:p>
        </w:tc>
        <w:tc>
          <w:tcPr>
            <w:tcW w:w="845"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c>
          <w:tcPr>
            <w:tcW w:w="179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c>
          <w:tcPr>
            <w:tcW w:w="198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p>
        </w:tc>
        <w:tc>
          <w:tcPr>
            <w:tcW w:w="1130"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r>
    </w:tbl>
    <w:p>
      <w:pPr>
        <w:jc w:val="center"/>
        <w:outlineLvl w:val="1"/>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p>
      <w:pPr>
        <w:jc w:val="both"/>
        <w:textAlignment w:val="center"/>
        <w:rPr>
          <w:rFonts w:ascii="方正小标宋_GBK" w:hAnsi="方正小标宋_GBK" w:eastAsia="方正小标宋_GBK"/>
          <w:color w:val="000000"/>
          <w:sz w:val="36"/>
        </w:rPr>
      </w:pPr>
    </w:p>
    <w:p>
      <w:pPr>
        <w:jc w:val="center"/>
        <w:textAlignment w:val="center"/>
        <w:rPr>
          <w:rFonts w:ascii="方正小标宋_GBK" w:hAnsi="方正小标宋_GBK" w:eastAsia="方正小标宋_GBK"/>
          <w:color w:val="000000"/>
          <w:sz w:val="36"/>
        </w:rPr>
      </w:pPr>
    </w:p>
    <w:tbl>
      <w:tblPr>
        <w:tblStyle w:val="6"/>
        <w:tblW w:w="14473" w:type="dxa"/>
        <w:tblInd w:w="0" w:type="dxa"/>
        <w:tblLayout w:type="fixed"/>
        <w:tblCellMar>
          <w:top w:w="15" w:type="dxa"/>
          <w:left w:w="15" w:type="dxa"/>
          <w:bottom w:w="15" w:type="dxa"/>
          <w:right w:w="15" w:type="dxa"/>
        </w:tblCellMar>
      </w:tblPr>
      <w:tblGrid>
        <w:gridCol w:w="693"/>
        <w:gridCol w:w="1200"/>
        <w:gridCol w:w="4566"/>
        <w:gridCol w:w="1437"/>
        <w:gridCol w:w="922"/>
        <w:gridCol w:w="633"/>
        <w:gridCol w:w="1539"/>
        <w:gridCol w:w="1113"/>
        <w:gridCol w:w="2370"/>
      </w:tblGrid>
      <w:tr>
        <w:tblPrEx>
          <w:tblCellMar>
            <w:top w:w="15" w:type="dxa"/>
            <w:left w:w="15" w:type="dxa"/>
            <w:bottom w:w="15" w:type="dxa"/>
            <w:right w:w="15" w:type="dxa"/>
          </w:tblCellMar>
        </w:tblPrEx>
        <w:trPr>
          <w:trHeight w:val="319" w:hRule="atLeast"/>
        </w:trPr>
        <w:tc>
          <w:tcPr>
            <w:tcW w:w="14473" w:type="dxa"/>
            <w:gridSpan w:val="9"/>
            <w:tcBorders>
              <w:top w:val="nil"/>
              <w:left w:val="nil"/>
              <w:bottom w:val="nil"/>
              <w:right w:val="nil"/>
              <w:tl2br w:val="nil"/>
              <w:tr2bl w:val="nil"/>
            </w:tcBorders>
            <w:vAlign w:val="center"/>
          </w:tcPr>
          <w:p>
            <w:pPr>
              <w:jc w:val="center"/>
              <w:textAlignment w:val="center"/>
              <w:rPr>
                <w:rFonts w:ascii="方正小标宋_GBK" w:hAnsi="方正小标宋_GBK" w:eastAsia="方正小标宋_GBK"/>
                <w:color w:val="000000"/>
                <w:sz w:val="36"/>
              </w:rPr>
            </w:pPr>
            <w:r>
              <w:rPr>
                <w:rFonts w:hint="eastAsia" w:ascii="方正小标宋_GBK" w:hAnsi="方正小标宋_GBK" w:eastAsia="方正小标宋_GBK"/>
                <w:color w:val="000000"/>
                <w:sz w:val="36"/>
              </w:rPr>
              <w:t>部门预算一般公共预算财政拨款支出表</w:t>
            </w:r>
          </w:p>
        </w:tc>
      </w:tr>
      <w:tr>
        <w:tblPrEx>
          <w:tblCellMar>
            <w:top w:w="15" w:type="dxa"/>
            <w:left w:w="15" w:type="dxa"/>
            <w:bottom w:w="15" w:type="dxa"/>
            <w:right w:w="15" w:type="dxa"/>
          </w:tblCellMar>
        </w:tblPrEx>
        <w:trPr>
          <w:trHeight w:val="608" w:hRule="atLeast"/>
        </w:trPr>
        <w:tc>
          <w:tcPr>
            <w:tcW w:w="8818" w:type="dxa"/>
            <w:gridSpan w:val="5"/>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3285" w:type="dxa"/>
            <w:gridSpan w:val="3"/>
            <w:tcBorders>
              <w:top w:val="nil"/>
              <w:left w:val="nil"/>
              <w:bottom w:val="nil"/>
              <w:right w:val="nil"/>
              <w:tl2br w:val="nil"/>
              <w:tr2bl w:val="nil"/>
            </w:tcBorders>
            <w:vAlign w:val="center"/>
          </w:tcPr>
          <w:p>
            <w:pPr>
              <w:pStyle w:val="14"/>
              <w:rPr>
                <w:rFonts w:hint="default"/>
              </w:rPr>
            </w:pPr>
            <w:r>
              <w:t>预算年度：2023</w:t>
            </w:r>
          </w:p>
        </w:tc>
        <w:tc>
          <w:tcPr>
            <w:tcW w:w="2370" w:type="dxa"/>
            <w:tcBorders>
              <w:top w:val="nil"/>
              <w:left w:val="nil"/>
              <w:bottom w:val="nil"/>
              <w:right w:val="nil"/>
              <w:tl2br w:val="nil"/>
              <w:tr2bl w:val="nil"/>
            </w:tcBorders>
            <w:vAlign w:val="center"/>
          </w:tcPr>
          <w:p>
            <w:pPr>
              <w:pStyle w:val="14"/>
              <w:rPr>
                <w:rFonts w:hint="default"/>
              </w:rPr>
            </w:pPr>
            <w:r>
              <w:t>金额单位：万元</w:t>
            </w:r>
          </w:p>
        </w:tc>
      </w:tr>
      <w:tr>
        <w:tblPrEx>
          <w:tblCellMar>
            <w:top w:w="15" w:type="dxa"/>
            <w:left w:w="15" w:type="dxa"/>
            <w:bottom w:w="15" w:type="dxa"/>
            <w:right w:w="15" w:type="dxa"/>
          </w:tblCellMar>
        </w:tblPrEx>
        <w:trPr>
          <w:trHeight w:val="329" w:hRule="atLeast"/>
        </w:trPr>
        <w:tc>
          <w:tcPr>
            <w:tcW w:w="69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57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支出功能分类科目</w:t>
            </w:r>
          </w:p>
        </w:tc>
        <w:tc>
          <w:tcPr>
            <w:tcW w:w="143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合计</w:t>
            </w:r>
          </w:p>
        </w:tc>
        <w:tc>
          <w:tcPr>
            <w:tcW w:w="420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基本支出</w:t>
            </w:r>
          </w:p>
        </w:tc>
        <w:tc>
          <w:tcPr>
            <w:tcW w:w="237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项目支出</w:t>
            </w:r>
          </w:p>
        </w:tc>
      </w:tr>
      <w:tr>
        <w:tblPrEx>
          <w:tblCellMar>
            <w:top w:w="15" w:type="dxa"/>
            <w:left w:w="15" w:type="dxa"/>
            <w:bottom w:w="15" w:type="dxa"/>
            <w:right w:w="15" w:type="dxa"/>
          </w:tblCellMar>
        </w:tblPrEx>
        <w:trPr>
          <w:trHeight w:val="329" w:hRule="atLeast"/>
        </w:trPr>
        <w:tc>
          <w:tcPr>
            <w:tcW w:w="69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科目编码</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科目名称</w:t>
            </w:r>
          </w:p>
        </w:tc>
        <w:tc>
          <w:tcPr>
            <w:tcW w:w="143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小计</w:t>
            </w:r>
          </w:p>
        </w:tc>
        <w:tc>
          <w:tcPr>
            <w:tcW w:w="15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人员经费</w:t>
            </w:r>
          </w:p>
        </w:tc>
        <w:tc>
          <w:tcPr>
            <w:tcW w:w="111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公用经费</w:t>
            </w:r>
          </w:p>
        </w:tc>
        <w:tc>
          <w:tcPr>
            <w:tcW w:w="23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r>
      <w:tr>
        <w:tblPrEx>
          <w:tblCellMar>
            <w:top w:w="15" w:type="dxa"/>
            <w:left w:w="15" w:type="dxa"/>
            <w:bottom w:w="15" w:type="dxa"/>
            <w:right w:w="15" w:type="dxa"/>
          </w:tblCellMar>
        </w:tblPrEx>
        <w:trPr>
          <w:trHeight w:val="329" w:hRule="atLeast"/>
        </w:trPr>
        <w:tc>
          <w:tcPr>
            <w:tcW w:w="6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143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c>
          <w:tcPr>
            <w:tcW w:w="15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5</w:t>
            </w:r>
          </w:p>
        </w:tc>
        <w:tc>
          <w:tcPr>
            <w:tcW w:w="111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6</w:t>
            </w:r>
          </w:p>
        </w:tc>
        <w:tc>
          <w:tcPr>
            <w:tcW w:w="237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7</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1200" w:type="dxa"/>
            <w:tcBorders>
              <w:top w:val="single" w:color="000000" w:sz="4" w:space="0"/>
              <w:left w:val="single" w:color="000000" w:sz="4" w:space="0"/>
              <w:bottom w:val="single" w:color="000000" w:sz="4" w:space="0"/>
              <w:right w:val="single" w:color="000000" w:sz="4" w:space="0"/>
              <w:tl2br w:val="nil"/>
              <w:tr2bl w:val="nil"/>
            </w:tcBorders>
          </w:tcPr>
          <w:p>
            <w:pPr>
              <w:rPr>
                <w:rFonts w:ascii="Calibri" w:hAnsi="Calibri" w:eastAsia="宋体"/>
                <w:color w:val="000000"/>
                <w:sz w:val="22"/>
              </w:rPr>
            </w:pPr>
          </w:p>
        </w:tc>
        <w:tc>
          <w:tcPr>
            <w:tcW w:w="4566" w:type="dxa"/>
            <w:tcBorders>
              <w:top w:val="single" w:color="000000" w:sz="4" w:space="0"/>
              <w:left w:val="single" w:color="000000" w:sz="4" w:space="0"/>
              <w:bottom w:val="single" w:color="000000" w:sz="4" w:space="0"/>
              <w:right w:val="single" w:color="000000" w:sz="4" w:space="0"/>
              <w:tl2br w:val="nil"/>
              <w:tr2bl w:val="nil"/>
            </w:tcBorders>
          </w:tcPr>
          <w:p>
            <w:pPr>
              <w:textAlignment w:val="top"/>
              <w:rPr>
                <w:rFonts w:ascii="Calibri" w:hAnsi="Calibri" w:eastAsia="宋体"/>
                <w:color w:val="000000"/>
                <w:sz w:val="22"/>
              </w:rPr>
            </w:pPr>
            <w:r>
              <w:rPr>
                <w:rFonts w:hint="eastAsia" w:ascii="Calibri" w:hAnsi="Calibri" w:eastAsia="宋体"/>
                <w:color w:val="000000"/>
                <w:sz w:val="22"/>
              </w:rPr>
              <w:t>合计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8864.11</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589.45</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510.68</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78.77</w:t>
            </w: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bidi="ar"/>
              </w:rPr>
              <w:t>8274.66</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一般公共服务支出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510.68</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78.77</w:t>
            </w: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发展与改革事务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575.32</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510.68</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78.77</w:t>
            </w: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行政运行</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547.84</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510.68</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hint="eastAsia" w:ascii="Calibri" w:hAnsi="Calibri" w:eastAsia="宋体"/>
                <w:color w:val="000000"/>
                <w:sz w:val="22"/>
              </w:rPr>
              <w:t>78.77</w:t>
            </w: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2010402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一般行政管理事务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27.48</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科学技术支出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413.7394</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413.7394</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科学技术管理事务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2060102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一般行政管理事务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326.96</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20604</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技术研究与开发</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2060499</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其他技术研究与开发支出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26.7794</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科技条件与服务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2060502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技术创新服务体系</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20699</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其他科学技术支出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2069999</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其他科学技术支出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社会保障和就业支出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20805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行政事业单位养老支出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2080505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机关事业单位基本养老保险缴费支出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卫生健康支出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102.353</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21004</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公共卫生</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2100410</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突发公共卫生事件应急处理</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93.133</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行政事业单位医疗</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9.22</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行政单位医疗</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23</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2101103</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公务员医疗补助</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24</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节能环保支出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25</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21103</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污染防治</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26</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2110301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大气</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7389.31</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27</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资源勘探工业信息等支出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15</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15</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28</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制造业</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29</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2150299</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其他制造业支出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30</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工业和信息产业监管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31</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2150517</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产业发展</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32</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商业服务业等支出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33</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商业流通事务</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34</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2160299</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其他商业流通事务支出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35</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住房保障支出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4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36</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住房改革支出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5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37</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2210201</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住房公积金</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35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230</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转移性支出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326</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r>
        <w:tblPrEx>
          <w:tblCellMar>
            <w:top w:w="15" w:type="dxa"/>
            <w:left w:w="15" w:type="dxa"/>
            <w:bottom w:w="15" w:type="dxa"/>
            <w:right w:w="15" w:type="dxa"/>
          </w:tblCellMar>
        </w:tblPrEx>
        <w:trPr>
          <w:trHeight w:val="35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23002</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一般性转移支付</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326</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r>
        <w:tblPrEx>
          <w:tblCellMar>
            <w:top w:w="15" w:type="dxa"/>
            <w:left w:w="15" w:type="dxa"/>
            <w:bottom w:w="15" w:type="dxa"/>
            <w:right w:w="15" w:type="dxa"/>
          </w:tblCellMar>
        </w:tblPrEx>
        <w:trPr>
          <w:trHeight w:val="354" w:hRule="atLeast"/>
        </w:trPr>
        <w:tc>
          <w:tcPr>
            <w:tcW w:w="693"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2300225</w:t>
            </w:r>
          </w:p>
        </w:tc>
        <w:tc>
          <w:tcPr>
            <w:tcW w:w="45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产粮（油）大县奖励资金支出</w:t>
            </w:r>
          </w:p>
        </w:tc>
        <w:tc>
          <w:tcPr>
            <w:tcW w:w="143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326</w:t>
            </w:r>
          </w:p>
        </w:tc>
        <w:tc>
          <w:tcPr>
            <w:tcW w:w="1555" w:type="dxa"/>
            <w:gridSpan w:val="2"/>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s="Calibri"/>
                <w:color w:val="000000"/>
                <w:sz w:val="22"/>
                <w:szCs w:val="22"/>
                <w:lang w:bidi="ar"/>
              </w:rPr>
            </w:pPr>
            <w:r>
              <w:rPr>
                <w:rFonts w:ascii="Calibri" w:hAnsi="Calibri" w:eastAsia="宋体" w:cs="Calibri"/>
                <w:color w:val="000000"/>
                <w:sz w:val="22"/>
                <w:szCs w:val="22"/>
                <w:lang w:bidi="ar"/>
              </w:rPr>
              <w:t>0</w:t>
            </w:r>
          </w:p>
        </w:tc>
        <w:tc>
          <w:tcPr>
            <w:tcW w:w="1539"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1113" w:type="dxa"/>
            <w:tcBorders>
              <w:top w:val="single" w:color="000000" w:sz="4" w:space="0"/>
              <w:left w:val="single" w:color="000000" w:sz="4" w:space="0"/>
              <w:bottom w:val="single" w:color="000000" w:sz="4" w:space="0"/>
              <w:right w:val="single" w:color="000000" w:sz="4" w:space="0"/>
              <w:tl2br w:val="nil"/>
              <w:tr2bl w:val="nil"/>
            </w:tcBorders>
          </w:tcPr>
          <w:p>
            <w:pPr>
              <w:jc w:val="right"/>
              <w:rPr>
                <w:rFonts w:ascii="Calibri" w:hAnsi="Calibri" w:eastAsia="宋体"/>
                <w:color w:val="000000"/>
                <w:sz w:val="22"/>
              </w:rPr>
            </w:pPr>
          </w:p>
        </w:tc>
        <w:tc>
          <w:tcPr>
            <w:tcW w:w="237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326</w:t>
            </w:r>
          </w:p>
        </w:tc>
      </w:tr>
    </w:tbl>
    <w:p>
      <w:pPr>
        <w:jc w:val="both"/>
        <w:outlineLvl w:val="1"/>
        <w:rPr>
          <w:rFonts w:ascii="方正小标宋_GBK" w:hAnsi="方正小标宋_GBK" w:eastAsia="方正小标宋_GBK"/>
          <w:color w:val="000000"/>
          <w:sz w:val="36"/>
        </w:rPr>
      </w:pPr>
    </w:p>
    <w:tbl>
      <w:tblPr>
        <w:tblStyle w:val="6"/>
        <w:tblW w:w="14980" w:type="dxa"/>
        <w:tblInd w:w="0" w:type="dxa"/>
        <w:tblLayout w:type="fixed"/>
        <w:tblCellMar>
          <w:top w:w="15" w:type="dxa"/>
          <w:left w:w="15" w:type="dxa"/>
          <w:bottom w:w="15" w:type="dxa"/>
          <w:right w:w="15" w:type="dxa"/>
        </w:tblCellMar>
      </w:tblPr>
      <w:tblGrid>
        <w:gridCol w:w="876"/>
        <w:gridCol w:w="1517"/>
        <w:gridCol w:w="5066"/>
        <w:gridCol w:w="2350"/>
        <w:gridCol w:w="2607"/>
        <w:gridCol w:w="2564"/>
      </w:tblGrid>
      <w:tr>
        <w:tblPrEx>
          <w:tblCellMar>
            <w:top w:w="15" w:type="dxa"/>
            <w:left w:w="15" w:type="dxa"/>
            <w:bottom w:w="15" w:type="dxa"/>
            <w:right w:w="15" w:type="dxa"/>
          </w:tblCellMar>
        </w:tblPrEx>
        <w:trPr>
          <w:trHeight w:val="1097" w:hRule="atLeast"/>
        </w:trPr>
        <w:tc>
          <w:tcPr>
            <w:tcW w:w="14980" w:type="dxa"/>
            <w:gridSpan w:val="6"/>
            <w:tcBorders>
              <w:top w:val="nil"/>
              <w:left w:val="nil"/>
              <w:bottom w:val="nil"/>
              <w:right w:val="nil"/>
              <w:tl2br w:val="nil"/>
              <w:tr2bl w:val="nil"/>
            </w:tcBorders>
            <w:vAlign w:val="center"/>
          </w:tcPr>
          <w:p>
            <w:pPr>
              <w:jc w:val="center"/>
              <w:textAlignment w:val="center"/>
              <w:rPr>
                <w:rFonts w:ascii="宋体" w:hAnsi="宋体" w:eastAsia="宋体"/>
                <w:color w:val="000000"/>
                <w:sz w:val="22"/>
              </w:rPr>
            </w:pPr>
            <w:r>
              <w:rPr>
                <w:rFonts w:hint="eastAsia" w:ascii="方正小标宋_GBK" w:hAnsi="方正小标宋_GBK" w:eastAsia="方正小标宋_GBK"/>
                <w:color w:val="000000"/>
                <w:sz w:val="36"/>
              </w:rPr>
              <w:t>部门预算一般公共预算财政拨款基本支出表</w:t>
            </w:r>
          </w:p>
        </w:tc>
      </w:tr>
      <w:tr>
        <w:tblPrEx>
          <w:tblCellMar>
            <w:top w:w="15" w:type="dxa"/>
            <w:left w:w="15" w:type="dxa"/>
            <w:bottom w:w="15" w:type="dxa"/>
            <w:right w:w="15" w:type="dxa"/>
          </w:tblCellMar>
        </w:tblPrEx>
        <w:trPr>
          <w:trHeight w:val="541" w:hRule="atLeast"/>
        </w:trPr>
        <w:tc>
          <w:tcPr>
            <w:tcW w:w="9809" w:type="dxa"/>
            <w:gridSpan w:val="4"/>
            <w:tcBorders>
              <w:top w:val="nil"/>
              <w:left w:val="nil"/>
              <w:bottom w:val="nil"/>
              <w:right w:val="nil"/>
              <w:tl2br w:val="nil"/>
              <w:tr2bl w:val="nil"/>
            </w:tcBorders>
            <w:vAlign w:val="center"/>
          </w:tcPr>
          <w:p>
            <w:pPr>
              <w:pStyle w:val="14"/>
              <w:rPr>
                <w:rFonts w:hint="default"/>
              </w:rPr>
            </w:pPr>
            <w:r>
              <w:t>预算单位编码及名称：[303]涞水县发展和改革局</w:t>
            </w:r>
          </w:p>
        </w:tc>
        <w:tc>
          <w:tcPr>
            <w:tcW w:w="2607" w:type="dxa"/>
            <w:tcBorders>
              <w:top w:val="nil"/>
              <w:left w:val="nil"/>
              <w:bottom w:val="nil"/>
              <w:right w:val="nil"/>
              <w:tl2br w:val="nil"/>
              <w:tr2bl w:val="nil"/>
            </w:tcBorders>
            <w:vAlign w:val="center"/>
          </w:tcPr>
          <w:p>
            <w:pPr>
              <w:pStyle w:val="14"/>
              <w:rPr>
                <w:rFonts w:hint="default"/>
              </w:rPr>
            </w:pPr>
            <w:r>
              <w:t>预算年度：2023</w:t>
            </w:r>
          </w:p>
        </w:tc>
        <w:tc>
          <w:tcPr>
            <w:tcW w:w="2564" w:type="dxa"/>
            <w:tcBorders>
              <w:top w:val="nil"/>
              <w:left w:val="nil"/>
              <w:bottom w:val="nil"/>
              <w:right w:val="nil"/>
              <w:tl2br w:val="nil"/>
              <w:tr2bl w:val="nil"/>
            </w:tcBorders>
            <w:vAlign w:val="center"/>
          </w:tcPr>
          <w:p>
            <w:pPr>
              <w:pStyle w:val="14"/>
              <w:rPr>
                <w:rFonts w:hint="default"/>
              </w:rPr>
            </w:pPr>
            <w:r>
              <w:t>金额单位：万元</w:t>
            </w:r>
          </w:p>
        </w:tc>
      </w:tr>
      <w:tr>
        <w:tblPrEx>
          <w:tblCellMar>
            <w:top w:w="15" w:type="dxa"/>
            <w:left w:w="15" w:type="dxa"/>
            <w:bottom w:w="15" w:type="dxa"/>
            <w:right w:w="15" w:type="dxa"/>
          </w:tblCellMar>
        </w:tblPrEx>
        <w:trPr>
          <w:trHeight w:val="551" w:hRule="atLeast"/>
        </w:trPr>
        <w:tc>
          <w:tcPr>
            <w:tcW w:w="87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序号</w:t>
            </w:r>
          </w:p>
        </w:tc>
        <w:tc>
          <w:tcPr>
            <w:tcW w:w="658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支出部门经济分类科目</w:t>
            </w:r>
          </w:p>
        </w:tc>
        <w:tc>
          <w:tcPr>
            <w:tcW w:w="752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一般公共预算基本支出</w:t>
            </w:r>
          </w:p>
        </w:tc>
      </w:tr>
      <w:tr>
        <w:tblPrEx>
          <w:tblCellMar>
            <w:top w:w="15" w:type="dxa"/>
            <w:left w:w="15" w:type="dxa"/>
            <w:bottom w:w="15" w:type="dxa"/>
            <w:right w:w="15" w:type="dxa"/>
          </w:tblCellMar>
        </w:tblPrEx>
        <w:trPr>
          <w:trHeight w:val="551" w:hRule="atLeast"/>
        </w:trPr>
        <w:tc>
          <w:tcPr>
            <w:tcW w:w="87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eastAsia="宋体"/>
                <w:color w:val="000000"/>
                <w:sz w:val="22"/>
              </w:rPr>
            </w:pP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科目编码</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科目名称</w:t>
            </w:r>
          </w:p>
        </w:tc>
        <w:tc>
          <w:tcPr>
            <w:tcW w:w="23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合计</w:t>
            </w:r>
          </w:p>
        </w:tc>
        <w:tc>
          <w:tcPr>
            <w:tcW w:w="26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人员经费</w:t>
            </w:r>
          </w:p>
        </w:tc>
        <w:tc>
          <w:tcPr>
            <w:tcW w:w="256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公用经费</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栏次</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2</w:t>
            </w:r>
          </w:p>
        </w:tc>
        <w:tc>
          <w:tcPr>
            <w:tcW w:w="23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3</w:t>
            </w:r>
          </w:p>
        </w:tc>
        <w:tc>
          <w:tcPr>
            <w:tcW w:w="26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4</w:t>
            </w:r>
          </w:p>
        </w:tc>
        <w:tc>
          <w:tcPr>
            <w:tcW w:w="256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eastAsia="宋体"/>
                <w:color w:val="000000"/>
                <w:sz w:val="22"/>
              </w:rPr>
            </w:pPr>
            <w:r>
              <w:rPr>
                <w:rFonts w:hint="eastAsia" w:ascii="宋体" w:hAnsi="宋体" w:eastAsia="宋体"/>
                <w:color w:val="000000"/>
                <w:sz w:val="22"/>
              </w:rPr>
              <w:t>5</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合计</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ascii="Calibri" w:hAnsi="Calibri" w:eastAsia="宋体"/>
                <w:color w:val="000000"/>
                <w:sz w:val="22"/>
              </w:rPr>
            </w:pP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589.45</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510.68</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78.77</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工资福利支出</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507.77</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507.77</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3</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30101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基本工资</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396.89</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396.89</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4</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30102</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津贴补贴</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32.08</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32.08</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5</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30103</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奖金</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28.37</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28.37</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6</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30107</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绩效工资</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8.24</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8.24</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7</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30108</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机关事业单位基本养老保险缴费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18.69</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8</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30110</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职工基本医疗保险缴费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6.89</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9</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30111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公务员医疗补助缴费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2.33</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10</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30112</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其他社会保障缴费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0.58</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0.58</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11</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30113</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住房公积金</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13.7</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12</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商品和服务支出</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78.77</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78.77</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13</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30201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办公费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12.32</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12.32</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14</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30207</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邮电费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0.36</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0.36</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15</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30208</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取暖费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4.7</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4.7</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16</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30211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差旅费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5.6</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5.6</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17</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30226</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劳务费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21.24</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21.24</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18</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30228</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工会经费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4.61</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4.61</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19</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30229</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福利费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14.58</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14.58</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20</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30231</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公务用车运行维护费</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6</w:t>
            </w:r>
          </w:p>
        </w:tc>
      </w:tr>
      <w:tr>
        <w:tblPrEx>
          <w:tblCellMar>
            <w:top w:w="15" w:type="dxa"/>
            <w:left w:w="15" w:type="dxa"/>
            <w:bottom w:w="15" w:type="dxa"/>
            <w:right w:w="15" w:type="dxa"/>
          </w:tblCellMar>
        </w:tblPrEx>
        <w:trPr>
          <w:trHeight w:val="55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21</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30239</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其他交通费用</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9.36</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9.36</w:t>
            </w:r>
          </w:p>
        </w:tc>
      </w:tr>
      <w:tr>
        <w:tblPrEx>
          <w:tblCellMar>
            <w:top w:w="15" w:type="dxa"/>
            <w:left w:w="15" w:type="dxa"/>
            <w:bottom w:w="15" w:type="dxa"/>
            <w:right w:w="15" w:type="dxa"/>
          </w:tblCellMar>
        </w:tblPrEx>
        <w:trPr>
          <w:trHeight w:val="561" w:hRule="atLeast"/>
        </w:trPr>
        <w:tc>
          <w:tcPr>
            <w:tcW w:w="876" w:type="dxa"/>
            <w:tcBorders>
              <w:top w:val="single" w:color="000000" w:sz="4" w:space="0"/>
              <w:left w:val="single" w:color="000000" w:sz="4" w:space="0"/>
              <w:bottom w:val="single" w:color="000000" w:sz="4" w:space="0"/>
              <w:right w:val="single" w:color="000000" w:sz="4" w:space="0"/>
              <w:tl2br w:val="nil"/>
              <w:tr2bl w:val="nil"/>
            </w:tcBorders>
          </w:tcPr>
          <w:p>
            <w:pPr>
              <w:jc w:val="center"/>
              <w:textAlignment w:val="top"/>
              <w:rPr>
                <w:rFonts w:ascii="Calibri" w:hAnsi="Calibri" w:eastAsia="宋体"/>
                <w:color w:val="000000"/>
                <w:sz w:val="22"/>
              </w:rPr>
            </w:pPr>
            <w:r>
              <w:rPr>
                <w:rFonts w:ascii="Calibri" w:hAnsi="Calibri" w:eastAsia="宋体"/>
                <w:color w:val="000000"/>
                <w:sz w:val="22"/>
              </w:rPr>
              <w:t>22</w:t>
            </w:r>
          </w:p>
        </w:tc>
        <w:tc>
          <w:tcPr>
            <w:tcW w:w="1517"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303</w:t>
            </w:r>
          </w:p>
        </w:tc>
        <w:tc>
          <w:tcPr>
            <w:tcW w:w="5066"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ascii="Calibri" w:hAnsi="Calibri" w:eastAsia="宋体"/>
                <w:color w:val="000000"/>
                <w:sz w:val="22"/>
              </w:rPr>
            </w:pPr>
            <w:r>
              <w:rPr>
                <w:rFonts w:hint="eastAsia" w:ascii="宋体" w:hAnsi="宋体" w:eastAsia="宋体" w:cs="宋体"/>
                <w:color w:val="000000"/>
                <w:sz w:val="22"/>
                <w:szCs w:val="22"/>
                <w:lang w:bidi="ar"/>
              </w:rPr>
              <w:t>对个人和家庭的补助</w:t>
            </w:r>
          </w:p>
        </w:tc>
        <w:tc>
          <w:tcPr>
            <w:tcW w:w="2350"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2.91</w:t>
            </w:r>
          </w:p>
        </w:tc>
        <w:tc>
          <w:tcPr>
            <w:tcW w:w="2607"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2.91</w:t>
            </w:r>
          </w:p>
        </w:tc>
        <w:tc>
          <w:tcPr>
            <w:tcW w:w="2564" w:type="dxa"/>
            <w:tcBorders>
              <w:top w:val="single" w:color="000000" w:sz="4" w:space="0"/>
              <w:left w:val="single" w:color="000000" w:sz="4" w:space="0"/>
              <w:bottom w:val="single" w:color="000000" w:sz="4" w:space="0"/>
              <w:right w:val="single" w:color="000000" w:sz="4" w:space="0"/>
              <w:tl2br w:val="nil"/>
              <w:tr2bl w:val="nil"/>
            </w:tcBorders>
          </w:tcPr>
          <w:p>
            <w:pPr>
              <w:jc w:val="right"/>
              <w:textAlignment w:val="top"/>
              <w:rPr>
                <w:rFonts w:ascii="Calibri" w:hAnsi="Calibri" w:eastAsia="宋体"/>
                <w:color w:val="000000"/>
                <w:sz w:val="22"/>
              </w:rPr>
            </w:pPr>
            <w:r>
              <w:rPr>
                <w:rFonts w:ascii="Calibri" w:hAnsi="Calibri" w:eastAsia="宋体" w:cs="Calibri"/>
                <w:color w:val="000000"/>
                <w:sz w:val="22"/>
                <w:szCs w:val="22"/>
                <w:lang w:bidi="ar"/>
              </w:rPr>
              <w:t>0</w:t>
            </w:r>
          </w:p>
        </w:tc>
      </w:tr>
    </w:tbl>
    <w:p>
      <w:pPr>
        <w:jc w:val="center"/>
        <w:outlineLvl w:val="1"/>
        <w:rPr>
          <w:rFonts w:ascii="方正小标宋_GBK" w:hAnsi="方正小标宋_GBK" w:eastAsia="方正小标宋_GBK"/>
          <w:color w:val="000000"/>
          <w:sz w:val="36"/>
        </w:rPr>
      </w:pPr>
    </w:p>
    <w:p>
      <w:pPr>
        <w:jc w:val="center"/>
        <w:outlineLvl w:val="1"/>
        <w:rPr>
          <w:rFonts w:ascii="方正小标宋_GBK" w:hAnsi="方正小标宋_GBK" w:eastAsia="方正小标宋_GBK"/>
          <w:color w:val="000000"/>
          <w:sz w:val="36"/>
        </w:rPr>
      </w:pPr>
    </w:p>
    <w:p>
      <w:pPr>
        <w:jc w:val="center"/>
        <w:outlineLvl w:val="1"/>
        <w:rPr>
          <w:rFonts w:ascii="方正小标宋_GBK" w:hAnsi="方正小标宋_GBK" w:eastAsia="方正小标宋_GBK"/>
          <w:color w:val="000000"/>
          <w:sz w:val="36"/>
        </w:rPr>
      </w:pPr>
    </w:p>
    <w:p>
      <w:pPr>
        <w:jc w:val="center"/>
        <w:outlineLvl w:val="1"/>
      </w:pPr>
      <w:r>
        <w:rPr>
          <w:rFonts w:hint="eastAsia" w:ascii="方正小标宋_GBK" w:hAnsi="方正小标宋_GBK" w:eastAsia="方正小标宋_GBK"/>
          <w:color w:val="000000"/>
          <w:sz w:val="36"/>
        </w:rPr>
        <w:t>部门预算政府基金预算财政拨款支出表</w:t>
      </w:r>
      <w:bookmarkEnd w:id="1"/>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l2br w:val="nil"/>
              <w:tr2bl w:val="nil"/>
            </w:tcBorders>
            <w:vAlign w:val="center"/>
          </w:tcPr>
          <w:p>
            <w:pPr>
              <w:pStyle w:val="14"/>
              <w:rPr>
                <w:rFonts w:hint="default"/>
              </w:rPr>
            </w:pPr>
            <w:r>
              <w:t>预算单位编码及名称：[303]涞水县发展和改革局</w:t>
            </w:r>
          </w:p>
        </w:tc>
        <w:tc>
          <w:tcPr>
            <w:tcW w:w="2551" w:type="dxa"/>
            <w:tcBorders>
              <w:top w:val="single" w:color="FFFFFF" w:sz="6" w:space="0"/>
              <w:left w:val="single" w:color="FFFFFF" w:sz="6" w:space="0"/>
              <w:bottom w:val="single" w:color="000000" w:sz="6" w:space="0"/>
              <w:right w:val="single" w:color="FFFFFF" w:sz="6" w:space="0"/>
              <w:tl2br w:val="nil"/>
              <w:tr2bl w:val="nil"/>
            </w:tcBorders>
            <w:vAlign w:val="center"/>
          </w:tcPr>
          <w:p>
            <w:pPr>
              <w:pStyle w:val="10"/>
              <w:rPr>
                <w:rFonts w:hint="default"/>
              </w:rPr>
            </w:pPr>
            <w:r>
              <w:t>预算年度：2023</w:t>
            </w:r>
          </w:p>
        </w:tc>
        <w:tc>
          <w:tcPr>
            <w:tcW w:w="5102" w:type="dxa"/>
            <w:gridSpan w:val="2"/>
            <w:tcBorders>
              <w:top w:val="single" w:color="FFFFFF" w:sz="6" w:space="0"/>
              <w:left w:val="single" w:color="FFFFFF" w:sz="6" w:space="0"/>
              <w:bottom w:val="single" w:color="000000" w:sz="6" w:space="0"/>
              <w:right w:val="single" w:color="FFFFFF" w:sz="6" w:space="0"/>
              <w:tl2br w:val="nil"/>
              <w:tr2bl w:val="nil"/>
            </w:tcBorders>
            <w:vAlign w:val="center"/>
          </w:tcPr>
          <w:p>
            <w:pPr>
              <w:pStyle w:val="21"/>
              <w:rPr>
                <w:rFonts w:hint="default"/>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序号</w:t>
            </w:r>
          </w:p>
        </w:tc>
        <w:tc>
          <w:tcPr>
            <w:tcW w:w="572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合计</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基本支出</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科目编码</w:t>
            </w: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科目名称</w:t>
            </w: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栏次</w:t>
            </w: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1</w:t>
            </w: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2</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3</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4</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bl>
    <w:p>
      <w:pPr>
        <w:ind w:firstLine="420"/>
        <w:sectPr>
          <w:footerReference r:id="rId7" w:type="default"/>
          <w:footerReference r:id="rId8" w:type="even"/>
          <w:pgSz w:w="16840" w:h="11900" w:orient="landscape"/>
          <w:pgMar w:top="1361" w:right="1020" w:bottom="1134" w:left="1020" w:header="720" w:footer="720" w:gutter="0"/>
          <w:pgNumType w:fmt="numberInDash"/>
          <w:cols w:space="720" w:num="1"/>
          <w:docGrid w:type="lines" w:linePitch="312" w:charSpace="0"/>
        </w:sectPr>
      </w:pPr>
      <w:r>
        <w:rPr>
          <w:rFonts w:hint="eastAsia" w:ascii="方正书宋_GBK" w:hAnsi="方正书宋_GBK" w:eastAsia="方正书宋_GBK"/>
          <w:color w:val="000000"/>
          <w:sz w:val="21"/>
        </w:rPr>
        <w:t>注：无政府基金预算财政拨款预算，空表列示。</w:t>
      </w:r>
    </w:p>
    <w:p>
      <w:pPr>
        <w:jc w:val="center"/>
        <w:outlineLvl w:val="1"/>
      </w:pPr>
      <w:bookmarkStart w:id="2" w:name="_Toc_2_2_0000000008"/>
      <w:r>
        <w:rPr>
          <w:rFonts w:hint="eastAsia" w:ascii="方正小标宋_GBK" w:hAnsi="方正小标宋_GBK" w:eastAsia="方正小标宋_GBK"/>
          <w:color w:val="000000"/>
          <w:sz w:val="36"/>
        </w:rPr>
        <w:t>部门预算国有资本经营预算财政拨款支出表</w:t>
      </w:r>
      <w:bookmarkEnd w:id="2"/>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l2br w:val="nil"/>
              <w:tr2bl w:val="nil"/>
            </w:tcBorders>
            <w:vAlign w:val="center"/>
          </w:tcPr>
          <w:p>
            <w:pPr>
              <w:pStyle w:val="14"/>
              <w:rPr>
                <w:rFonts w:hint="default"/>
              </w:rPr>
            </w:pPr>
            <w:r>
              <w:t>预算单位编码及名称：[303]涞水县发展和改革局</w:t>
            </w:r>
          </w:p>
        </w:tc>
        <w:tc>
          <w:tcPr>
            <w:tcW w:w="2551" w:type="dxa"/>
            <w:tcBorders>
              <w:top w:val="single" w:color="FFFFFF" w:sz="6" w:space="0"/>
              <w:left w:val="single" w:color="FFFFFF" w:sz="6" w:space="0"/>
              <w:bottom w:val="single" w:color="000000" w:sz="6" w:space="0"/>
              <w:right w:val="single" w:color="FFFFFF" w:sz="6" w:space="0"/>
              <w:tl2br w:val="nil"/>
              <w:tr2bl w:val="nil"/>
            </w:tcBorders>
            <w:vAlign w:val="center"/>
          </w:tcPr>
          <w:p>
            <w:pPr>
              <w:pStyle w:val="10"/>
              <w:rPr>
                <w:rFonts w:hint="default"/>
              </w:rPr>
            </w:pPr>
            <w:r>
              <w:t>预算年度：2023</w:t>
            </w:r>
          </w:p>
        </w:tc>
        <w:tc>
          <w:tcPr>
            <w:tcW w:w="5102" w:type="dxa"/>
            <w:gridSpan w:val="2"/>
            <w:tcBorders>
              <w:top w:val="single" w:color="FFFFFF" w:sz="6" w:space="0"/>
              <w:left w:val="single" w:color="FFFFFF" w:sz="6" w:space="0"/>
              <w:bottom w:val="single" w:color="000000" w:sz="6" w:space="0"/>
              <w:right w:val="single" w:color="FFFFFF" w:sz="6" w:space="0"/>
              <w:tl2br w:val="nil"/>
              <w:tr2bl w:val="nil"/>
            </w:tcBorders>
            <w:vAlign w:val="center"/>
          </w:tcPr>
          <w:p>
            <w:pPr>
              <w:pStyle w:val="21"/>
              <w:rPr>
                <w:rFonts w:hint="default"/>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序号</w:t>
            </w:r>
          </w:p>
        </w:tc>
        <w:tc>
          <w:tcPr>
            <w:tcW w:w="572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合计</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基本支出</w:t>
            </w:r>
          </w:p>
        </w:tc>
        <w:tc>
          <w:tcPr>
            <w:tcW w:w="255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科目编码</w:t>
            </w: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科目名称</w:t>
            </w: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2551" w:type="dxa"/>
            <w:vMerge w:val="continue"/>
            <w:tcBorders>
              <w:top w:val="single" w:color="000000" w:sz="6" w:space="0"/>
              <w:left w:val="single" w:color="000000" w:sz="6" w:space="0"/>
              <w:bottom w:val="single" w:color="000000" w:sz="6" w:space="0"/>
              <w:right w:val="single" w:color="000000" w:sz="6" w:space="0"/>
              <w:tl2br w:val="nil"/>
              <w:tr2bl w:val="nil"/>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栏次</w:t>
            </w: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1</w:t>
            </w: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2</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3</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4</w:t>
            </w: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p>
        </w:tc>
        <w:tc>
          <w:tcPr>
            <w:tcW w:w="119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453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55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bl>
    <w:p>
      <w:pPr>
        <w:ind w:firstLine="420"/>
        <w:sectPr>
          <w:pgSz w:w="16840" w:h="11900" w:orient="landscape"/>
          <w:pgMar w:top="1361" w:right="1020" w:bottom="1134" w:left="1020" w:header="720" w:footer="720" w:gutter="0"/>
          <w:pgNumType w:fmt="numberInDash"/>
          <w:cols w:space="720" w:num="1"/>
          <w:docGrid w:type="lines" w:linePitch="312" w:charSpace="0"/>
        </w:sectPr>
      </w:pPr>
      <w:r>
        <w:rPr>
          <w:rFonts w:hint="eastAsia" w:ascii="方正书宋_GBK" w:hAnsi="方正书宋_GBK" w:eastAsia="方正书宋_GBK"/>
          <w:color w:val="000000"/>
          <w:sz w:val="21"/>
        </w:rPr>
        <w:t>注：无国有资本经营预算财政拨款预算，空表列示。</w:t>
      </w:r>
    </w:p>
    <w:p>
      <w:pPr>
        <w:jc w:val="center"/>
        <w:outlineLvl w:val="1"/>
      </w:pPr>
      <w:bookmarkStart w:id="3" w:name="_Toc_2_2_0000000009"/>
      <w:r>
        <w:rPr>
          <w:rFonts w:hint="eastAsia" w:ascii="方正小标宋_GBK" w:hAnsi="方正小标宋_GBK" w:eastAsia="方正小标宋_GBK"/>
          <w:color w:val="000000"/>
          <w:sz w:val="36"/>
        </w:rPr>
        <w:t>部门预算财政拨款“三公”经费支出表</w:t>
      </w:r>
      <w:bookmarkEnd w:id="3"/>
    </w:p>
    <w:tbl>
      <w:tblPr>
        <w:tblStyle w:val="6"/>
        <w:tblW w:w="14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4"/>
        <w:gridCol w:w="3773"/>
        <w:gridCol w:w="2366"/>
        <w:gridCol w:w="2365"/>
        <w:gridCol w:w="2365"/>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blHeader/>
          <w:jc w:val="center"/>
        </w:trPr>
        <w:tc>
          <w:tcPr>
            <w:tcW w:w="6983" w:type="dxa"/>
            <w:gridSpan w:val="3"/>
            <w:tcBorders>
              <w:top w:val="single" w:color="FFFFFF" w:sz="6" w:space="0"/>
              <w:left w:val="single" w:color="FFFFFF" w:sz="6" w:space="0"/>
              <w:bottom w:val="single" w:color="000000" w:sz="6" w:space="0"/>
              <w:right w:val="single" w:color="FFFFFF" w:sz="6" w:space="0"/>
              <w:tl2br w:val="nil"/>
              <w:tr2bl w:val="nil"/>
            </w:tcBorders>
            <w:vAlign w:val="center"/>
          </w:tcPr>
          <w:p>
            <w:pPr>
              <w:pStyle w:val="14"/>
              <w:rPr>
                <w:rFonts w:hint="default"/>
              </w:rPr>
            </w:pPr>
            <w:r>
              <w:t>预算单位编码及名称：[303]涞水县发展和改革局</w:t>
            </w:r>
          </w:p>
        </w:tc>
        <w:tc>
          <w:tcPr>
            <w:tcW w:w="2365" w:type="dxa"/>
            <w:tcBorders>
              <w:top w:val="single" w:color="FFFFFF" w:sz="6" w:space="0"/>
              <w:left w:val="single" w:color="FFFFFF" w:sz="6" w:space="0"/>
              <w:bottom w:val="single" w:color="000000" w:sz="6" w:space="0"/>
              <w:right w:val="single" w:color="FFFFFF" w:sz="6" w:space="0"/>
              <w:tl2br w:val="nil"/>
              <w:tr2bl w:val="nil"/>
            </w:tcBorders>
            <w:vAlign w:val="center"/>
          </w:tcPr>
          <w:p>
            <w:pPr>
              <w:pStyle w:val="10"/>
              <w:rPr>
                <w:rFonts w:hint="default"/>
              </w:rPr>
            </w:pPr>
            <w:r>
              <w:t>预算年度：2023</w:t>
            </w:r>
          </w:p>
        </w:tc>
        <w:tc>
          <w:tcPr>
            <w:tcW w:w="4730" w:type="dxa"/>
            <w:gridSpan w:val="2"/>
            <w:tcBorders>
              <w:top w:val="single" w:color="FFFFFF" w:sz="6" w:space="0"/>
              <w:left w:val="single" w:color="FFFFFF" w:sz="6" w:space="0"/>
              <w:bottom w:val="single" w:color="000000" w:sz="6" w:space="0"/>
              <w:right w:val="single" w:color="FFFFFF" w:sz="6" w:space="0"/>
              <w:tl2br w:val="nil"/>
              <w:tr2bl w:val="nil"/>
            </w:tcBorders>
            <w:vAlign w:val="center"/>
          </w:tcPr>
          <w:p>
            <w:pPr>
              <w:pStyle w:val="21"/>
              <w:rPr>
                <w:rFonts w:hint="default"/>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 w:hRule="atLeast"/>
          <w:tblHeader/>
          <w:jc w:val="center"/>
        </w:trPr>
        <w:tc>
          <w:tcPr>
            <w:tcW w:w="844"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序号</w:t>
            </w:r>
          </w:p>
        </w:tc>
        <w:tc>
          <w:tcPr>
            <w:tcW w:w="3773"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项  目</w:t>
            </w:r>
          </w:p>
        </w:tc>
        <w:tc>
          <w:tcPr>
            <w:tcW w:w="9461"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blHeader/>
          <w:jc w:val="center"/>
        </w:trPr>
        <w:tc>
          <w:tcPr>
            <w:tcW w:w="844"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3773"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合计</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一般公共预算              财政拨款</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政府性基金                  预算拨款</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栏次</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1</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2</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3</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4</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1</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6"/>
              <w:rPr>
                <w:rFonts w:hint="default"/>
              </w:rPr>
            </w:pPr>
            <w:r>
              <w:t>合计</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2</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“三公”经费小计</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3</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一、因公出国（境）费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4</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 xml:space="preserve">    其中：教学科研人员因公出国（境）费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5</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 xml:space="preserve">          其他因公出国（境）费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6</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二、公务用车购置及运维费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7</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 xml:space="preserve">    其中：公务用车购置费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8</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 xml:space="preserve">          公务用车运行维护费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r>
              <w:t>6.00</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r>
              <w:t>6.00</w:t>
            </w: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9</w:t>
            </w: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三、公务接待费</w:t>
            </w: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p>
        </w:tc>
        <w:tc>
          <w:tcPr>
            <w:tcW w:w="377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236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23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bl>
    <w:p>
      <w:pPr>
        <w:jc w:val="both"/>
        <w:outlineLvl w:val="0"/>
        <w:sectPr>
          <w:pgSz w:w="16840" w:h="11900" w:orient="landscape"/>
          <w:pgMar w:top="1361" w:right="1020" w:bottom="1361" w:left="1020" w:header="720" w:footer="720" w:gutter="0"/>
          <w:pgNumType w:fmt="numberInDash"/>
          <w:cols w:space="720" w:num="1"/>
          <w:docGrid w:type="lines" w:linePitch="312" w:charSpace="0"/>
        </w:sectPr>
      </w:pPr>
    </w:p>
    <w:p>
      <w:pPr>
        <w:jc w:val="center"/>
        <w:rPr>
          <w:rFonts w:ascii="方正小标宋_GBK" w:hAnsi="方正小标宋_GBK" w:eastAsia="方正小标宋_GBK"/>
          <w:color w:val="000000"/>
          <w:sz w:val="44"/>
        </w:rPr>
      </w:pPr>
      <w:r>
        <w:rPr>
          <w:rFonts w:hint="eastAsia" w:ascii="方正小标宋_GBK" w:hAnsi="方正小标宋_GBK" w:eastAsia="方正小标宋_GBK"/>
          <w:color w:val="000000"/>
          <w:sz w:val="44"/>
        </w:rPr>
        <w:t>涞水县发展和改革局2023年部门预算信息公开情况说明</w:t>
      </w:r>
    </w:p>
    <w:p>
      <w:pPr>
        <w:jc w:val="center"/>
        <w:rPr>
          <w:rFonts w:ascii="方正小标宋_GBK" w:hAnsi="方正小标宋_GBK" w:eastAsia="方正小标宋_GBK"/>
          <w:color w:val="000000"/>
          <w:sz w:val="28"/>
        </w:rPr>
      </w:pP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按照《预算法》、《地方预决算公开操作规程》和《关于进一步推进预算公开工作的实施意见》规定，现将涞水县发展和改革局2023年部门预算公开如下：</w:t>
      </w:r>
    </w:p>
    <w:p>
      <w:pPr>
        <w:spacing w:before="10" w:after="10" w:line="360" w:lineRule="auto"/>
        <w:ind w:firstLine="640"/>
        <w:outlineLvl w:val="2"/>
      </w:pPr>
      <w:bookmarkStart w:id="4" w:name="_Toc_3_3_0000000010"/>
      <w:r>
        <w:rPr>
          <w:rFonts w:hint="eastAsia" w:ascii="黑体" w:hAnsi="黑体" w:eastAsia="黑体"/>
          <w:color w:val="000000"/>
          <w:sz w:val="32"/>
        </w:rPr>
        <w:t>一、部门职责及机构设置情况</w:t>
      </w:r>
      <w:bookmarkEnd w:id="4"/>
    </w:p>
    <w:p>
      <w:pPr>
        <w:widowControl w:val="0"/>
        <w:spacing w:line="560" w:lineRule="exact"/>
        <w:ind w:firstLine="640" w:firstLineChars="200"/>
        <w:rPr>
          <w:rFonts w:ascii="楷体_GB2312" w:hAnsi="楷体_GB2312" w:eastAsia="楷体_GB2312"/>
          <w:sz w:val="32"/>
        </w:rPr>
      </w:pPr>
      <w:r>
        <w:rPr>
          <w:rFonts w:hint="eastAsia" w:ascii="楷体_GB2312" w:hAnsi="楷体_GB2312" w:eastAsia="楷体_GB2312"/>
          <w:sz w:val="32"/>
        </w:rPr>
        <w:t>（一）部门职责</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1、拟定并组织实施全县国民经济和社会发展战略、中长期规划和年度计划；提出全县 国民经济和优化重大经济结构的目标和政策的建议；提出运用各种经济手段和政策的建议；受县政府委托向县人大作国民经济和社会发展计划的报告。</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研究分析经济形势和发展情况，进行区域经济的预警、预测；研究涉及全县经济安的重要问题，提出区域经济调节政策的建议，综合协调经济社会发展；负责日常经济运行的调节，组织解决经济运行中的有关重大问题。</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3、研究贯彻国家财政政策、货币政策以及其它调控政策的措施；组织实施产业政策，监督检查产业政策的执行；受县政府委托对相关投资机构进行宏观指导。</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4、研究全县经济体制改革和对外 开放的重大问题，组织拟订综合性经济体制改革方案，协调有关专项经济体制改革方案；提出完善社会主义市场经济体制、以改革开放促进发展的建议，指导和推进总体经济体制改革；指导协调非国有经济改革；参与公用事业、农业、科技、体育、文化、教育等事业单位的改制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研究提出全社会固定资产投资总规模，规划重大项目布局；安排县财政性建设资金，指导和监督政策性贷款的使用方向；引导民间资金用于固定资产投资的方向；安排国家和省拨款的建设项目和市重点建设项目；加强重点项目协调管理和监督稽察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6、研究提出经济重要产业的发 展战略和规划；研究并协调农业和农村经济社会发展的有关重大问题，衔接农村专项规划和政策；拟订扶贫规划和计划；指导工业发展，推进工业化和信息化；拟定能源发展规划；推动高新技术产业发展，实施技术进步和产业现代化的宏观指导。</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7、负责县域内重点物资和粮食的储备进行宏观调控；负责对县域内项目的招投标工作进行组织指导，监督管理。</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8、组织开展农业资源调查、监测、分析、评价；编制农业区划和农业区划开发规划；综合管理农业资源，指导农业资源优化配置、可持续发展和高效利用实验示范工作。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9、负责申报和编制省、市、县重点建 设项目工作计划，抓好重点项目的谋划储备跟踪；建立重点项目联席会议制度，组织重点建设项目各种会议；完善重点项目目标责任制度，实行重大项目“代办制”和“ 领办制”，抓好重点项目的督导、调度、检查工作，及时掌握项目建设情况；负责重点项目管理调研工作，制定我县招商引资和项目建设考核办法，加快重点项目建设工作制度化、程序化、规范化管理进程；负责协调、组织全县重点项目的考察、论证、谈判等前期工作；负责 全县的开放开发和区域经济技术合作工作；搜集招商信息谋划招商项目，组织招商活动，对全县的招商工作进行组织、协调、统计和管理。</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10、研究提出节能减排的综合协调工作；组织拟订发展循环经济、全社会能源节约和综利用规划及政策措施并协调实施；协调生态建设、能源资源节约和综合利用的重大问题，综合协调环保产业和清洁生产促进有关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11、贯彻实施国家、省科技方针、政策、法规、规划；组织制定和实施全县中、长期科技发展规划；指导协调各乡镇及县直各部门科技工作。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12、负责全县科技三项费的使用管理和监督检查；组织实施国家、省、市、县各项科研计划；研究提出多渠道增加科技投入的措施；优化科技资源的配置。</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13、组织实施全县技术创新工作，推 动科技创新体系建设，提高科技创新能力；做好全县工业科技进步工作，贯彻实施加强高新技术发展的政策措施，引导工业企业的技术创新与结构升级；推动农业和农村科技进步，促进科技成果的推广应用。</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14、管理全县科技成果、科技保密、技术市场工作；负责全县科技奖励。</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15、研究拟定全县知识产权保护措施，会同有关部门依法处理侵犯知识产权的违法行为；组织相关法律知识的宣传、普及和培训；承担市科技局授权的专利管理职能。</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16、负责全县山区科技开发工作；负责全县科技信息和科技统计工作。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17、负责工业产业化促进和工业经济运行协调、服务； 产业、行业和社会信息化建设工作;国有企业改革；所属工贸企业管理；内外贸易管理; 整顿和规范流通秩序工作。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18、组织落实国家、省和市政府有关粮食流通的政策和法规；提出地方有关粮油收购、流通政策及管理规定；拟订全县粮食流通发展规划和年度计划。</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19、拟订全县粮食流通产业结构和布局调整意见，协助物价部门监管全县粮食行业的粮 食及其制品的价格，指导协调地区之间粮食总量和品种平衡，落实上级下达的粮食进出口计划。</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20、组织落实国家、省、市下达的保护价粮食收购任务，组织指导全县粮食市场供应，保障当地军队、灾区、库区移民、贫困缺粮地区以及应急粮食供应。</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21、建立和完善县级粮食储备制度，研究提出县级粮食储备粮规模、轮换和动用建议；管理好国家、省、市级粮食储备；指导地方粮食储备和农村粮食存储工作。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22、培育和完善粮食市场体系，制定全县粮食批发市场建设发展规划和管理办法，维护粮食流通秩序；负责全县粮食 流通设施建设规划布局，协调并监督由国家、省、市、县政府投资的粮食基建项目建设。</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23、依据有关法律、法规，对贯彻落实粮食政策和规章制度进行监督检查；负责社会粮食企业收购许可证的核发与年检；对社会粮食流通进行行政执法，依法实施行政处罚，受理行政复议；指导行业监督检查和行政执法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24、指导全县粮食储存保管及安全生产工作，负责对粮食收购、储存环节的粮食质量安全和原粮卫生进行监督检查；贯彻执行国家粮食质量标准，落实粮食检验政策、制度和办法。</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25、负责全县粮食流通行业管理， 推动粮食流通行业技术改造和新技术推广；负责全行业对外交流与合作；制定全县粮食系统粮油工业发展规划和布局；指导粮食企业改革和产业化发展。</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26、健全粮食监测预警体系和应急机制，制定全县粮食应急预案的建议，报县政府批准后组织实施。</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27、 负责全县社会粮食流通、仓储设施、粮油加工的行业管理和统计工作；负责全县粮食行业职工的在职教育和业务培训工作。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28、负责工农产品（商品）价格管理，成本调查，价格信息和分析，行政事业性收费、经营服务性收费标准的调查与审定，《收费许可证》的发放和审验。</w:t>
      </w:r>
    </w:p>
    <w:p>
      <w:pPr>
        <w:widowControl w:val="0"/>
        <w:spacing w:line="560" w:lineRule="exact"/>
        <w:ind w:firstLine="640" w:firstLineChars="200"/>
        <w:rPr>
          <w:rFonts w:ascii="楷体_GB2312" w:hAnsi="楷体_GB2312" w:eastAsia="楷体_GB2312"/>
          <w:sz w:val="32"/>
        </w:rPr>
      </w:pPr>
      <w:r>
        <w:rPr>
          <w:rFonts w:hint="eastAsia" w:ascii="楷体_GB2312" w:hAnsi="楷体_GB2312" w:eastAsia="楷体_GB2312"/>
          <w:sz w:val="32"/>
        </w:rPr>
        <w:t>（二）机构设置基本情况</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内设机构根据上述职责，涞水县发展和改革局设11个内设机构：</w:t>
      </w:r>
    </w:p>
    <w:p>
      <w:pPr>
        <w:widowControl w:val="0"/>
        <w:spacing w:line="560" w:lineRule="exact"/>
        <w:ind w:firstLine="643" w:firstLineChars="200"/>
        <w:rPr>
          <w:rFonts w:ascii="仿宋" w:hAnsi="仿宋" w:eastAsia="仿宋"/>
          <w:b/>
          <w:sz w:val="32"/>
        </w:rPr>
      </w:pPr>
      <w:r>
        <w:rPr>
          <w:rFonts w:hint="eastAsia" w:ascii="仿宋" w:hAnsi="仿宋" w:eastAsia="仿宋"/>
          <w:b/>
          <w:sz w:val="32"/>
        </w:rPr>
        <w:t>1、办公室</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负责会议组织、文件的打印、文电运转、档案管理、有关文件的起草、信息反馈以及安全保卫、社会治安综合治理等事务；学习培训、行政事务、工资、人事、财务工作。</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2、综合股</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研究制定县域经济和社会发展战略和中长期规划，编制年度经济和社会发展计划；定期分析、预测计划执行情况；研究国民经济动员与经济建设、国防建设的关系，提出重大经济建设项目贯彻国防要求的建议；分析产业发展的情况，组织实施国家产业 政策，监督产业政策落实情况；组织编制区域经济发展规划，研究提出区域经济发展的政策措施；研究提出全县国民经济和社会发展战略、规划生产力布局；组织拟订全县国民经济和社会发展中长期规划、主体功能区规划，并对规划实施情况进行监测评估；统筹协调经济社会发展重大专项规划和区域规划；研究全县农业和农村经济发展重大问题，提出农村经济发展战略和农村经济体制改革建议；编制和组织实施全县生态环境建设。</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3、产业和投资股</w:t>
      </w:r>
    </w:p>
    <w:p>
      <w:pPr>
        <w:widowControl w:val="0"/>
        <w:spacing w:line="560" w:lineRule="exact"/>
        <w:ind w:firstLine="800" w:firstLineChars="250"/>
        <w:rPr>
          <w:rFonts w:ascii="仿宋_GB2312" w:hAnsi="仿宋_GB2312" w:eastAsia="仿宋_GB2312"/>
          <w:sz w:val="32"/>
        </w:rPr>
      </w:pPr>
      <w:r>
        <w:rPr>
          <w:rFonts w:hint="eastAsia" w:ascii="仿宋_GB2312" w:hAnsi="仿宋_GB2312" w:eastAsia="仿宋_GB2312"/>
          <w:sz w:val="32"/>
        </w:rPr>
        <w:t>研究全县经济体制改革和对外开放的重大问题，组织拟订综合性经济体制改革方案，协调有关专项经济体制改革方案；提出完善社会主义市场经济体制、以改革开放促进发展的建议，指导和推进总体经济体制改革；指导协调非国有经济改革；参与公用事业、农业、科技、体育、文化、教育等事业单位的改制工作。</w:t>
      </w:r>
    </w:p>
    <w:p>
      <w:pPr>
        <w:widowControl w:val="0"/>
        <w:spacing w:line="560" w:lineRule="exact"/>
        <w:ind w:firstLine="640" w:firstLineChars="200"/>
        <w:rPr>
          <w:rFonts w:ascii="仿宋_GB2312" w:hAnsi="仿宋_GB2312" w:eastAsia="仿宋_GB2312"/>
          <w:b/>
          <w:sz w:val="32"/>
        </w:rPr>
      </w:pPr>
      <w:r>
        <w:rPr>
          <w:rFonts w:hint="eastAsia" w:ascii="仿宋_GB2312" w:hAnsi="仿宋_GB2312" w:eastAsia="仿宋_GB2312"/>
          <w:sz w:val="32"/>
        </w:rPr>
        <w:t>负责分析全县固定资产投资状况，拟订政府固定资产投资总规模和投资结构的调控目标、政策、措施；安排县财政性建设资金，按规定权限审批、审核固定资产投资项目，审批初步设计；编制县级政府投资、单位自筹投资、经济适用住房建设投资计划和县级重点项目资金配置计划；指导管理政府投资非经营性项目代建制工作；协调全县招标投标工作，会同有关部门拟订招标投标相关政策；核准工程建设项目招标方案，并依法实施监督管理；负责全县招标投标体系的建设和管理，承担招标投标管理领导小组的日常工作；负责组织协调利用外资项目的谋划和发布；按规定权限核准外商投资项目、境外资源开发类投资项 目；承办限额以上外商投资项目、境外资源开发类投资项目的审核、申报工作；会同统计部门统计、分析全县经济技术合作情况。</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4、能源股</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综合分析全县经济社会与资源、环境协调发展的重大问题；制定能源资源节约和综合利用、发展循环经济的规划和政策措施，并协调实施；协调环保产业和清洁生产促进有关工作；负责能源资源节约、再生产资源利用、企业和城镇污水治理、城镇垃圾处理等项目管理工作；统筹低碳城市建设与节能减排、新能源产品推广工作；承担节能减排工作领导小组日常工作。</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5、科学技术股</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负责贯彻实施国家、省科技方针、政策、法规、规划；组织制定和实施全县中、长期科技发展规划；负责全县科技三项费的使用管理和监督检查；研究提出多渠道增加科技投入的措施；优化科技资源的配置；负责全县科技信息和科技统计工作；研究拟定全县知识产权保护措施，会同有关部门依法处理侵犯 知识产权的违法行为；承担市科技局授权的专利管理职能；负责组织实施全县技术创新工作，推动科技创新体系建设，提高科技创新能力；组织实施国家、省、市、县各项科研计划；做好全县工业科技进步工作，贯彻实施加强高新技术发展的政策措施，引导工业企业的技术创新与结构升级；推动农业和农村科技进步，促进科技成果的推广应用；管理全县科技成果、科技保密、技术市场工作；负责全县科技奖励。监督、检查全县的防震减灾工作；负责抗震设防要求和地震安全性评价工作的监督管理；负责地震群测群防管理并依法保护地震监测设施和观测环境；会同有关部门建立 地震紧急救援工作体系；负责市地震局下达的各项地震工作任务。</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6、工业和信息化股</w:t>
      </w:r>
    </w:p>
    <w:p>
      <w:pPr>
        <w:widowControl w:val="0"/>
        <w:spacing w:line="560" w:lineRule="exact"/>
        <w:ind w:firstLine="640" w:firstLineChars="200"/>
        <w:rPr>
          <w:rFonts w:ascii="仿宋_GB2312" w:hAnsi="仿宋_GB2312" w:eastAsia="仿宋_GB2312"/>
          <w:b/>
          <w:sz w:val="32"/>
        </w:rPr>
      </w:pPr>
      <w:r>
        <w:rPr>
          <w:rFonts w:hint="eastAsia" w:ascii="仿宋_GB2312" w:hAnsi="仿宋_GB2312" w:eastAsia="仿宋_GB2312"/>
          <w:sz w:val="32"/>
        </w:rPr>
        <w:t>负责全县企业综合协调、指导和服务；贯彻国家、省、市有关发展机械、电子、冶金、建材、化工、轻工、纺织、食品、医药工业方面的方针政策；研究提出扶持民营经济发展的政策；拟订中小企业发展战略、中长期发展规划并组织实施；指导和推进企业产业结构、组织结构和产品结构调整；指导企业技术改造、新产品开发和技术创新，科技成果鉴定监测；指导和推进中小企业改革与发展；指导和扶持中小企业服务体系建设，指导企业融资工作；履行“三电办”职责；领导交办的其他工作。负 责全县工业产业化促进和工业经济运行调节；分析全县工业发展形势，发展政策，研究拟订全县工业发展战略、行业规划，推动企业技术进步拟订年度工业生产指导性计划及调整目标；指导行业技术法规和行业标准的实施；负责分析工业运行态势，对工业经济运行进行分析、跟踪、汇总并进行预测报警；组织解决工交行业重大问题，研究提出工交行业经济运行方面的政策建议；负责协调调度经济运行保障要素；组织工业项目工作； 执行县招商引资的各项方针政策、规定；组织相关招商活动；推出招商项目，建立招商引资项目库； 参与工业项目的前期工作，掌握项目进度，做 好项目前期服务工作。领导交办的其他工作。</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指导推进全县产业、行业和社会信息化建设工作；研究制定提出产业、行业和社会信息化发展战略、规划与政策建议，并协调解决信息化建设中的重大问题； 促进电子信息技； 术推广应用；承担电子信息产品制造业管理工作； 促进电信、广播电视和计算机网络融合； 参与拟订网络技术发展政策；组织协调全县信息安全保障体系建设; ; 指导协调电子政务、电子商务发展；推动跨行业、跨部门的互联互通和重要信息资源的开发利用、共享；承办上级信息化部门布置的具体工作。</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7、商贸股</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指导产品批发市场和商 业网点规划、商业体系建设；推进农村市场和农产品流通体系建设；推动流通体制改革和连锁经营、物流配送、电子商务、商业特许经营等现代流通方式的发展；指导流通领域节能降耗工作，扶持流通领域中小企业发展；组织实施国家和省、市财政性资金安排的有关流通领域重点投资项目；监测分析市场运行和商品供求状况，并提出运行及调控政策建议；承担建立健全生活必需品市场供应应急管理机制相关工作； 参与拟定全县进出口商品中长期规划和相关政策；参与拟定并组织实施一般货物进出口年度任务目标；组织和指导重要工业品、原材料进出口及进出口商品配额、许可 证工作；指导交易会、洽谈会等贸易促进活动及外贸促进体系建设工作；负责对外贸易经营者备案登记工作；负责外商投资服务，依法办理相关许可工作；依法管理监督全县对外投资、对外承包工程、对外劳务合作和咨询工作；承担外派劳务和境外就业人员权益保护相关工作。</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8、粮食股</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贯彻落实国家、省、市粮食购销政策；负责全县粮食生产销售形势的分析预测，掌握粮油市场信息；拟订全县粮食流通发展规划和年度计划，提出全县粮食流通产业结构和布局调整意见；协助物价部门监管全县粮食行业的粮食及其制品的价格，指导协调地区之间粮食总量和品 种平衡及产销衔接；落实上级下达的粮食进出口计划。落实国家、省、市下达的粮食保护价收购任务，组织指导全县粮食市场供应，保障当地军队、灾区、库区移民、购销、调拨、轮换工作，协助市粮食局管理好市级粮食储备；负责社会粮食企业收购许可证的核发与年检；负责全社会粮食流通和省、市、县储备粮油的统计工作。落实粮食流通管理地方性法规、政府规章和有关政策，拟订粮食市场体系建设与发展规划，负责机关综合性调研工作，负责粮食法律法规及有关政策的宣传和新闻发布工作，承担相关行政复议、行政应诉等工作。贯彻落实粮食储备政策；负责各级储备粮 油及全县商品粮油的安全储存，推广科学保粮，实行规范化管理；负责粮食系统的安全生产和防汛工作；负责协调由政府投资建设的基建项目的资金，并拟订拨付使用计划；负责全县粮油储备库、站的建设规划，编制全县粮食系统的仓储基建规划，负责粮食系统内的基建项目的审核、申报和管理工作；负责指导全县粮食企业改革、改制和企业管理工作，指导全县粮食产业化经营，培育和发展粮食骨干龙头企业，负责全县粮食流通行业管理，推动粮食流通行业技术改造和新技术推广；制定全县粮食系统粮油工业发展规划和布局；负责全县粮食企业的粮油质量管理，负责全县粮油 工业、饲料企业、多种经营的统计报表和粮油食品安全监管工作。 负责对原国有粮食购销企业各类资产进行清理、登记。对原有国有粮食购销企业的帐务、债权、债务、商品、资金等进行全面核实，全部接管。农发行贷款也要全部与管理办公室重新签定借贷合同和借据，确保银行债务不悬空，确保国有资产不流失。受粮食行政部门委托对其独资、控股、参股企业行使出资人职能。负责原企业的帐物的集中接管并按粮改方案规定处理内退人员的养老保险、生活费、医保费及离退休人员的医保费等粮改中的遗留问题。以资产评估为依据，对投资参股新企业的国有资产、按政策规范 运作。对投资参股以外的国有资产，通过各种形式，收回资金，用于处理粮改遗留问题。新组建的国有控股、国有参股企业要按《中华人民共和国公司法》规定改制成有限责任公司，建立法人治理结构和新的企业经营机制。新组建的公司，由国有粮食购销企业资产管理办公室以原企业的部分资产投入并控股、参股，积极鼓励社会法人及自然人投资入股。新组建的企业与原企业彻底分离。</w:t>
      </w:r>
    </w:p>
    <w:p>
      <w:pPr>
        <w:widowControl w:val="0"/>
        <w:spacing w:line="560" w:lineRule="exact"/>
        <w:ind w:firstLine="643" w:firstLineChars="200"/>
        <w:rPr>
          <w:rFonts w:ascii="仿宋_GB2312" w:hAnsi="仿宋_GB2312" w:eastAsia="仿宋_GB2312"/>
          <w:b/>
          <w:sz w:val="32"/>
        </w:rPr>
      </w:pPr>
      <w:r>
        <w:rPr>
          <w:rFonts w:hint="eastAsia" w:ascii="仿宋_GB2312" w:hAnsi="仿宋_GB2312" w:eastAsia="仿宋_GB2312"/>
          <w:b/>
          <w:sz w:val="32"/>
        </w:rPr>
        <w:t>9、涞水县政府大项目办公室</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负责全县重点建设项目各项综合协调、综合材料起草、对外信息发布及联络工作；负责全县重点项目的计划安排和进度汇总；组织谋划、实施县域事关经济和社会发展全局的重大项目， 编制工作计划，并监督执行；负责开放开发、招商、项目洽谈、建立项目库；参与全市在国内外举办的各种经贸及项目洽谈会；负责申报省、市重点项目；负责全县经济项目的统计上报、政策咨询、协调、跟踪服务等；承办县政府和市重点办交办的其它事项。</w:t>
      </w:r>
    </w:p>
    <w:p>
      <w:pPr>
        <w:pStyle w:val="13"/>
        <w:ind w:firstLine="0"/>
      </w:pPr>
    </w:p>
    <w:p>
      <w:pPr>
        <w:pStyle w:val="13"/>
        <w:ind w:firstLine="0"/>
      </w:pPr>
    </w:p>
    <w:p>
      <w:pPr>
        <w:pStyle w:val="13"/>
        <w:ind w:firstLine="0"/>
      </w:pPr>
    </w:p>
    <w:p>
      <w:pPr>
        <w:pStyle w:val="13"/>
      </w:pPr>
    </w:p>
    <w:p>
      <w:pPr>
        <w:ind w:firstLine="640"/>
      </w:pPr>
      <w:r>
        <w:rPr>
          <w:rFonts w:hint="eastAsia" w:ascii="方正楷体_GBK" w:hAnsi="方正楷体_GBK" w:eastAsia="方正楷体_GBK"/>
          <w:b/>
          <w:color w:val="000000"/>
          <w:sz w:val="32"/>
        </w:rPr>
        <w:t>机构设置：</w:t>
      </w:r>
    </w:p>
    <w:p>
      <w:pPr>
        <w:jc w:val="center"/>
      </w:pPr>
      <w:r>
        <w:rPr>
          <w:rFonts w:hint="eastAsia" w:ascii="方正小标宋_GBK" w:hAnsi="方正小标宋_GBK" w:eastAsia="方正小标宋_GBK"/>
          <w:color w:val="000000"/>
          <w:sz w:val="32"/>
        </w:rPr>
        <w:t>部门机构设置情况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单位名称</w:t>
            </w:r>
          </w:p>
        </w:tc>
        <w:tc>
          <w:tcPr>
            <w:tcW w:w="18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单位性质</w:t>
            </w:r>
          </w:p>
        </w:tc>
        <w:tc>
          <w:tcPr>
            <w:tcW w:w="212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单位规格</w:t>
            </w:r>
          </w:p>
        </w:tc>
        <w:tc>
          <w:tcPr>
            <w:tcW w:w="382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涞水县发展和改革局（本级)</w:t>
            </w:r>
          </w:p>
        </w:tc>
        <w:tc>
          <w:tcPr>
            <w:tcW w:w="18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行政</w:t>
            </w:r>
          </w:p>
        </w:tc>
        <w:tc>
          <w:tcPr>
            <w:tcW w:w="212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正科级</w:t>
            </w:r>
          </w:p>
        </w:tc>
        <w:tc>
          <w:tcPr>
            <w:tcW w:w="382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r>
              <w:t>涞水县发展和改革局事业</w:t>
            </w:r>
          </w:p>
        </w:tc>
        <w:tc>
          <w:tcPr>
            <w:tcW w:w="18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事业</w:t>
            </w:r>
          </w:p>
        </w:tc>
        <w:tc>
          <w:tcPr>
            <w:tcW w:w="212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股级</w:t>
            </w:r>
          </w:p>
        </w:tc>
        <w:tc>
          <w:tcPr>
            <w:tcW w:w="382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r>
              <w:t>财政性资金基本保障</w:t>
            </w:r>
          </w:p>
        </w:tc>
      </w:tr>
    </w:tbl>
    <w:p>
      <w:pPr>
        <w:spacing w:before="10" w:after="10" w:line="360" w:lineRule="auto"/>
        <w:ind w:firstLine="640"/>
        <w:outlineLvl w:val="2"/>
        <w:rPr>
          <w:rFonts w:ascii="黑体" w:hAnsi="黑体" w:eastAsia="黑体"/>
          <w:color w:val="000000"/>
          <w:sz w:val="32"/>
        </w:rPr>
      </w:pPr>
      <w:bookmarkStart w:id="5" w:name="_Toc_3_3_0000000011"/>
    </w:p>
    <w:p>
      <w:pPr>
        <w:spacing w:before="10" w:after="10" w:line="360" w:lineRule="auto"/>
        <w:ind w:firstLine="640"/>
        <w:outlineLvl w:val="2"/>
      </w:pPr>
      <w:r>
        <w:rPr>
          <w:rFonts w:hint="eastAsia" w:ascii="黑体" w:hAnsi="黑体" w:eastAsia="黑体"/>
          <w:color w:val="000000"/>
          <w:sz w:val="32"/>
        </w:rPr>
        <w:t>二、部门预算安排的总体情况</w:t>
      </w:r>
      <w:bookmarkEnd w:id="5"/>
    </w:p>
    <w:p>
      <w:pPr>
        <w:widowControl w:val="0"/>
        <w:spacing w:line="560" w:lineRule="exact"/>
        <w:ind w:firstLine="646"/>
        <w:rPr>
          <w:rFonts w:ascii="仿宋_GB2312" w:hAnsi="仿宋_GB2312" w:eastAsia="仿宋_GB2312"/>
          <w:sz w:val="32"/>
        </w:rPr>
      </w:pPr>
      <w:r>
        <w:rPr>
          <w:rFonts w:hint="eastAsia" w:ascii="仿宋_GB2312" w:hAnsi="仿宋_GB2312" w:eastAsia="仿宋_GB2312"/>
          <w:sz w:val="32"/>
        </w:rPr>
        <w:t>1、2023年我部门预算收入总额为8864.11万元，其中：一般预算拨款收入8864.11万元，政府性基金拨款0万元，国有资本经营预算拨款0万元，其他来源收入0万元。</w:t>
      </w:r>
    </w:p>
    <w:p>
      <w:pPr>
        <w:widowControl w:val="0"/>
        <w:spacing w:line="560" w:lineRule="exact"/>
        <w:ind w:firstLine="646"/>
        <w:rPr>
          <w:rFonts w:ascii="仿宋_GB2312" w:hAnsi="仿宋_GB2312" w:eastAsia="仿宋_GB2312"/>
          <w:sz w:val="32"/>
        </w:rPr>
      </w:pPr>
      <w:r>
        <w:rPr>
          <w:rFonts w:hint="eastAsia" w:ascii="仿宋_GB2312" w:hAnsi="仿宋_GB2312" w:eastAsia="仿宋_GB2312"/>
          <w:sz w:val="32"/>
        </w:rPr>
        <w:t>2、部门预算支出8864.11万元。基本支出589.45万元，其中：人员经费510.68万元，日常公用经费78.77万元；项目支出8274.66万元。支出共8864.11万元，其中：一是一般公共服务支出575.32万元；二是科技方面项目413.74万元；三是社会保障和就业支出18.69万元；四是卫生健康支出102.35万元；五是节能环保支出7389.31万元；五是资源勘探工业信息等支出15万元；六是商业服务业等支出10万元；七是住房保障支出13.7万元；八是其他支出226万元。</w:t>
      </w:r>
    </w:p>
    <w:p>
      <w:pPr>
        <w:widowControl w:val="0"/>
        <w:spacing w:line="560" w:lineRule="exact"/>
        <w:ind w:firstLine="646"/>
        <w:rPr>
          <w:rFonts w:ascii="仿宋_GB2312" w:hAnsi="仿宋_GB2312" w:eastAsia="仿宋_GB2312"/>
          <w:sz w:val="32"/>
        </w:rPr>
      </w:pPr>
      <w:r>
        <w:rPr>
          <w:rFonts w:hint="eastAsia" w:ascii="仿宋_GB2312" w:hAnsi="仿宋_GB2312" w:eastAsia="仿宋_GB2312"/>
          <w:sz w:val="32"/>
        </w:rPr>
        <w:t>3、比上年增减情况</w:t>
      </w:r>
    </w:p>
    <w:p>
      <w:pPr>
        <w:widowControl w:val="0"/>
        <w:spacing w:line="560" w:lineRule="exact"/>
        <w:ind w:firstLine="646"/>
        <w:rPr>
          <w:rFonts w:ascii="仿宋_GB2312" w:hAnsi="仿宋_GB2312" w:eastAsia="仿宋_GB2312"/>
          <w:sz w:val="32"/>
        </w:rPr>
      </w:pPr>
      <w:r>
        <w:rPr>
          <w:rFonts w:hint="eastAsia" w:ascii="仿宋_GB2312" w:hAnsi="仿宋_GB2312" w:eastAsia="仿宋_GB2312"/>
          <w:sz w:val="32"/>
        </w:rPr>
        <w:t>本年度预算收支安排8864.11万元，较上年6723.26万元增加2140.85万元。其中基本支出增加9.22万元，主要原因是人员增加调整及人员工资普调；项目支出较2021年度6413.13万元增加2131.63万元，主要原因是“气代煤、电代煤”项目补贴资金结转本年支出，以及本年度年初上级下达转移性资金较多。</w:t>
      </w:r>
    </w:p>
    <w:p>
      <w:pPr>
        <w:pStyle w:val="18"/>
      </w:pPr>
    </w:p>
    <w:p>
      <w:pPr>
        <w:spacing w:before="10" w:after="10" w:line="360" w:lineRule="auto"/>
        <w:ind w:firstLine="640"/>
        <w:outlineLvl w:val="2"/>
      </w:pPr>
      <w:bookmarkStart w:id="6" w:name="_Toc_3_3_0000000012"/>
      <w:r>
        <w:rPr>
          <w:rFonts w:hint="eastAsia" w:ascii="黑体" w:hAnsi="黑体" w:eastAsia="黑体"/>
          <w:color w:val="000000"/>
          <w:sz w:val="32"/>
        </w:rPr>
        <w:t>三、机关运行经费安排情况</w:t>
      </w:r>
      <w:bookmarkEnd w:id="6"/>
    </w:p>
    <w:p>
      <w:pPr>
        <w:widowControl w:val="0"/>
        <w:spacing w:line="560" w:lineRule="exact"/>
        <w:ind w:firstLine="645"/>
        <w:rPr>
          <w:rFonts w:ascii="仿宋_GB2312" w:hAnsi="仿宋_GB2312" w:eastAsia="仿宋_GB2312"/>
          <w:sz w:val="32"/>
        </w:rPr>
      </w:pPr>
      <w:r>
        <w:rPr>
          <w:rFonts w:hint="eastAsia" w:ascii="仿宋_GB2312" w:hAnsi="仿宋_GB2312" w:eastAsia="仿宋_GB2312"/>
          <w:sz w:val="32"/>
        </w:rPr>
        <w:t xml:space="preserve">2023年涞水县发改局部门预算安排机关运行经费支出78.77万元，其中：办公费112.32万元，邮电费0.36万元，取暖费4.7万元，差旅费5.6万元，公务用车运行维护费6万元，公务交通补贴9.36万元，劳务费21.24万元。按规定比例计提项目19.19万元。其中：工会经费4.61万元，职工福利费14.58万元。    </w:t>
      </w:r>
    </w:p>
    <w:p>
      <w:pPr>
        <w:pStyle w:val="9"/>
      </w:pPr>
    </w:p>
    <w:p>
      <w:pPr>
        <w:numPr>
          <w:ilvl w:val="0"/>
          <w:numId w:val="1"/>
        </w:numPr>
        <w:spacing w:before="10" w:after="10" w:line="360" w:lineRule="auto"/>
        <w:ind w:firstLine="640"/>
        <w:outlineLvl w:val="2"/>
        <w:rPr>
          <w:rFonts w:ascii="黑体" w:hAnsi="黑体" w:eastAsia="黑体"/>
          <w:color w:val="000000"/>
          <w:sz w:val="32"/>
        </w:rPr>
      </w:pPr>
      <w:bookmarkStart w:id="7" w:name="_Toc_3_3_0000000013"/>
      <w:r>
        <w:rPr>
          <w:rFonts w:hint="eastAsia" w:ascii="黑体" w:hAnsi="黑体" w:eastAsia="黑体"/>
          <w:color w:val="000000"/>
          <w:sz w:val="32"/>
        </w:rPr>
        <w:t>财政拨款“三公”经费预算情况及增减变化原因</w:t>
      </w:r>
      <w:bookmarkEnd w:id="7"/>
    </w:p>
    <w:p>
      <w:pPr>
        <w:spacing w:before="10" w:after="10" w:line="360" w:lineRule="auto"/>
        <w:outlineLvl w:val="2"/>
        <w:rPr>
          <w:rFonts w:ascii="黑体" w:hAnsi="黑体" w:eastAsia="黑体"/>
          <w:color w:val="000000"/>
          <w:sz w:val="32"/>
        </w:rPr>
      </w:pPr>
      <w:r>
        <w:rPr>
          <w:rFonts w:hint="eastAsia" w:ascii="仿宋_GB2312" w:hAnsi="仿宋_GB2312" w:eastAsia="仿宋_GB2312"/>
          <w:sz w:val="32"/>
        </w:rPr>
        <w:t xml:space="preserve">    按照上级文件精神要求，我局厉行勤俭节约，压缩开支的原则，大大减少“三公”经费的开支。我单位2023年“三公”经费预算因公出国（境）费无，公务用车购置费无、公务车运行维护费6万元、公务接待费无。2023年与2022年预算公务用车运行费持平。2023年无因公出境、因公接待、公车购置。</w:t>
      </w:r>
    </w:p>
    <w:tbl>
      <w:tblPr>
        <w:tblStyle w:val="6"/>
        <w:tblW w:w="13777" w:type="dxa"/>
        <w:tblInd w:w="0" w:type="dxa"/>
        <w:tblLayout w:type="fixed"/>
        <w:tblCellMar>
          <w:top w:w="0" w:type="dxa"/>
          <w:left w:w="108" w:type="dxa"/>
          <w:bottom w:w="0" w:type="dxa"/>
          <w:right w:w="108" w:type="dxa"/>
        </w:tblCellMar>
      </w:tblPr>
      <w:tblGrid>
        <w:gridCol w:w="2986"/>
        <w:gridCol w:w="2402"/>
        <w:gridCol w:w="2399"/>
        <w:gridCol w:w="1646"/>
        <w:gridCol w:w="4344"/>
      </w:tblGrid>
      <w:tr>
        <w:tblPrEx>
          <w:tblCellMar>
            <w:top w:w="0" w:type="dxa"/>
            <w:left w:w="108" w:type="dxa"/>
            <w:bottom w:w="0" w:type="dxa"/>
            <w:right w:w="108" w:type="dxa"/>
          </w:tblCellMar>
        </w:tblPrEx>
        <w:trPr>
          <w:trHeight w:val="372" w:hRule="atLeast"/>
        </w:trPr>
        <w:tc>
          <w:tcPr>
            <w:tcW w:w="2986" w:type="dxa"/>
            <w:tcBorders>
              <w:top w:val="nil"/>
              <w:left w:val="nil"/>
              <w:bottom w:val="nil"/>
              <w:right w:val="nil"/>
              <w:tl2br w:val="nil"/>
              <w:tr2bl w:val="nil"/>
            </w:tcBorders>
            <w:vAlign w:val="center"/>
          </w:tcPr>
          <w:p>
            <w:pPr>
              <w:rPr>
                <w:rFonts w:ascii="宋体" w:hAnsi="宋体" w:eastAsia="宋体"/>
              </w:rPr>
            </w:pPr>
          </w:p>
        </w:tc>
        <w:tc>
          <w:tcPr>
            <w:tcW w:w="2402" w:type="dxa"/>
            <w:tcBorders>
              <w:top w:val="nil"/>
              <w:left w:val="nil"/>
              <w:bottom w:val="nil"/>
              <w:right w:val="nil"/>
              <w:tl2br w:val="nil"/>
              <w:tr2bl w:val="nil"/>
            </w:tcBorders>
            <w:vAlign w:val="center"/>
          </w:tcPr>
          <w:p>
            <w:pPr>
              <w:rPr>
                <w:rFonts w:ascii="宋体" w:hAnsi="宋体" w:eastAsia="宋体"/>
              </w:rPr>
            </w:pPr>
          </w:p>
        </w:tc>
        <w:tc>
          <w:tcPr>
            <w:tcW w:w="2399" w:type="dxa"/>
            <w:tcBorders>
              <w:top w:val="nil"/>
              <w:left w:val="nil"/>
              <w:bottom w:val="nil"/>
              <w:right w:val="nil"/>
              <w:tl2br w:val="nil"/>
              <w:tr2bl w:val="nil"/>
            </w:tcBorders>
            <w:vAlign w:val="center"/>
          </w:tcPr>
          <w:p>
            <w:pPr>
              <w:rPr>
                <w:rFonts w:ascii="宋体" w:hAnsi="宋体" w:eastAsia="宋体"/>
              </w:rPr>
            </w:pPr>
          </w:p>
        </w:tc>
        <w:tc>
          <w:tcPr>
            <w:tcW w:w="1646" w:type="dxa"/>
            <w:tcBorders>
              <w:top w:val="nil"/>
              <w:left w:val="nil"/>
              <w:bottom w:val="nil"/>
              <w:right w:val="nil"/>
              <w:tl2br w:val="nil"/>
              <w:tr2bl w:val="nil"/>
            </w:tcBorders>
            <w:vAlign w:val="center"/>
          </w:tcPr>
          <w:p>
            <w:pPr>
              <w:rPr>
                <w:rFonts w:ascii="宋体" w:hAnsi="宋体" w:eastAsia="宋体"/>
              </w:rPr>
            </w:pPr>
          </w:p>
        </w:tc>
        <w:tc>
          <w:tcPr>
            <w:tcW w:w="4344" w:type="dxa"/>
            <w:tcBorders>
              <w:top w:val="nil"/>
              <w:left w:val="nil"/>
              <w:bottom w:val="nil"/>
              <w:right w:val="nil"/>
              <w:tl2br w:val="nil"/>
              <w:tr2bl w:val="nil"/>
            </w:tcBorders>
            <w:vAlign w:val="center"/>
          </w:tcPr>
          <w:p>
            <w:pPr>
              <w:jc w:val="right"/>
              <w:rPr>
                <w:rFonts w:ascii="宋体" w:hAnsi="宋体" w:eastAsia="宋体"/>
              </w:rPr>
            </w:pPr>
            <w:r>
              <w:rPr>
                <w:rFonts w:hAnsi="宋体"/>
              </w:rPr>
              <w:t>单位：万元</w:t>
            </w:r>
          </w:p>
        </w:tc>
      </w:tr>
      <w:tr>
        <w:tblPrEx>
          <w:tblCellMar>
            <w:top w:w="0" w:type="dxa"/>
            <w:left w:w="108" w:type="dxa"/>
            <w:bottom w:w="0" w:type="dxa"/>
            <w:right w:w="108" w:type="dxa"/>
          </w:tblCellMar>
        </w:tblPrEx>
        <w:trPr>
          <w:trHeight w:val="384" w:hRule="atLeast"/>
        </w:trPr>
        <w:tc>
          <w:tcPr>
            <w:tcW w:w="298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项目名称</w:t>
            </w:r>
          </w:p>
        </w:tc>
        <w:tc>
          <w:tcPr>
            <w:tcW w:w="2402" w:type="dxa"/>
            <w:tcBorders>
              <w:top w:val="single" w:color="auto" w:sz="4" w:space="0"/>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2022年度预算</w:t>
            </w:r>
          </w:p>
        </w:tc>
        <w:tc>
          <w:tcPr>
            <w:tcW w:w="2399" w:type="dxa"/>
            <w:tcBorders>
              <w:top w:val="single" w:color="auto" w:sz="4" w:space="0"/>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2023年度预算</w:t>
            </w:r>
          </w:p>
        </w:tc>
        <w:tc>
          <w:tcPr>
            <w:tcW w:w="1646" w:type="dxa"/>
            <w:tcBorders>
              <w:top w:val="single" w:color="auto" w:sz="4" w:space="0"/>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增减金额</w:t>
            </w:r>
          </w:p>
        </w:tc>
        <w:tc>
          <w:tcPr>
            <w:tcW w:w="4344" w:type="dxa"/>
            <w:tcBorders>
              <w:top w:val="single" w:color="auto" w:sz="4" w:space="0"/>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84" w:hRule="atLeast"/>
        </w:trPr>
        <w:tc>
          <w:tcPr>
            <w:tcW w:w="2986" w:type="dxa"/>
            <w:tcBorders>
              <w:top w:val="nil"/>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因公出国经费</w:t>
            </w:r>
          </w:p>
        </w:tc>
        <w:tc>
          <w:tcPr>
            <w:tcW w:w="2402"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2399"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1646"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4344" w:type="dxa"/>
            <w:tcBorders>
              <w:top w:val="nil"/>
              <w:left w:val="nil"/>
              <w:bottom w:val="single" w:color="auto" w:sz="4" w:space="0"/>
              <w:right w:val="single" w:color="auto" w:sz="4" w:space="0"/>
              <w:tl2br w:val="nil"/>
              <w:tr2bl w:val="nil"/>
            </w:tcBorders>
            <w:vAlign w:val="center"/>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4" w:hRule="atLeast"/>
        </w:trPr>
        <w:tc>
          <w:tcPr>
            <w:tcW w:w="2986" w:type="dxa"/>
            <w:tcBorders>
              <w:top w:val="nil"/>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公务用车购置经费</w:t>
            </w:r>
          </w:p>
        </w:tc>
        <w:tc>
          <w:tcPr>
            <w:tcW w:w="2402"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2399"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1646"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4344" w:type="dxa"/>
            <w:tcBorders>
              <w:top w:val="nil"/>
              <w:left w:val="nil"/>
              <w:bottom w:val="single" w:color="auto" w:sz="4" w:space="0"/>
              <w:right w:val="single" w:color="auto" w:sz="4" w:space="0"/>
              <w:tl2br w:val="nil"/>
              <w:tr2bl w:val="nil"/>
            </w:tcBorders>
            <w:vAlign w:val="center"/>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4" w:hRule="atLeast"/>
        </w:trPr>
        <w:tc>
          <w:tcPr>
            <w:tcW w:w="2986" w:type="dxa"/>
            <w:tcBorders>
              <w:top w:val="nil"/>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公务用车运行经费</w:t>
            </w:r>
          </w:p>
        </w:tc>
        <w:tc>
          <w:tcPr>
            <w:tcW w:w="2402"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6</w:t>
            </w:r>
          </w:p>
        </w:tc>
        <w:tc>
          <w:tcPr>
            <w:tcW w:w="2399"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6</w:t>
            </w:r>
          </w:p>
        </w:tc>
        <w:tc>
          <w:tcPr>
            <w:tcW w:w="1646"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4344" w:type="dxa"/>
            <w:tcBorders>
              <w:top w:val="nil"/>
              <w:left w:val="nil"/>
              <w:bottom w:val="single" w:color="auto" w:sz="4" w:space="0"/>
              <w:right w:val="single" w:color="auto" w:sz="4" w:space="0"/>
              <w:tl2br w:val="nil"/>
              <w:tr2bl w:val="nil"/>
            </w:tcBorders>
            <w:vAlign w:val="center"/>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4" w:hRule="atLeast"/>
        </w:trPr>
        <w:tc>
          <w:tcPr>
            <w:tcW w:w="2986" w:type="dxa"/>
            <w:tcBorders>
              <w:top w:val="nil"/>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公务接待费支出</w:t>
            </w:r>
          </w:p>
        </w:tc>
        <w:tc>
          <w:tcPr>
            <w:tcW w:w="2402"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2399"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1646"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4344" w:type="dxa"/>
            <w:tcBorders>
              <w:top w:val="nil"/>
              <w:left w:val="nil"/>
              <w:bottom w:val="single" w:color="auto" w:sz="4" w:space="0"/>
              <w:right w:val="single" w:color="auto" w:sz="4" w:space="0"/>
              <w:tl2br w:val="nil"/>
              <w:tr2bl w:val="nil"/>
            </w:tcBorders>
            <w:vAlign w:val="center"/>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96" w:hRule="atLeast"/>
        </w:trPr>
        <w:tc>
          <w:tcPr>
            <w:tcW w:w="2986" w:type="dxa"/>
            <w:tcBorders>
              <w:top w:val="nil"/>
              <w:left w:val="single" w:color="auto" w:sz="4" w:space="0"/>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合计</w:t>
            </w:r>
          </w:p>
        </w:tc>
        <w:tc>
          <w:tcPr>
            <w:tcW w:w="2402"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6</w:t>
            </w:r>
          </w:p>
        </w:tc>
        <w:tc>
          <w:tcPr>
            <w:tcW w:w="2399"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6</w:t>
            </w:r>
          </w:p>
        </w:tc>
        <w:tc>
          <w:tcPr>
            <w:tcW w:w="1646" w:type="dxa"/>
            <w:tcBorders>
              <w:top w:val="nil"/>
              <w:left w:val="nil"/>
              <w:bottom w:val="single" w:color="auto" w:sz="4" w:space="0"/>
              <w:right w:val="single" w:color="auto" w:sz="4" w:space="0"/>
              <w:tl2br w:val="nil"/>
              <w:tr2bl w:val="nil"/>
            </w:tcBorders>
            <w:vAlign w:val="center"/>
          </w:tcPr>
          <w:p>
            <w:pPr>
              <w:jc w:val="center"/>
              <w:rPr>
                <w:rFonts w:ascii="仿宋_GB2312" w:hAnsi="宋体" w:eastAsia="仿宋_GB2312"/>
              </w:rPr>
            </w:pPr>
            <w:r>
              <w:rPr>
                <w:rFonts w:hint="eastAsia" w:ascii="仿宋_GB2312" w:hAnsi="宋体" w:eastAsia="仿宋_GB2312"/>
              </w:rPr>
              <w:t>0</w:t>
            </w:r>
          </w:p>
        </w:tc>
        <w:tc>
          <w:tcPr>
            <w:tcW w:w="4344" w:type="dxa"/>
            <w:tcBorders>
              <w:top w:val="nil"/>
              <w:left w:val="nil"/>
              <w:bottom w:val="single" w:color="auto" w:sz="4" w:space="0"/>
              <w:right w:val="single" w:color="auto" w:sz="4" w:space="0"/>
              <w:tl2br w:val="nil"/>
              <w:tr2bl w:val="nil"/>
            </w:tcBorders>
            <w:vAlign w:val="center"/>
          </w:tcPr>
          <w:p>
            <w:pPr>
              <w:rPr>
                <w:rFonts w:ascii="仿宋_GB2312" w:hAnsi="宋体" w:eastAsia="仿宋_GB2312"/>
              </w:rPr>
            </w:pPr>
            <w:r>
              <w:rPr>
                <w:rFonts w:hint="eastAsia" w:ascii="仿宋_GB2312" w:hAnsi="宋体" w:eastAsia="仿宋_GB2312"/>
              </w:rPr>
              <w:t>无增减变化</w:t>
            </w:r>
          </w:p>
        </w:tc>
      </w:tr>
    </w:tbl>
    <w:p>
      <w:pPr>
        <w:pStyle w:val="23"/>
      </w:pPr>
    </w:p>
    <w:p>
      <w:pPr>
        <w:numPr>
          <w:ilvl w:val="0"/>
          <w:numId w:val="1"/>
        </w:numPr>
        <w:spacing w:before="10" w:after="10" w:line="360" w:lineRule="auto"/>
        <w:ind w:firstLine="640"/>
        <w:outlineLvl w:val="2"/>
        <w:rPr>
          <w:rFonts w:ascii="黑体" w:hAnsi="黑体" w:eastAsia="黑体"/>
          <w:color w:val="000000"/>
          <w:sz w:val="32"/>
        </w:rPr>
      </w:pPr>
      <w:bookmarkStart w:id="8" w:name="_Toc_3_3_0000000014"/>
      <w:r>
        <w:rPr>
          <w:rFonts w:hint="eastAsia" w:ascii="黑体" w:hAnsi="黑体" w:eastAsia="黑体"/>
          <w:color w:val="000000"/>
          <w:sz w:val="32"/>
        </w:rPr>
        <w:t>预算绩效信息</w:t>
      </w:r>
      <w:bookmarkEnd w:id="8"/>
    </w:p>
    <w:p>
      <w:pPr>
        <w:spacing w:line="560" w:lineRule="exact"/>
        <w:ind w:firstLine="640"/>
      </w:pPr>
      <w:r>
        <w:rPr>
          <w:rFonts w:hint="eastAsia" w:ascii="方正楷体_GBK" w:hAnsi="方正楷体_GBK" w:eastAsia="方正楷体_GBK"/>
          <w:b/>
          <w:color w:val="000000"/>
          <w:sz w:val="32"/>
        </w:rPr>
        <w:t>第一部分 部门整体绩效目标</w:t>
      </w:r>
    </w:p>
    <w:p>
      <w:pPr>
        <w:spacing w:line="560" w:lineRule="exact"/>
        <w:ind w:firstLine="560"/>
      </w:pPr>
      <w:r>
        <w:rPr>
          <w:rFonts w:hint="eastAsia" w:eastAsia="方正仿宋_GBK"/>
          <w:color w:val="000000"/>
          <w:sz w:val="28"/>
        </w:rPr>
        <w:t>（一）总体绩效目标</w:t>
      </w:r>
    </w:p>
    <w:p>
      <w:pPr>
        <w:pStyle w:val="24"/>
        <w:spacing w:line="560" w:lineRule="exact"/>
        <w:rPr>
          <w:rFonts w:ascii="仿宋" w:hAnsi="仿宋" w:eastAsia="仿宋"/>
        </w:rPr>
      </w:pPr>
      <w:r>
        <w:rPr>
          <w:rFonts w:hint="eastAsia" w:ascii="仿宋" w:hAnsi="仿宋" w:eastAsia="仿宋"/>
        </w:rPr>
        <w:t>2023年，我局将坚持以科学发展观为统领，充分发挥部门职能，合理安排支出，着力促进全县经济社会又好又快发展。</w:t>
      </w:r>
    </w:p>
    <w:p>
      <w:pPr>
        <w:widowControl w:val="0"/>
        <w:spacing w:line="560" w:lineRule="exact"/>
        <w:ind w:firstLine="640" w:firstLineChars="200"/>
        <w:rPr>
          <w:rFonts w:ascii="仿宋_GB2312" w:hAnsi="仿宋_GB2312" w:eastAsia="仿宋_GB2312"/>
          <w:sz w:val="32"/>
        </w:rPr>
      </w:pPr>
      <w:r>
        <w:rPr>
          <w:rFonts w:hint="eastAsia" w:ascii="仿宋" w:hAnsi="仿宋" w:eastAsia="仿宋"/>
          <w:sz w:val="32"/>
        </w:rPr>
        <w:t>1、加快推进京津冀协同发展。一是瞄准重点领域，促进重点项目建设，深化大气污染防治攻坚，重点推进气代煤、电代煤工作，加快率先联动发展步伐。二是推进载体建设，快速打造功能完善的疏解平台。全</w:t>
      </w:r>
      <w:r>
        <w:rPr>
          <w:rFonts w:hint="eastAsia" w:ascii="仿宋_GB2312" w:hAnsi="仿宋_GB2312" w:eastAsia="仿宋_GB2312"/>
          <w:sz w:val="32"/>
        </w:rPr>
        <w:t>力推进涞水新城建设，促进经济开发区转型升级，加快重大项目建设。三是狠抓招商引资，做大做强经济增量。立足主动承接北京非首都功能疏解和产业转移，大力实施大众创业万众创新，激活创新主体，全力打造高端人才聚集地，积极对接中央、省、市相关部门，真正使各项决策部署落地实施，确保涞水在京津冀协同发展中走在前列。</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加强宏观经济指导作用。紧紧围绕县委、县政府提出的发展战略和制约全县经济社会发展的重大问题进行广泛深入分析，认真总结2022年国民经济和社会发展计划执行情况，及时发现经济社会发展运行中的难点、热点问题，提出对策建议。</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3、积极主动争取项目资金。加强政策研究，及时跟踪、捕捉国家和省市资金投向，围绕城市基础设施建设、社会事业等方面谋划一批国家支持的项目，为争取中央和省项目资金奠定良好基础。</w:t>
      </w:r>
    </w:p>
    <w:p>
      <w:pPr>
        <w:pStyle w:val="24"/>
        <w:spacing w:line="560" w:lineRule="exact"/>
      </w:pPr>
      <w:r>
        <w:rPr>
          <w:rFonts w:hint="eastAsia" w:ascii="仿宋_GB2312" w:hAnsi="仿宋_GB2312" w:eastAsia="仿宋_GB2312"/>
          <w:sz w:val="32"/>
        </w:rPr>
        <w:t>4、深入推进节能减排工作。一是严格落实节能审查制度，对所有项目进行节能审查和登记。二是督促中燃等企业加快天然气项目进程，为大气污染防治做贡献。三是积极对接省市部门，争取项目落地。四是加强对冀东水泥、顺天电极等高耗能</w:t>
      </w:r>
      <w:r>
        <w:rPr>
          <w:rFonts w:hint="eastAsia" w:ascii="仿宋_GB2312" w:hAnsi="仿宋_GB2312" w:eastAsia="仿宋_GB2312"/>
          <w:sz w:val="32"/>
          <w:lang w:eastAsia="zh-CN"/>
        </w:rPr>
        <w:t>项目</w:t>
      </w:r>
      <w:r>
        <w:rPr>
          <w:rFonts w:hint="eastAsia" w:ascii="仿宋_GB2312" w:hAnsi="仿宋_GB2312" w:eastAsia="仿宋_GB2312"/>
          <w:sz w:val="32"/>
        </w:rPr>
        <w:t>节能监察</w:t>
      </w:r>
    </w:p>
    <w:p>
      <w:pPr>
        <w:pStyle w:val="24"/>
        <w:spacing w:line="560" w:lineRule="exact"/>
        <w:rPr>
          <w:rFonts w:ascii="仿宋_GB2312" w:hAnsi="仿宋_GB2312" w:eastAsia="仿宋_GB2312"/>
          <w:sz w:val="32"/>
        </w:rPr>
      </w:pPr>
      <w:r>
        <w:rPr>
          <w:rFonts w:hint="eastAsia" w:ascii="仿宋_GB2312" w:hAnsi="仿宋_GB2312" w:eastAsia="仿宋_GB2312"/>
          <w:sz w:val="32"/>
        </w:rPr>
        <w:t>5、完成上级转移支付资金项目</w:t>
      </w:r>
    </w:p>
    <w:p>
      <w:pPr>
        <w:pStyle w:val="24"/>
        <w:spacing w:line="560" w:lineRule="exact"/>
        <w:rPr>
          <w:rFonts w:ascii="仿宋_GB2312" w:hAnsi="仿宋_GB2312" w:eastAsia="仿宋_GB2312"/>
          <w:sz w:val="32"/>
        </w:rPr>
      </w:pPr>
      <w:r>
        <w:rPr>
          <w:rFonts w:hint="eastAsia" w:ascii="仿宋_GB2312" w:hAnsi="仿宋_GB2312" w:eastAsia="仿宋_GB2312"/>
          <w:sz w:val="32"/>
        </w:rPr>
        <w:t>按照省财政厅提前下达文件通知要求，开展电代煤项目、气代煤项目和光伏取暖项目，科技创新项目将上级转移支付资金项目落实到位。</w:t>
      </w:r>
    </w:p>
    <w:p>
      <w:pPr>
        <w:spacing w:line="560" w:lineRule="exact"/>
        <w:ind w:firstLine="560"/>
      </w:pPr>
      <w:r>
        <w:rPr>
          <w:rFonts w:hint="eastAsia" w:eastAsia="方正仿宋_GBK"/>
          <w:color w:val="000000"/>
          <w:sz w:val="28"/>
        </w:rPr>
        <w:t>（二）分项绩效目标</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1.观大局、谋大势，把电子商务进入到千家万户</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绩效目标：提高电子政务信息化水</w:t>
      </w:r>
      <w:r>
        <w:rPr>
          <w:rFonts w:hint="eastAsia" w:ascii="仿宋_GB2312" w:hAnsi="仿宋_GB2312" w:eastAsia="仿宋_GB2312"/>
          <w:sz w:val="32"/>
          <w:lang w:eastAsia="zh-CN"/>
        </w:rPr>
        <w:t>平</w:t>
      </w:r>
      <w:r>
        <w:rPr>
          <w:rFonts w:hint="eastAsia" w:ascii="仿宋_GB2312" w:hAnsi="仿宋_GB2312" w:eastAsia="仿宋_GB2312"/>
          <w:sz w:val="32"/>
        </w:rPr>
        <w:t>。提升信息资源利用水平</w:t>
      </w:r>
      <w:bookmarkStart w:id="45" w:name="_GoBack"/>
      <w:bookmarkEnd w:id="45"/>
      <w:r>
        <w:rPr>
          <w:rFonts w:hint="eastAsia" w:ascii="仿宋_GB2312" w:hAnsi="仿宋_GB2312" w:eastAsia="仿宋_GB2312"/>
          <w:sz w:val="32"/>
        </w:rPr>
        <w:t>，促进三网融,保障全县网络信息安全，确保不发生重特大网络信息安全事件，提高农村电子商务应用，扩大网络消费规模。推动农村电子商务基础设施建设，提高电子商务执业人员素质；建立与我县农村电子商务发展相适应的机制。</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绩效指标：当年任务完成情况&gt;=90,资金占应到位资金的比例&gt;=90,发放完成率&gt;=90,能够长期较好地保障机关单位网络使用的需求&gt;=90,全县机关单位及乡镇对所提供服务的满意程度&gt;=90</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2.促协同、扶特色，在推动区域协调发展上有新提升</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绩效目标：京津冀协同发展取得新成效，打造一批京津产业转移合作先行区。加强交通基础设施建设，持续推进重点领域取得新突破。县域经济高质量发展持续推进，指标考核体系逐步完善。</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指标：举办招商引资活动的数量&gt;=7,参与招商引资活动的客商人数&gt;=50,招商活动的签约项目个数&gt;=7,在全省或全市产生的重要影响，得到广大受众的充分认可&gt;=90,调查中满意和较满意的人数占调查总人数的比率&gt;=80</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3.促开放、抓经济，在推动经济平稳运行上有新提升</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绩效目标：为上级和县政府提供成本数据、分析预测趋势，为上级制定宏观经济政策、价格政策、稳定市场物价服务</w:t>
      </w:r>
      <w:r>
        <w:rPr>
          <w:rFonts w:hint="eastAsia" w:ascii="仿宋_GB2312" w:hAnsi="仿宋_GB2312" w:eastAsia="仿宋_GB2312"/>
          <w:sz w:val="32"/>
        </w:rPr>
        <w:tab/>
      </w:r>
      <w:r>
        <w:rPr>
          <w:rFonts w:hint="eastAsia" w:ascii="仿宋_GB2312" w:hAnsi="仿宋_GB2312" w:eastAsia="仿宋_GB2312"/>
          <w:sz w:val="32"/>
        </w:rPr>
        <w:t>，使成本监审工作规范化、程序化，确保全县成本监审工作依法有序的开展，为政府制定价格提供成本数据支撑。</w:t>
      </w:r>
      <w:r>
        <w:rPr>
          <w:rFonts w:hint="eastAsia" w:ascii="仿宋_GB2312" w:hAnsi="仿宋_GB2312" w:eastAsia="仿宋_GB2312"/>
          <w:sz w:val="32"/>
        </w:rPr>
        <w:tab/>
      </w:r>
      <w:r>
        <w:rPr>
          <w:rFonts w:hint="eastAsia" w:ascii="仿宋_GB2312" w:hAnsi="仿宋_GB2312" w:eastAsia="仿宋_GB2312"/>
          <w:sz w:val="32"/>
        </w:rPr>
        <w:t xml:space="preserve">  绩效指标：对调查品种数据进行收集、审核、汇总、分析&gt;=90，对列入《价格成本监审目录》的商品和收费项目进行监审。&gt;=90使成本监审工作规范化、程序化，为政府制定价格提供成本数据支&gt;=90，被投诉的执法办案行为次数占执法办案总数的比率&gt;=90提供服务的满意程度&gt;=90</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4.建机制、打基础，在推动绿色发展上有新提升</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目标：抓好节能降耗，用能单位节能管理持续改进、节能技术持续进步、能效持续提升，不折不扣落实煤炭减量替代政策，积极推动资源循环利用基地建设，生活垃圾处理水平不断提高，清洁取暖成效显著，能源结构不断优化，清洁能源持续快速发展，推动污染治理和生态修复，重点区域环境治理持续强化。</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指标：按照要求和计划完成清洁煤点比例（百分比）&gt;=85，当年清洁煤补贴完成情况&gt;=85通过清洁煤推广，不对生态环境产生坏的影响，属于绿色生态产业。&gt;=85能够长期较好地保护环境&gt;=85接受清洁煤补贴提供服务的满意程度&gt;=90</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5.补短板、兜底线，在保障和改善民生上有新提升。</w:t>
      </w:r>
    </w:p>
    <w:p>
      <w:pPr>
        <w:widowControl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绩效目标：易地扶贫搬迁后续扶持产业发展稳定，迁入地基础设施和公共服务进一步完善。破除制约我省居民增收的体制机制障碍，促进居民增收创富。推进价格调控和价格改革，保持重要商品和市场价格稳定，研究制定我省基本公共服务标准，基本公共服务高质量发展。</w:t>
      </w:r>
    </w:p>
    <w:p>
      <w:pPr>
        <w:spacing w:line="560" w:lineRule="exact"/>
        <w:rPr>
          <w:rFonts w:ascii="仿宋_GB2312" w:hAnsi="仿宋_GB2312" w:eastAsia="仿宋_GB2312"/>
          <w:sz w:val="32"/>
        </w:rPr>
      </w:pPr>
      <w:r>
        <w:rPr>
          <w:rFonts w:hint="eastAsia" w:ascii="仿宋_GB2312" w:hAnsi="仿宋_GB2312" w:eastAsia="仿宋_GB2312"/>
          <w:sz w:val="32"/>
        </w:rPr>
        <w:t>绩效指标：完成农宅改造任务的试点村的占全部试点村的比率&gt;=85实际完成配套实施量占计划完成率&gt;=80调查中满意和较满意的农户数量占全部调查人数比率&gt;=80采纳的政策措施建议数量占提交的总数量的比率&gt;=85群众满意数量占总数的比例&gt;= 85。实际参加考察人数&gt;=12,考察任务完成情况&gt;=90,在全省重要影响，得到广大受众的充分认可&gt;=90，不进行基础设施建设，不对生态环境产生坏的影响，属于绿色生态产业&gt;=90,接受基本公共卫生服务的重点人群对基层医疗卫生机构所提供服务的满意程度&gt;=85。</w:t>
      </w:r>
    </w:p>
    <w:p>
      <w:pPr>
        <w:spacing w:line="560" w:lineRule="exact"/>
        <w:rPr>
          <w:rFonts w:ascii="仿宋_GB2312" w:hAnsi="仿宋_GB2312" w:eastAsia="仿宋_GB2312"/>
          <w:sz w:val="32"/>
        </w:rPr>
      </w:pPr>
      <w:r>
        <w:rPr>
          <w:rFonts w:hint="eastAsia" w:ascii="仿宋_GB2312" w:hAnsi="仿宋_GB2312" w:eastAsia="仿宋_GB2312"/>
          <w:sz w:val="32"/>
        </w:rPr>
        <w:t xml:space="preserve">    6、机关办公运转保障.</w:t>
      </w:r>
    </w:p>
    <w:p>
      <w:pPr>
        <w:spacing w:line="560" w:lineRule="exact"/>
        <w:rPr>
          <w:rFonts w:eastAsia="方正仿宋_GBK"/>
          <w:color w:val="000000"/>
          <w:sz w:val="28"/>
        </w:rPr>
      </w:pPr>
      <w:r>
        <w:rPr>
          <w:rFonts w:hint="eastAsia" w:ascii="仿宋_GB2312" w:hAnsi="仿宋_GB2312" w:eastAsia="仿宋_GB2312"/>
          <w:sz w:val="32"/>
        </w:rPr>
        <w:t>保证机关协调运行，下属事业单位工作正常开展，加强人事管理及干部队伍教育培训，做好机关财务和资产管理，实施基础设施建设及维修，严格办公设备购置管理，做好各级会议组织和管理。</w:t>
      </w:r>
    </w:p>
    <w:p>
      <w:pPr>
        <w:spacing w:line="560" w:lineRule="exact"/>
        <w:ind w:firstLine="560"/>
      </w:pPr>
      <w:r>
        <w:rPr>
          <w:rFonts w:hint="eastAsia" w:eastAsia="方正仿宋_GBK"/>
          <w:color w:val="000000"/>
          <w:sz w:val="28"/>
        </w:rPr>
        <w:t>（三）工作保障措施</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为保证年度发展规划目标的实现，特制定以下保障措施：</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1.完善制度建设。将事前评估、目标管理、运行监控、绩效评价、结果应用等各项改革措施，有效融入预算管理的全过程，建立健全发改领域预算绩效管理的路径和制度体系。成立预算绩效管理工作领导小组，建立统筹协调、分工协作、密切配合、合理推进的工作机制，围绕年度总体绩效目标和分类绩效目标，细化工作方案，明确责任主体，实施进度要求，确保如期完成。研究制定部门完善预算绩效考核办法、资金管理办法、工作保障制度等，为全年预算绩效目标的实现奠定制度基础。</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2.加强支出管理。强化财政预算执行的刚性需求，编细编实年度预算，对预算的事前、事中、事后进行全过程控制，提高预算资金使用效率。优化经费支出结构，通过加快履行政府采购手续、尽快启动项目、及时支付资金、6月底前细化代编预算、按规定及时下达资金等多种措施，确保按照时间节点完成支出任务。</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3.加强绩效运行监控。按要求开展绩效运行监控，依据确定的绩效目标，采取项目跟踪、数据核查和汇总分析等的方式，动态地了解和掌握项目绩效目标实现程度、资金支出进度和项目实施进度，发现问题及时采取措施，确保绩效目标如期保质实现。</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4.做好绩效自评。按要求组织相关业务股室开展上年度部门预算绩效自评和重点评价工作，充分调动业务股室的积极性和主动性，由业务股室负责科学制定分管项目和内容的中期、终期绩效目标和评价指标，动态收集评估数据信息，开展预算绩效中期评估、终期评价，落实整改措施等。对评价中发现的问题及时整改，调整优化支出结构，提高财政资金使用效益。</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5.规范财务资产管理。建立财务支出约束机制，完善内部控制管理制度，加强资金和资产管理，科学配置单位资源，严格审批程序，加强固定资产登记、使用和报废处置管理，做到支出合理，物尽其用。坚持按项目、按进度支出，不准随意变更预算项目、超预算安排支出，因特殊情况需调整预算或追加支出的，应按照规定的程序进行报批。</w:t>
      </w:r>
    </w:p>
    <w:p>
      <w:pPr>
        <w:spacing w:line="560" w:lineRule="exact"/>
      </w:pPr>
      <w:r>
        <w:rPr>
          <w:rFonts w:hint="eastAsia" w:ascii="仿宋_GB2312" w:hAnsi="仿宋_GB2312" w:eastAsia="仿宋_GB2312"/>
          <w:sz w:val="32"/>
        </w:rPr>
        <w:t xml:space="preserve">    6.加强内部监督。加强内部监督制度建设，对绩效运行情况、重大支出决策、对外投资、资产处置及其他重要经济业务事项的决策和执行进行督导，推行公开财务，增加资金使用透明度，自觉接受群众监督，对会计资料进行内部审计，并配合做好审计、财政监督等外部监督工作，确保财政资金安全有效。</w:t>
      </w:r>
    </w:p>
    <w:p>
      <w:pPr>
        <w:widowControl w:val="0"/>
        <w:spacing w:line="560" w:lineRule="exact"/>
        <w:rPr>
          <w:rFonts w:ascii="仿宋_GB2312" w:hAnsi="仿宋_GB2312" w:eastAsia="仿宋_GB2312"/>
          <w:sz w:val="32"/>
        </w:rPr>
      </w:pPr>
      <w:r>
        <w:rPr>
          <w:rFonts w:hint="eastAsia" w:ascii="仿宋_GB2312" w:hAnsi="仿宋_GB2312" w:eastAsia="仿宋_GB2312"/>
          <w:sz w:val="32"/>
        </w:rPr>
        <w:t xml:space="preserve">    7、加强干部队伍建设，提升综合业务水平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12"/>
        <w:ind w:firstLine="0"/>
      </w:pPr>
    </w:p>
    <w:p>
      <w:pPr>
        <w:pStyle w:val="12"/>
        <w:ind w:firstLine="0"/>
      </w:pPr>
    </w:p>
    <w:p>
      <w:pPr>
        <w:pStyle w:val="12"/>
        <w:ind w:firstLine="0"/>
      </w:pPr>
    </w:p>
    <w:p>
      <w:pPr>
        <w:pStyle w:val="12"/>
        <w:ind w:firstLine="0"/>
      </w:pPr>
    </w:p>
    <w:p/>
    <w:p/>
    <w:p/>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44"/>
        </w:rPr>
      </w:pPr>
    </w:p>
    <w:p>
      <w:pPr>
        <w:jc w:val="center"/>
        <w:rPr>
          <w:sz w:val="44"/>
        </w:rPr>
      </w:pPr>
    </w:p>
    <w:p>
      <w:pPr>
        <w:jc w:val="center"/>
        <w:rPr>
          <w:rFonts w:ascii="方正楷体_GBK" w:hAnsi="方正楷体_GBK" w:eastAsia="方正楷体_GBK"/>
          <w:b/>
          <w:color w:val="000000"/>
          <w:sz w:val="44"/>
        </w:rPr>
      </w:pPr>
      <w:r>
        <w:rPr>
          <w:rFonts w:hint="eastAsia" w:ascii="方正楷体_GBK" w:hAnsi="方正楷体_GBK" w:eastAsia="方正楷体_GBK"/>
          <w:b/>
          <w:color w:val="000000"/>
          <w:sz w:val="44"/>
        </w:rPr>
        <w:t>第二部分  预算项目绩效目标</w:t>
      </w:r>
    </w:p>
    <w:p>
      <w:pPr>
        <w:jc w:val="center"/>
        <w:rPr>
          <w:rFonts w:ascii="方正楷体_GBK" w:hAnsi="方正楷体_GBK" w:eastAsia="方正楷体_GBK"/>
          <w:b/>
          <w:color w:val="000000"/>
          <w:sz w:val="44"/>
        </w:rPr>
        <w:sectPr>
          <w:pgSz w:w="16840" w:h="11900" w:orient="landscape"/>
          <w:pgMar w:top="1361" w:right="1020" w:bottom="1134" w:left="1020" w:header="720" w:footer="720" w:gutter="0"/>
          <w:pgNumType w:fmt="numberInDash"/>
          <w:cols w:space="720" w:num="1"/>
          <w:docGrid w:type="lines" w:linePitch="312" w:charSpace="0"/>
        </w:sectPr>
      </w:pPr>
    </w:p>
    <w:p>
      <w:pPr>
        <w:outlineLvl w:val="3"/>
        <w:rPr>
          <w:rFonts w:ascii="方正仿宋_GBK" w:hAnsi="方正仿宋_GBK" w:eastAsia="方正仿宋_GBK"/>
          <w:color w:val="000000"/>
          <w:sz w:val="28"/>
        </w:rPr>
      </w:pPr>
      <w:bookmarkStart w:id="9" w:name="_Toc_4_4_0000000004"/>
    </w:p>
    <w:bookmarkEnd w:id="9"/>
    <w:p/>
    <w:p>
      <w:pPr>
        <w:ind w:firstLine="560"/>
        <w:outlineLvl w:val="3"/>
      </w:pPr>
      <w:r>
        <w:rPr>
          <w:rFonts w:ascii="方正仿宋_GBK" w:hAnsi="方正仿宋_GBK" w:eastAsia="方正仿宋_GBK" w:cs="方正仿宋_GBK"/>
          <w:color w:val="000000"/>
          <w:sz w:val="28"/>
        </w:rPr>
        <w:t>1.2021年度市级工业转型升级（技改）专项资金（保财建[2022]88号）绩效目标表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13062322P009407100019</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2021年度市级工业转型升级（技改）专项资金（保财建[2022]88号）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5.00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5.00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引导企业健康发展，加快工业高质量发展。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1.对2020年各市县工业经济高质量发展情况进行综合评价，引导市县加快工业高质量发展。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奖励县个数</w:t>
            </w:r>
          </w:p>
        </w:tc>
        <w:tc>
          <w:tcPr>
            <w:tcW w:w="2891" w:type="dxa"/>
            <w:vAlign w:val="center"/>
          </w:tcPr>
          <w:p>
            <w:pPr>
              <w:pStyle w:val="11"/>
              <w:rPr>
                <w:rFonts w:hint="default"/>
              </w:rPr>
            </w:pPr>
            <w:r>
              <w:t>按照综合评价结果，奖励排名前10的县</w:t>
            </w:r>
          </w:p>
        </w:tc>
        <w:tc>
          <w:tcPr>
            <w:tcW w:w="1276" w:type="dxa"/>
            <w:vAlign w:val="center"/>
          </w:tcPr>
          <w:p>
            <w:pPr>
              <w:pStyle w:val="11"/>
              <w:rPr>
                <w:rFonts w:hint="default"/>
              </w:rPr>
            </w:pPr>
            <w:r>
              <w:t>≥1家</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评价质量</w:t>
            </w:r>
          </w:p>
        </w:tc>
        <w:tc>
          <w:tcPr>
            <w:tcW w:w="2891" w:type="dxa"/>
            <w:vAlign w:val="center"/>
          </w:tcPr>
          <w:p>
            <w:pPr>
              <w:pStyle w:val="11"/>
              <w:rPr>
                <w:rFonts w:hint="default"/>
              </w:rPr>
            </w:pPr>
            <w:r>
              <w:t>符合河北省高质量发展综合评价体系</w:t>
            </w:r>
          </w:p>
        </w:tc>
        <w:tc>
          <w:tcPr>
            <w:tcW w:w="1276" w:type="dxa"/>
            <w:vAlign w:val="center"/>
          </w:tcPr>
          <w:p>
            <w:pPr>
              <w:pStyle w:val="11"/>
              <w:rPr>
                <w:rFonts w:hint="default"/>
              </w:rPr>
            </w:pPr>
            <w:r>
              <w:t>严格按照</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任务完成时间</w:t>
            </w:r>
          </w:p>
        </w:tc>
        <w:tc>
          <w:tcPr>
            <w:tcW w:w="2891" w:type="dxa"/>
            <w:vAlign w:val="center"/>
          </w:tcPr>
          <w:p>
            <w:pPr>
              <w:pStyle w:val="11"/>
              <w:rPr>
                <w:rFonts w:hint="default"/>
              </w:rPr>
            </w:pPr>
            <w:r>
              <w:t>任务完成时间</w:t>
            </w:r>
          </w:p>
        </w:tc>
        <w:tc>
          <w:tcPr>
            <w:tcW w:w="1276" w:type="dxa"/>
            <w:vAlign w:val="center"/>
          </w:tcPr>
          <w:p>
            <w:pPr>
              <w:pStyle w:val="11"/>
              <w:rPr>
                <w:rFonts w:hint="default"/>
              </w:rPr>
            </w:pPr>
            <w:r>
              <w:t>按时完成</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预算控制</w:t>
            </w:r>
          </w:p>
        </w:tc>
        <w:tc>
          <w:tcPr>
            <w:tcW w:w="2891" w:type="dxa"/>
            <w:vAlign w:val="center"/>
          </w:tcPr>
          <w:p>
            <w:pPr>
              <w:pStyle w:val="11"/>
              <w:rPr>
                <w:rFonts w:hint="default"/>
              </w:rPr>
            </w:pPr>
            <w:r>
              <w:t>预算控制</w:t>
            </w:r>
          </w:p>
        </w:tc>
        <w:tc>
          <w:tcPr>
            <w:tcW w:w="1276" w:type="dxa"/>
            <w:vAlign w:val="center"/>
          </w:tcPr>
          <w:p>
            <w:pPr>
              <w:pStyle w:val="11"/>
              <w:rPr>
                <w:rFonts w:hint="default"/>
              </w:rPr>
            </w:pPr>
            <w:r>
              <w:t>≤5万元</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引导企业高质量发展</w:t>
            </w:r>
          </w:p>
        </w:tc>
        <w:tc>
          <w:tcPr>
            <w:tcW w:w="2891" w:type="dxa"/>
            <w:vAlign w:val="center"/>
          </w:tcPr>
          <w:p>
            <w:pPr>
              <w:pStyle w:val="11"/>
              <w:rPr>
                <w:rFonts w:hint="default"/>
              </w:rPr>
            </w:pPr>
            <w:r>
              <w:t>引导企业高质量发展</w:t>
            </w:r>
          </w:p>
        </w:tc>
        <w:tc>
          <w:tcPr>
            <w:tcW w:w="1276" w:type="dxa"/>
            <w:vAlign w:val="center"/>
          </w:tcPr>
          <w:p>
            <w:pPr>
              <w:pStyle w:val="11"/>
              <w:rPr>
                <w:rFonts w:hint="default"/>
              </w:rPr>
            </w:pPr>
            <w:r>
              <w:t>明显推动</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企业满意度</w:t>
            </w:r>
          </w:p>
        </w:tc>
        <w:tc>
          <w:tcPr>
            <w:tcW w:w="2891" w:type="dxa"/>
            <w:vAlign w:val="center"/>
          </w:tcPr>
          <w:p>
            <w:pPr>
              <w:pStyle w:val="11"/>
              <w:rPr>
                <w:rFonts w:hint="default"/>
              </w:rPr>
            </w:pPr>
            <w:r>
              <w:t>企业满意度</w:t>
            </w:r>
          </w:p>
        </w:tc>
        <w:tc>
          <w:tcPr>
            <w:tcW w:w="1276" w:type="dxa"/>
            <w:vAlign w:val="center"/>
          </w:tcPr>
          <w:p>
            <w:pPr>
              <w:pStyle w:val="11"/>
              <w:rPr>
                <w:rFonts w:hint="default"/>
              </w:rPr>
            </w:pPr>
            <w:r>
              <w:t>≥99%</w:t>
            </w:r>
          </w:p>
        </w:tc>
        <w:tc>
          <w:tcPr>
            <w:tcW w:w="1843" w:type="dxa"/>
            <w:vAlign w:val="center"/>
          </w:tcPr>
          <w:p>
            <w:pPr>
              <w:pStyle w:val="11"/>
              <w:rPr>
                <w:rFonts w:hint="default"/>
              </w:rPr>
            </w:pPr>
            <w:r>
              <w:t>实施方案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05"/>
      <w:r>
        <w:rPr>
          <w:rFonts w:ascii="方正仿宋_GBK" w:hAnsi="方正仿宋_GBK" w:eastAsia="方正仿宋_GBK" w:cs="方正仿宋_GBK"/>
          <w:color w:val="000000"/>
          <w:sz w:val="28"/>
        </w:rPr>
        <w:t>2.2022年产油大县奖励资金 （冀财建[2022]78号）绩效目标表</w:t>
      </w:r>
      <w:bookmarkEnd w:id="1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13062322P00926810001T</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2022年产油大县奖励资金 （冀财建[2022]78号）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109.00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109.00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扶持产业发展和油料生产、收购、加工等方面。</w:t>
            </w:r>
            <w:r>
              <w:tab/>
            </w:r>
            <w:r>
              <w:tab/>
            </w:r>
            <w:r>
              <w:tab/>
            </w:r>
            <w:r>
              <w:tab/>
            </w:r>
            <w:r>
              <w:tab/>
            </w:r>
            <w:r>
              <w:tab/>
            </w:r>
          </w:p>
          <w:p>
            <w:pPr>
              <w:pStyle w:val="11"/>
              <w:rPr>
                <w:rFonts w:hint="default"/>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1.扶持产业发展和油料生产、收购、加工等方面。</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数据整理完成率</w:t>
            </w:r>
          </w:p>
        </w:tc>
        <w:tc>
          <w:tcPr>
            <w:tcW w:w="2891" w:type="dxa"/>
            <w:vAlign w:val="center"/>
          </w:tcPr>
          <w:p>
            <w:pPr>
              <w:pStyle w:val="11"/>
              <w:rPr>
                <w:rFonts w:hint="default"/>
              </w:rPr>
            </w:pPr>
            <w:r>
              <w:t>数据整理完成率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油料收购及加工企业个数</w:t>
            </w:r>
          </w:p>
        </w:tc>
        <w:tc>
          <w:tcPr>
            <w:tcW w:w="2891" w:type="dxa"/>
            <w:vAlign w:val="center"/>
          </w:tcPr>
          <w:p>
            <w:pPr>
              <w:pStyle w:val="11"/>
              <w:rPr>
                <w:rFonts w:hint="default"/>
              </w:rPr>
            </w:pPr>
            <w:r>
              <w:t>油料收购及加工企业个数</w:t>
            </w:r>
          </w:p>
        </w:tc>
        <w:tc>
          <w:tcPr>
            <w:tcW w:w="1276" w:type="dxa"/>
            <w:vAlign w:val="center"/>
          </w:tcPr>
          <w:p>
            <w:pPr>
              <w:pStyle w:val="11"/>
              <w:rPr>
                <w:rFonts w:hint="default"/>
              </w:rPr>
            </w:pPr>
            <w:r>
              <w:t>≥1个数</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各项任务完成及时率（%）</w:t>
            </w:r>
          </w:p>
        </w:tc>
        <w:tc>
          <w:tcPr>
            <w:tcW w:w="2891" w:type="dxa"/>
            <w:vAlign w:val="center"/>
          </w:tcPr>
          <w:p>
            <w:pPr>
              <w:pStyle w:val="11"/>
              <w:rPr>
                <w:rFonts w:hint="default"/>
              </w:rPr>
            </w:pPr>
            <w:r>
              <w:t>各项任务完成及时率（%）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项目资金支付率</w:t>
            </w:r>
          </w:p>
        </w:tc>
        <w:tc>
          <w:tcPr>
            <w:tcW w:w="2891" w:type="dxa"/>
            <w:vAlign w:val="center"/>
          </w:tcPr>
          <w:p>
            <w:pPr>
              <w:pStyle w:val="11"/>
              <w:rPr>
                <w:rFonts w:hint="default"/>
              </w:rPr>
            </w:pPr>
            <w:r>
              <w:t>项目资金支付率</w:t>
            </w:r>
          </w:p>
        </w:tc>
        <w:tc>
          <w:tcPr>
            <w:tcW w:w="1276" w:type="dxa"/>
            <w:vAlign w:val="center"/>
          </w:tcPr>
          <w:p>
            <w:pPr>
              <w:pStyle w:val="11"/>
              <w:rPr>
                <w:rFonts w:hint="default"/>
              </w:rPr>
            </w:pPr>
            <w:r>
              <w:t>≥100百分比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资金的使用效率</w:t>
            </w:r>
          </w:p>
        </w:tc>
        <w:tc>
          <w:tcPr>
            <w:tcW w:w="2891" w:type="dxa"/>
            <w:vAlign w:val="center"/>
          </w:tcPr>
          <w:p>
            <w:pPr>
              <w:pStyle w:val="11"/>
              <w:rPr>
                <w:rFonts w:hint="default"/>
              </w:rPr>
            </w:pPr>
            <w:r>
              <w:t>资金的使用效率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06"/>
      <w:r>
        <w:rPr>
          <w:rFonts w:ascii="方正仿宋_GBK" w:hAnsi="方正仿宋_GBK" w:eastAsia="方正仿宋_GBK" w:cs="方正仿宋_GBK"/>
          <w:color w:val="000000"/>
          <w:sz w:val="28"/>
        </w:rPr>
        <w:t>3.2022年第一批省商贸流通发展专项资金（保财建[2022]64号）绩效目标表</w:t>
      </w:r>
      <w:bookmarkEnd w:id="1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13062322P00936110002E</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2022年第一批省商贸流通发展专项资金（保财建[2022]64号）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家电消费补贴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1.在我县开展的家电促销活动进行补贴，计划促销活动销售额达到50万元</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开展家电促销活动次数</w:t>
            </w:r>
          </w:p>
        </w:tc>
        <w:tc>
          <w:tcPr>
            <w:tcW w:w="2891" w:type="dxa"/>
            <w:vAlign w:val="center"/>
          </w:tcPr>
          <w:p>
            <w:pPr>
              <w:pStyle w:val="11"/>
              <w:rPr>
                <w:rFonts w:hint="default"/>
              </w:rPr>
            </w:pPr>
            <w:r>
              <w:t>开展家电促销活动次数</w:t>
            </w:r>
          </w:p>
        </w:tc>
        <w:tc>
          <w:tcPr>
            <w:tcW w:w="1276" w:type="dxa"/>
            <w:vAlign w:val="center"/>
          </w:tcPr>
          <w:p>
            <w:pPr>
              <w:pStyle w:val="11"/>
              <w:rPr>
                <w:rFonts w:hint="default"/>
              </w:rPr>
            </w:pPr>
            <w:r>
              <w:t>≥1次</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家电促销费金额</w:t>
            </w:r>
          </w:p>
        </w:tc>
        <w:tc>
          <w:tcPr>
            <w:tcW w:w="2891" w:type="dxa"/>
            <w:vAlign w:val="center"/>
          </w:tcPr>
          <w:p>
            <w:pPr>
              <w:pStyle w:val="11"/>
              <w:rPr>
                <w:rFonts w:hint="default"/>
              </w:rPr>
            </w:pPr>
            <w:r>
              <w:t>家电促销费金额</w:t>
            </w:r>
          </w:p>
        </w:tc>
        <w:tc>
          <w:tcPr>
            <w:tcW w:w="1276" w:type="dxa"/>
            <w:vAlign w:val="center"/>
          </w:tcPr>
          <w:p>
            <w:pPr>
              <w:pStyle w:val="11"/>
              <w:rPr>
                <w:rFonts w:hint="default"/>
              </w:rPr>
            </w:pPr>
            <w:r>
              <w:t>≥50万元</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活动完成时限</w:t>
            </w:r>
          </w:p>
        </w:tc>
        <w:tc>
          <w:tcPr>
            <w:tcW w:w="2891" w:type="dxa"/>
            <w:vAlign w:val="center"/>
          </w:tcPr>
          <w:p>
            <w:pPr>
              <w:pStyle w:val="11"/>
              <w:rPr>
                <w:rFonts w:hint="default"/>
              </w:rPr>
            </w:pPr>
            <w:r>
              <w:t>活动完成时限</w:t>
            </w:r>
          </w:p>
        </w:tc>
        <w:tc>
          <w:tcPr>
            <w:tcW w:w="1276" w:type="dxa"/>
            <w:vAlign w:val="center"/>
          </w:tcPr>
          <w:p>
            <w:pPr>
              <w:pStyle w:val="11"/>
              <w:rPr>
                <w:rFonts w:hint="default"/>
              </w:rPr>
            </w:pPr>
            <w:r>
              <w:t>2022年11月10日之前</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促销补贴额</w:t>
            </w:r>
          </w:p>
        </w:tc>
        <w:tc>
          <w:tcPr>
            <w:tcW w:w="2891" w:type="dxa"/>
            <w:vAlign w:val="center"/>
          </w:tcPr>
          <w:p>
            <w:pPr>
              <w:pStyle w:val="11"/>
              <w:rPr>
                <w:rFonts w:hint="default"/>
              </w:rPr>
            </w:pPr>
            <w:r>
              <w:t>促销补贴额</w:t>
            </w:r>
          </w:p>
        </w:tc>
        <w:tc>
          <w:tcPr>
            <w:tcW w:w="1276" w:type="dxa"/>
            <w:vAlign w:val="center"/>
          </w:tcPr>
          <w:p>
            <w:pPr>
              <w:pStyle w:val="11"/>
              <w:rPr>
                <w:rFonts w:hint="default"/>
              </w:rPr>
            </w:pPr>
            <w:r>
              <w:t>≤10万元</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引导绿色智能消费</w:t>
            </w:r>
          </w:p>
        </w:tc>
        <w:tc>
          <w:tcPr>
            <w:tcW w:w="2891" w:type="dxa"/>
            <w:vAlign w:val="center"/>
          </w:tcPr>
          <w:p>
            <w:pPr>
              <w:pStyle w:val="11"/>
              <w:rPr>
                <w:rFonts w:hint="default"/>
              </w:rPr>
            </w:pPr>
            <w:r>
              <w:t>促进绿色智能家电消费</w:t>
            </w:r>
          </w:p>
        </w:tc>
        <w:tc>
          <w:tcPr>
            <w:tcW w:w="1276" w:type="dxa"/>
            <w:vAlign w:val="center"/>
          </w:tcPr>
          <w:p>
            <w:pPr>
              <w:pStyle w:val="11"/>
              <w:rPr>
                <w:rFonts w:hint="default"/>
              </w:rPr>
            </w:pPr>
            <w:r>
              <w:t>促进绿色智能家电消费</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消费者满意度</w:t>
            </w:r>
          </w:p>
        </w:tc>
        <w:tc>
          <w:tcPr>
            <w:tcW w:w="2891" w:type="dxa"/>
            <w:vAlign w:val="center"/>
          </w:tcPr>
          <w:p>
            <w:pPr>
              <w:pStyle w:val="11"/>
              <w:rPr>
                <w:rFonts w:hint="default"/>
              </w:rPr>
            </w:pPr>
            <w:r>
              <w:t>消费者满意度</w:t>
            </w:r>
          </w:p>
        </w:tc>
        <w:tc>
          <w:tcPr>
            <w:tcW w:w="1276" w:type="dxa"/>
            <w:vAlign w:val="center"/>
          </w:tcPr>
          <w:p>
            <w:pPr>
              <w:pStyle w:val="11"/>
              <w:rPr>
                <w:rFonts w:hint="default"/>
              </w:rPr>
            </w:pPr>
            <w:r>
              <w:t>≥90%</w:t>
            </w:r>
          </w:p>
        </w:tc>
        <w:tc>
          <w:tcPr>
            <w:tcW w:w="1843" w:type="dxa"/>
            <w:vAlign w:val="center"/>
          </w:tcPr>
          <w:p>
            <w:pPr>
              <w:pStyle w:val="11"/>
              <w:rPr>
                <w:rFonts w:hint="default"/>
              </w:rPr>
            </w:pPr>
            <w:r>
              <w:t>实施方案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07"/>
      <w:r>
        <w:rPr>
          <w:rFonts w:ascii="方正仿宋_GBK" w:hAnsi="方正仿宋_GBK" w:eastAsia="方正仿宋_GBK" w:cs="方正仿宋_GBK"/>
          <w:color w:val="000000"/>
          <w:sz w:val="28"/>
        </w:rPr>
        <w:t>4.2022年省级R&amp;D经费投入强度增长奖励资金（保财教[2022]66号）绩效目标表</w:t>
      </w:r>
      <w:bookmarkEnd w:id="1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13062322P009336100025</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2022年省级R&amp;D经费投入强度增长奖励资金（保财教[2022]66号）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R&amp;D经费投入强度增长奖励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1.R&amp;D经费投入奖励</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新型科技服务机构数量（家）</w:t>
            </w:r>
          </w:p>
        </w:tc>
        <w:tc>
          <w:tcPr>
            <w:tcW w:w="2891" w:type="dxa"/>
            <w:vAlign w:val="center"/>
          </w:tcPr>
          <w:p>
            <w:pPr>
              <w:pStyle w:val="11"/>
              <w:rPr>
                <w:rFonts w:hint="default"/>
              </w:rPr>
            </w:pPr>
            <w:r>
              <w:t>新型科技服务机构数量（家）</w:t>
            </w:r>
          </w:p>
        </w:tc>
        <w:tc>
          <w:tcPr>
            <w:tcW w:w="1276" w:type="dxa"/>
            <w:vAlign w:val="center"/>
          </w:tcPr>
          <w:p>
            <w:pPr>
              <w:pStyle w:val="11"/>
              <w:rPr>
                <w:rFonts w:hint="default"/>
              </w:rPr>
            </w:pPr>
            <w:r>
              <w:t>≥1家</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完成的时限</w:t>
            </w:r>
          </w:p>
        </w:tc>
        <w:tc>
          <w:tcPr>
            <w:tcW w:w="2891" w:type="dxa"/>
            <w:vAlign w:val="center"/>
          </w:tcPr>
          <w:p>
            <w:pPr>
              <w:pStyle w:val="11"/>
              <w:rPr>
                <w:rFonts w:hint="default"/>
              </w:rPr>
            </w:pPr>
            <w:r>
              <w:t>完成的时限</w:t>
            </w:r>
          </w:p>
        </w:tc>
        <w:tc>
          <w:tcPr>
            <w:tcW w:w="1276" w:type="dxa"/>
            <w:vAlign w:val="center"/>
          </w:tcPr>
          <w:p>
            <w:pPr>
              <w:pStyle w:val="11"/>
              <w:rPr>
                <w:rFonts w:hint="default"/>
              </w:rPr>
            </w:pPr>
            <w:r>
              <w:t>2022年12月31日之前</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奖金足额发放率</w:t>
            </w:r>
          </w:p>
        </w:tc>
        <w:tc>
          <w:tcPr>
            <w:tcW w:w="2891" w:type="dxa"/>
            <w:vAlign w:val="center"/>
          </w:tcPr>
          <w:p>
            <w:pPr>
              <w:pStyle w:val="11"/>
              <w:rPr>
                <w:rFonts w:hint="default"/>
              </w:rPr>
            </w:pPr>
            <w:r>
              <w:t>奖金足额发放率</w:t>
            </w:r>
          </w:p>
        </w:tc>
        <w:tc>
          <w:tcPr>
            <w:tcW w:w="1276" w:type="dxa"/>
            <w:vAlign w:val="center"/>
          </w:tcPr>
          <w:p>
            <w:pPr>
              <w:pStyle w:val="11"/>
              <w:rPr>
                <w:rFonts w:hint="default"/>
              </w:rPr>
            </w:pPr>
            <w:r>
              <w:t>≥99%</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预算控制</w:t>
            </w:r>
          </w:p>
        </w:tc>
        <w:tc>
          <w:tcPr>
            <w:tcW w:w="2891" w:type="dxa"/>
            <w:vAlign w:val="center"/>
          </w:tcPr>
          <w:p>
            <w:pPr>
              <w:pStyle w:val="11"/>
              <w:rPr>
                <w:rFonts w:hint="default"/>
              </w:rPr>
            </w:pPr>
            <w:r>
              <w:t>预算控制</w:t>
            </w:r>
          </w:p>
        </w:tc>
        <w:tc>
          <w:tcPr>
            <w:tcW w:w="1276" w:type="dxa"/>
            <w:vAlign w:val="center"/>
          </w:tcPr>
          <w:p>
            <w:pPr>
              <w:pStyle w:val="11"/>
              <w:rPr>
                <w:rFonts w:hint="default"/>
              </w:rPr>
            </w:pPr>
            <w:r>
              <w:t>10万元</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效益指标</w:t>
            </w:r>
          </w:p>
        </w:tc>
        <w:tc>
          <w:tcPr>
            <w:tcW w:w="1276" w:type="dxa"/>
            <w:vAlign w:val="center"/>
          </w:tcPr>
          <w:p>
            <w:pPr>
              <w:pStyle w:val="11"/>
              <w:rPr>
                <w:rFonts w:hint="default"/>
              </w:rPr>
            </w:pPr>
            <w:r>
              <w:t>社会效益指标</w:t>
            </w:r>
          </w:p>
        </w:tc>
        <w:tc>
          <w:tcPr>
            <w:tcW w:w="1332" w:type="dxa"/>
            <w:vAlign w:val="center"/>
          </w:tcPr>
          <w:p>
            <w:pPr>
              <w:pStyle w:val="11"/>
              <w:rPr>
                <w:rFonts w:hint="default"/>
              </w:rPr>
            </w:pPr>
            <w:r>
              <w:t>社会影响力</w:t>
            </w:r>
          </w:p>
        </w:tc>
        <w:tc>
          <w:tcPr>
            <w:tcW w:w="2891" w:type="dxa"/>
            <w:vAlign w:val="center"/>
          </w:tcPr>
          <w:p>
            <w:pPr>
              <w:pStyle w:val="11"/>
              <w:rPr>
                <w:rFonts w:hint="default"/>
              </w:rPr>
            </w:pPr>
            <w:r>
              <w:t>社会影响力</w:t>
            </w:r>
          </w:p>
        </w:tc>
        <w:tc>
          <w:tcPr>
            <w:tcW w:w="1276" w:type="dxa"/>
            <w:vAlign w:val="center"/>
          </w:tcPr>
          <w:p>
            <w:pPr>
              <w:pStyle w:val="11"/>
              <w:rPr>
                <w:rFonts w:hint="default"/>
              </w:rPr>
            </w:pPr>
            <w:r>
              <w:t>提升</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可持续创新或后续研发能力</w:t>
            </w:r>
          </w:p>
        </w:tc>
        <w:tc>
          <w:tcPr>
            <w:tcW w:w="2891" w:type="dxa"/>
            <w:vAlign w:val="center"/>
          </w:tcPr>
          <w:p>
            <w:pPr>
              <w:pStyle w:val="11"/>
              <w:rPr>
                <w:rFonts w:hint="default"/>
              </w:rPr>
            </w:pPr>
            <w:r>
              <w:t>区域可持续性创新发展能力提升</w:t>
            </w:r>
          </w:p>
        </w:tc>
        <w:tc>
          <w:tcPr>
            <w:tcW w:w="1276" w:type="dxa"/>
            <w:vAlign w:val="center"/>
          </w:tcPr>
          <w:p>
            <w:pPr>
              <w:pStyle w:val="11"/>
              <w:rPr>
                <w:rFonts w:hint="default"/>
              </w:rPr>
            </w:pPr>
            <w:r>
              <w:t>提升</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满意</w:t>
            </w:r>
          </w:p>
        </w:tc>
        <w:tc>
          <w:tcPr>
            <w:tcW w:w="1843" w:type="dxa"/>
            <w:vAlign w:val="center"/>
          </w:tcPr>
          <w:p>
            <w:pPr>
              <w:pStyle w:val="11"/>
              <w:rPr>
                <w:rFonts w:hint="default"/>
              </w:rPr>
            </w:pPr>
            <w:r>
              <w:t>实施方案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08"/>
      <w:r>
        <w:rPr>
          <w:rFonts w:ascii="方正仿宋_GBK" w:hAnsi="方正仿宋_GBK" w:eastAsia="方正仿宋_GBK" w:cs="方正仿宋_GBK"/>
          <w:color w:val="000000"/>
          <w:sz w:val="28"/>
        </w:rPr>
        <w:t>5.2022年省级大气污染防治资金（用于2022年采暖季洁净煤取暖） （冀财建[2022]193号）绩效目标表</w:t>
      </w:r>
      <w:bookmarkEnd w:id="1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13062322P00937210002B</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2022年省级大气污染防治资金（用于2022年采暖季洁净煤取暖） （冀财建[2022]193号）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3.71</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3.71</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完成补贴发放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3.71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1.完成补贴发放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完成项目数量</w:t>
            </w:r>
          </w:p>
        </w:tc>
        <w:tc>
          <w:tcPr>
            <w:tcW w:w="2891" w:type="dxa"/>
            <w:vAlign w:val="center"/>
          </w:tcPr>
          <w:p>
            <w:pPr>
              <w:pStyle w:val="11"/>
              <w:rPr>
                <w:rFonts w:hint="default"/>
              </w:rPr>
            </w:pPr>
            <w:r>
              <w:t>完成项目数量</w:t>
            </w:r>
          </w:p>
        </w:tc>
        <w:tc>
          <w:tcPr>
            <w:tcW w:w="1276" w:type="dxa"/>
            <w:vAlign w:val="center"/>
          </w:tcPr>
          <w:p>
            <w:pPr>
              <w:pStyle w:val="11"/>
              <w:rPr>
                <w:rFonts w:hint="default"/>
              </w:rPr>
            </w:pPr>
            <w:r>
              <w:t>≥1次</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设施正常使用率</w:t>
            </w:r>
          </w:p>
        </w:tc>
        <w:tc>
          <w:tcPr>
            <w:tcW w:w="2891" w:type="dxa"/>
            <w:vAlign w:val="center"/>
          </w:tcPr>
          <w:p>
            <w:pPr>
              <w:pStyle w:val="11"/>
              <w:rPr>
                <w:rFonts w:hint="default"/>
              </w:rPr>
            </w:pPr>
            <w:r>
              <w:t>设施正常使用率</w:t>
            </w:r>
          </w:p>
        </w:tc>
        <w:tc>
          <w:tcPr>
            <w:tcW w:w="1276" w:type="dxa"/>
            <w:vAlign w:val="center"/>
          </w:tcPr>
          <w:p>
            <w:pPr>
              <w:pStyle w:val="11"/>
              <w:rPr>
                <w:rFonts w:hint="default"/>
              </w:rPr>
            </w:pPr>
            <w:r>
              <w:t>≥98%</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当年完成率</w:t>
            </w:r>
          </w:p>
        </w:tc>
        <w:tc>
          <w:tcPr>
            <w:tcW w:w="2891" w:type="dxa"/>
            <w:vAlign w:val="center"/>
          </w:tcPr>
          <w:p>
            <w:pPr>
              <w:pStyle w:val="11"/>
              <w:rPr>
                <w:rFonts w:hint="default"/>
              </w:rPr>
            </w:pPr>
            <w:r>
              <w:t>当年完成率</w:t>
            </w:r>
          </w:p>
        </w:tc>
        <w:tc>
          <w:tcPr>
            <w:tcW w:w="1276" w:type="dxa"/>
            <w:vAlign w:val="center"/>
          </w:tcPr>
          <w:p>
            <w:pPr>
              <w:pStyle w:val="11"/>
              <w:rPr>
                <w:rFonts w:hint="default"/>
              </w:rPr>
            </w:pPr>
            <w:r>
              <w:t>≥98%</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补助标准</w:t>
            </w:r>
          </w:p>
        </w:tc>
        <w:tc>
          <w:tcPr>
            <w:tcW w:w="2891" w:type="dxa"/>
            <w:vAlign w:val="center"/>
          </w:tcPr>
          <w:p>
            <w:pPr>
              <w:pStyle w:val="11"/>
              <w:rPr>
                <w:rFonts w:hint="default"/>
              </w:rPr>
            </w:pPr>
            <w:r>
              <w:t>补助标准</w:t>
            </w:r>
          </w:p>
        </w:tc>
        <w:tc>
          <w:tcPr>
            <w:tcW w:w="1276" w:type="dxa"/>
            <w:vAlign w:val="center"/>
          </w:tcPr>
          <w:p>
            <w:pPr>
              <w:pStyle w:val="11"/>
              <w:rPr>
                <w:rFonts w:hint="default"/>
              </w:rPr>
            </w:pPr>
            <w:r>
              <w:t>达标</w:t>
            </w:r>
          </w:p>
        </w:tc>
        <w:tc>
          <w:tcPr>
            <w:tcW w:w="1843" w:type="dxa"/>
            <w:vAlign w:val="center"/>
          </w:tcPr>
          <w:p>
            <w:pPr>
              <w:pStyle w:val="11"/>
              <w:rPr>
                <w:rFonts w:hint="default"/>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受益群众满意度</w:t>
            </w:r>
          </w:p>
        </w:tc>
        <w:tc>
          <w:tcPr>
            <w:tcW w:w="2891" w:type="dxa"/>
            <w:vAlign w:val="center"/>
          </w:tcPr>
          <w:p>
            <w:pPr>
              <w:pStyle w:val="11"/>
              <w:rPr>
                <w:rFonts w:hint="default"/>
              </w:rPr>
            </w:pPr>
            <w:r>
              <w:t>受益群众满意度</w:t>
            </w:r>
          </w:p>
        </w:tc>
        <w:tc>
          <w:tcPr>
            <w:tcW w:w="1276" w:type="dxa"/>
            <w:vAlign w:val="center"/>
          </w:tcPr>
          <w:p>
            <w:pPr>
              <w:pStyle w:val="11"/>
              <w:rPr>
                <w:rFonts w:hint="default"/>
              </w:rPr>
            </w:pPr>
            <w:r>
              <w:t>≥98%</w:t>
            </w:r>
          </w:p>
        </w:tc>
        <w:tc>
          <w:tcPr>
            <w:tcW w:w="1843" w:type="dxa"/>
            <w:vAlign w:val="center"/>
          </w:tcPr>
          <w:p>
            <w:pPr>
              <w:pStyle w:val="11"/>
              <w:rPr>
                <w:rFonts w:hint="default"/>
              </w:rPr>
            </w:pPr>
            <w:r>
              <w:t>实施方案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09"/>
      <w:r>
        <w:rPr>
          <w:rFonts w:ascii="方正仿宋_GBK" w:hAnsi="方正仿宋_GBK" w:eastAsia="方正仿宋_GBK" w:cs="方正仿宋_GBK"/>
          <w:color w:val="000000"/>
          <w:sz w:val="28"/>
        </w:rPr>
        <w:t>6.2022年疫情防控物资采购经费绩效目标表</w:t>
      </w:r>
      <w:bookmarkEnd w:id="1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13062323P00004810015E</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2022年疫情防控物资采购经费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87.53</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87.53</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疫情物资采购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87.53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1.完成补充应急物资采购任务</w:t>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采购数量</w:t>
            </w:r>
          </w:p>
        </w:tc>
        <w:tc>
          <w:tcPr>
            <w:tcW w:w="2891" w:type="dxa"/>
            <w:vAlign w:val="center"/>
          </w:tcPr>
          <w:p>
            <w:pPr>
              <w:pStyle w:val="11"/>
              <w:rPr>
                <w:rFonts w:hint="default"/>
              </w:rPr>
            </w:pPr>
            <w:r>
              <w:t>采购数量</w:t>
            </w:r>
          </w:p>
        </w:tc>
        <w:tc>
          <w:tcPr>
            <w:tcW w:w="1276" w:type="dxa"/>
            <w:vAlign w:val="center"/>
          </w:tcPr>
          <w:p>
            <w:pPr>
              <w:pStyle w:val="11"/>
              <w:rPr>
                <w:rFonts w:hint="default"/>
              </w:rPr>
            </w:pPr>
            <w:r>
              <w:t>≥3次</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合格率</w:t>
            </w:r>
          </w:p>
        </w:tc>
        <w:tc>
          <w:tcPr>
            <w:tcW w:w="2891" w:type="dxa"/>
            <w:vAlign w:val="center"/>
          </w:tcPr>
          <w:p>
            <w:pPr>
              <w:pStyle w:val="11"/>
              <w:rPr>
                <w:rFonts w:hint="default"/>
              </w:rPr>
            </w:pPr>
            <w:r>
              <w:t>合格率</w:t>
            </w:r>
          </w:p>
        </w:tc>
        <w:tc>
          <w:tcPr>
            <w:tcW w:w="1276" w:type="dxa"/>
            <w:vAlign w:val="center"/>
          </w:tcPr>
          <w:p>
            <w:pPr>
              <w:pStyle w:val="11"/>
              <w:rPr>
                <w:rFonts w:hint="default"/>
              </w:rPr>
            </w:pPr>
            <w:r>
              <w:t>100%</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完成时限</w:t>
            </w:r>
          </w:p>
        </w:tc>
        <w:tc>
          <w:tcPr>
            <w:tcW w:w="2891" w:type="dxa"/>
            <w:vAlign w:val="center"/>
          </w:tcPr>
          <w:p>
            <w:pPr>
              <w:pStyle w:val="11"/>
              <w:rPr>
                <w:rFonts w:hint="default"/>
              </w:rPr>
            </w:pPr>
            <w:r>
              <w:t>完成时限</w:t>
            </w:r>
          </w:p>
        </w:tc>
        <w:tc>
          <w:tcPr>
            <w:tcW w:w="1276" w:type="dxa"/>
            <w:vAlign w:val="center"/>
          </w:tcPr>
          <w:p>
            <w:pPr>
              <w:pStyle w:val="11"/>
              <w:rPr>
                <w:rFonts w:hint="default"/>
              </w:rPr>
            </w:pPr>
            <w:r>
              <w:t>按时限完成</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资金成本</w:t>
            </w:r>
          </w:p>
        </w:tc>
        <w:tc>
          <w:tcPr>
            <w:tcW w:w="2891" w:type="dxa"/>
            <w:vAlign w:val="center"/>
          </w:tcPr>
          <w:p>
            <w:pPr>
              <w:pStyle w:val="11"/>
              <w:rPr>
                <w:rFonts w:hint="default"/>
              </w:rPr>
            </w:pPr>
            <w:r>
              <w:t>资金成本</w:t>
            </w:r>
          </w:p>
        </w:tc>
        <w:tc>
          <w:tcPr>
            <w:tcW w:w="1276" w:type="dxa"/>
            <w:vAlign w:val="center"/>
          </w:tcPr>
          <w:p>
            <w:pPr>
              <w:pStyle w:val="11"/>
              <w:rPr>
                <w:rFonts w:hint="default"/>
              </w:rPr>
            </w:pPr>
            <w:r>
              <w:t>≤87.53万元</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效益指标</w:t>
            </w:r>
          </w:p>
        </w:tc>
        <w:tc>
          <w:tcPr>
            <w:tcW w:w="1276" w:type="dxa"/>
            <w:vAlign w:val="center"/>
          </w:tcPr>
          <w:p>
            <w:pPr>
              <w:pStyle w:val="11"/>
              <w:rPr>
                <w:rFonts w:hint="default"/>
              </w:rPr>
            </w:pPr>
            <w:r>
              <w:t>社会效益指标</w:t>
            </w:r>
          </w:p>
        </w:tc>
        <w:tc>
          <w:tcPr>
            <w:tcW w:w="1332" w:type="dxa"/>
            <w:vAlign w:val="center"/>
          </w:tcPr>
          <w:p>
            <w:pPr>
              <w:pStyle w:val="11"/>
              <w:rPr>
                <w:rFonts w:hint="default"/>
              </w:rPr>
            </w:pPr>
            <w:r>
              <w:t>保障能力</w:t>
            </w:r>
          </w:p>
        </w:tc>
        <w:tc>
          <w:tcPr>
            <w:tcW w:w="2891" w:type="dxa"/>
            <w:vAlign w:val="center"/>
          </w:tcPr>
          <w:p>
            <w:pPr>
              <w:pStyle w:val="11"/>
              <w:rPr>
                <w:rFonts w:hint="default"/>
              </w:rPr>
            </w:pPr>
            <w:r>
              <w:t>保障能力</w:t>
            </w:r>
          </w:p>
        </w:tc>
        <w:tc>
          <w:tcPr>
            <w:tcW w:w="1276" w:type="dxa"/>
            <w:vAlign w:val="center"/>
          </w:tcPr>
          <w:p>
            <w:pPr>
              <w:pStyle w:val="11"/>
              <w:rPr>
                <w:rFonts w:hint="default"/>
              </w:rPr>
            </w:pPr>
            <w:r>
              <w:t>正常供应</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储备计划落实率</w:t>
            </w:r>
          </w:p>
        </w:tc>
        <w:tc>
          <w:tcPr>
            <w:tcW w:w="2891" w:type="dxa"/>
            <w:vAlign w:val="center"/>
          </w:tcPr>
          <w:p>
            <w:pPr>
              <w:pStyle w:val="11"/>
              <w:rPr>
                <w:rFonts w:hint="default"/>
              </w:rPr>
            </w:pPr>
            <w:r>
              <w:t>储备计划落实率</w:t>
            </w:r>
          </w:p>
        </w:tc>
        <w:tc>
          <w:tcPr>
            <w:tcW w:w="1276" w:type="dxa"/>
            <w:vAlign w:val="center"/>
          </w:tcPr>
          <w:p>
            <w:pPr>
              <w:pStyle w:val="11"/>
              <w:rPr>
                <w:rFonts w:hint="default"/>
              </w:rPr>
            </w:pPr>
            <w:r>
              <w:t>≥98%</w:t>
            </w:r>
          </w:p>
        </w:tc>
        <w:tc>
          <w:tcPr>
            <w:tcW w:w="1843" w:type="dxa"/>
            <w:vAlign w:val="center"/>
          </w:tcPr>
          <w:p>
            <w:pPr>
              <w:pStyle w:val="11"/>
              <w:rPr>
                <w:rFonts w:hint="default"/>
              </w:rPr>
            </w:pPr>
            <w:r>
              <w:t>采购单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满意程度</w:t>
            </w:r>
          </w:p>
        </w:tc>
        <w:tc>
          <w:tcPr>
            <w:tcW w:w="2891" w:type="dxa"/>
            <w:vAlign w:val="center"/>
          </w:tcPr>
          <w:p>
            <w:pPr>
              <w:pStyle w:val="11"/>
              <w:rPr>
                <w:rFonts w:hint="default"/>
              </w:rPr>
            </w:pPr>
            <w:r>
              <w:t>满意程度</w:t>
            </w:r>
          </w:p>
        </w:tc>
        <w:tc>
          <w:tcPr>
            <w:tcW w:w="1276" w:type="dxa"/>
            <w:vAlign w:val="center"/>
          </w:tcPr>
          <w:p>
            <w:pPr>
              <w:pStyle w:val="11"/>
              <w:rPr>
                <w:rFonts w:hint="default"/>
              </w:rPr>
            </w:pPr>
            <w:r>
              <w:t>≥98%</w:t>
            </w:r>
          </w:p>
        </w:tc>
        <w:tc>
          <w:tcPr>
            <w:tcW w:w="1843" w:type="dxa"/>
            <w:vAlign w:val="center"/>
          </w:tcPr>
          <w:p>
            <w:pPr>
              <w:pStyle w:val="11"/>
              <w:rPr>
                <w:rFonts w:hint="default"/>
              </w:rPr>
            </w:pPr>
            <w:r>
              <w:t>采购单</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0"/>
      <w:r>
        <w:rPr>
          <w:rFonts w:ascii="方正仿宋_GBK" w:hAnsi="方正仿宋_GBK" w:eastAsia="方正仿宋_GBK" w:cs="方正仿宋_GBK"/>
          <w:color w:val="000000"/>
          <w:sz w:val="28"/>
        </w:rPr>
        <w:t>7.2022年优质粮食工程建设资金 （冀财建[2022]78号）绩效目标表</w:t>
      </w:r>
      <w:bookmarkEnd w:id="1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13062322P009267100015</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2022年优质粮食工程建设资金 （冀财建[2022]78号）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217.00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217.00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用于推进“六大提升行动”优质粮建设工程。</w:t>
            </w:r>
            <w:r>
              <w:tab/>
            </w:r>
            <w:r>
              <w:tab/>
            </w:r>
            <w:r>
              <w:tab/>
            </w:r>
            <w:r>
              <w:tab/>
            </w:r>
            <w:r>
              <w:tab/>
            </w:r>
            <w:r>
              <w:tab/>
            </w:r>
          </w:p>
          <w:p>
            <w:pPr>
              <w:pStyle w:val="11"/>
              <w:rPr>
                <w:rFonts w:hint="default"/>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1.用于推进“六大提升行动”。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数据整理完成率</w:t>
            </w:r>
          </w:p>
        </w:tc>
        <w:tc>
          <w:tcPr>
            <w:tcW w:w="2891" w:type="dxa"/>
            <w:vAlign w:val="center"/>
          </w:tcPr>
          <w:p>
            <w:pPr>
              <w:pStyle w:val="11"/>
              <w:rPr>
                <w:rFonts w:hint="default"/>
              </w:rPr>
            </w:pPr>
            <w:r>
              <w:t>数据整理完成率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全县推进覆盖率</w:t>
            </w:r>
          </w:p>
        </w:tc>
        <w:tc>
          <w:tcPr>
            <w:tcW w:w="2891" w:type="dxa"/>
            <w:vAlign w:val="center"/>
          </w:tcPr>
          <w:p>
            <w:pPr>
              <w:pStyle w:val="11"/>
              <w:rPr>
                <w:rFonts w:hint="default"/>
              </w:rPr>
            </w:pPr>
            <w:r>
              <w:t>全县推进覆盖率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各项任务完成及时率（%）</w:t>
            </w:r>
          </w:p>
        </w:tc>
        <w:tc>
          <w:tcPr>
            <w:tcW w:w="2891" w:type="dxa"/>
            <w:vAlign w:val="center"/>
          </w:tcPr>
          <w:p>
            <w:pPr>
              <w:pStyle w:val="11"/>
              <w:rPr>
                <w:rFonts w:hint="default"/>
              </w:rPr>
            </w:pPr>
            <w:r>
              <w:t>各项任务完成及时率（%）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预算执行率</w:t>
            </w:r>
          </w:p>
        </w:tc>
        <w:tc>
          <w:tcPr>
            <w:tcW w:w="2891" w:type="dxa"/>
            <w:vAlign w:val="center"/>
          </w:tcPr>
          <w:p>
            <w:pPr>
              <w:pStyle w:val="11"/>
              <w:rPr>
                <w:rFonts w:hint="default"/>
              </w:rPr>
            </w:pPr>
            <w:r>
              <w:t>预算执行率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1"/>
      <w:r>
        <w:rPr>
          <w:rFonts w:ascii="方正仿宋_GBK" w:hAnsi="方正仿宋_GBK" w:eastAsia="方正仿宋_GBK" w:cs="方正仿宋_GBK"/>
          <w:color w:val="000000"/>
          <w:sz w:val="28"/>
        </w:rPr>
        <w:t>8.2022年中央大气污染防治资金（用于农村地区清洁取暖任务运行补贴） （冀财资环[2021]103号）绩效目标表</w:t>
      </w:r>
      <w:bookmarkEnd w:id="1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13062322P00881110001T</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2022年中央大气污染防治资金（用于农村地区清洁取暖任务运行补贴） （冀财资环[2021]103号）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333.00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333.00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用于农村地区清洁取暖任务运行补贴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333.00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1.保障群众温暖过冬。</w:t>
            </w:r>
          </w:p>
          <w:p>
            <w:pPr>
              <w:pStyle w:val="11"/>
              <w:rPr>
                <w:rFonts w:hint="default"/>
              </w:rPr>
            </w:pPr>
            <w:r>
              <w:t>2.确保资金早投入，早见效。</w:t>
            </w:r>
          </w:p>
          <w:p>
            <w:pPr>
              <w:pStyle w:val="11"/>
              <w:rPr>
                <w:rFonts w:hint="default"/>
              </w:rPr>
            </w:pPr>
            <w:r>
              <w:t>3.按有关规定做好各项管理工作。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覆盖任务完成率</w:t>
            </w:r>
          </w:p>
        </w:tc>
        <w:tc>
          <w:tcPr>
            <w:tcW w:w="2891" w:type="dxa"/>
            <w:vAlign w:val="center"/>
          </w:tcPr>
          <w:p>
            <w:pPr>
              <w:pStyle w:val="11"/>
              <w:rPr>
                <w:rFonts w:hint="default"/>
              </w:rPr>
            </w:pPr>
            <w:r>
              <w:t>覆盖任务完成率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资金支付率</w:t>
            </w:r>
          </w:p>
        </w:tc>
        <w:tc>
          <w:tcPr>
            <w:tcW w:w="2891" w:type="dxa"/>
            <w:vAlign w:val="center"/>
          </w:tcPr>
          <w:p>
            <w:pPr>
              <w:pStyle w:val="11"/>
              <w:rPr>
                <w:rFonts w:hint="default"/>
              </w:rPr>
            </w:pPr>
            <w:r>
              <w:t>资金支付率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按期完成率</w:t>
            </w:r>
          </w:p>
        </w:tc>
        <w:tc>
          <w:tcPr>
            <w:tcW w:w="2891" w:type="dxa"/>
            <w:vAlign w:val="center"/>
          </w:tcPr>
          <w:p>
            <w:pPr>
              <w:pStyle w:val="11"/>
              <w:rPr>
                <w:rFonts w:hint="default"/>
              </w:rPr>
            </w:pPr>
            <w:r>
              <w:t>按期完成率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完成率</w:t>
            </w:r>
          </w:p>
        </w:tc>
        <w:tc>
          <w:tcPr>
            <w:tcW w:w="2891" w:type="dxa"/>
            <w:vAlign w:val="center"/>
          </w:tcPr>
          <w:p>
            <w:pPr>
              <w:pStyle w:val="11"/>
              <w:rPr>
                <w:rFonts w:hint="default"/>
              </w:rPr>
            </w:pPr>
            <w:r>
              <w:t>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2"/>
      <w:r>
        <w:rPr>
          <w:rFonts w:ascii="方正仿宋_GBK" w:hAnsi="方正仿宋_GBK" w:eastAsia="方正仿宋_GBK" w:cs="方正仿宋_GBK"/>
          <w:color w:val="000000"/>
          <w:sz w:val="28"/>
        </w:rPr>
        <w:t>9.2022年中央大气污染防治资金（用于农村地区清洁取暖任务运行补助） （冀财建[2021]200号）绩效目标表</w:t>
      </w:r>
      <w:bookmarkEnd w:id="1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13062322P00881210001G</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2022年中央大气污染防治资金（用于农村地区清洁取暖任务运行补助） （冀财建[2021]200号）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1040.60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1040.60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用于农村地区清洁取暖补助资金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1040.60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1.保障群众温暖过冬。</w:t>
            </w:r>
          </w:p>
          <w:p>
            <w:pPr>
              <w:pStyle w:val="11"/>
              <w:rPr>
                <w:rFonts w:hint="default"/>
              </w:rPr>
            </w:pPr>
            <w:r>
              <w:t>2.确保资金早投入，早见效。</w:t>
            </w:r>
          </w:p>
          <w:p>
            <w:pPr>
              <w:pStyle w:val="11"/>
              <w:rPr>
                <w:rFonts w:hint="default"/>
              </w:rPr>
            </w:pPr>
            <w:r>
              <w:t>3.按有关规定做好各项管理工作。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覆盖任务完成率</w:t>
            </w:r>
          </w:p>
        </w:tc>
        <w:tc>
          <w:tcPr>
            <w:tcW w:w="2891" w:type="dxa"/>
            <w:vAlign w:val="center"/>
          </w:tcPr>
          <w:p>
            <w:pPr>
              <w:pStyle w:val="11"/>
              <w:rPr>
                <w:rFonts w:hint="default"/>
              </w:rPr>
            </w:pPr>
            <w:r>
              <w:t>覆盖任务完成率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综合事务管理工作完成率</w:t>
            </w:r>
          </w:p>
        </w:tc>
        <w:tc>
          <w:tcPr>
            <w:tcW w:w="2891" w:type="dxa"/>
            <w:vAlign w:val="center"/>
          </w:tcPr>
          <w:p>
            <w:pPr>
              <w:pStyle w:val="11"/>
              <w:rPr>
                <w:rFonts w:hint="default"/>
              </w:rPr>
            </w:pPr>
            <w:r>
              <w:t>综合事务管理工作完成率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专项资金拨付及时率</w:t>
            </w:r>
          </w:p>
        </w:tc>
        <w:tc>
          <w:tcPr>
            <w:tcW w:w="2891" w:type="dxa"/>
            <w:vAlign w:val="center"/>
          </w:tcPr>
          <w:p>
            <w:pPr>
              <w:pStyle w:val="11"/>
              <w:rPr>
                <w:rFonts w:hint="default"/>
              </w:rPr>
            </w:pPr>
            <w:r>
              <w:t>专项资金拨付及时率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预算执行率</w:t>
            </w:r>
          </w:p>
        </w:tc>
        <w:tc>
          <w:tcPr>
            <w:tcW w:w="2891" w:type="dxa"/>
            <w:vAlign w:val="center"/>
          </w:tcPr>
          <w:p>
            <w:pPr>
              <w:pStyle w:val="11"/>
              <w:rPr>
                <w:rFonts w:hint="default"/>
              </w:rPr>
            </w:pPr>
            <w:r>
              <w:t>预算执行率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提高工作效率</w:t>
            </w:r>
          </w:p>
        </w:tc>
        <w:tc>
          <w:tcPr>
            <w:tcW w:w="2891" w:type="dxa"/>
            <w:vAlign w:val="center"/>
          </w:tcPr>
          <w:p>
            <w:pPr>
              <w:pStyle w:val="11"/>
              <w:rPr>
                <w:rFonts w:hint="default"/>
              </w:rPr>
            </w:pPr>
            <w:r>
              <w:t>提高工作效率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受益群众满意度</w:t>
            </w:r>
          </w:p>
        </w:tc>
        <w:tc>
          <w:tcPr>
            <w:tcW w:w="2891" w:type="dxa"/>
            <w:vAlign w:val="center"/>
          </w:tcPr>
          <w:p>
            <w:pPr>
              <w:pStyle w:val="11"/>
              <w:rPr>
                <w:rFonts w:hint="default"/>
              </w:rPr>
            </w:pPr>
            <w:r>
              <w:t>受益群众满意度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3"/>
      <w:r>
        <w:rPr>
          <w:rFonts w:ascii="方正仿宋_GBK" w:hAnsi="方正仿宋_GBK" w:eastAsia="方正仿宋_GBK" w:cs="方正仿宋_GBK"/>
          <w:color w:val="000000"/>
          <w:sz w:val="28"/>
        </w:rPr>
        <w:t>10.2023年“民参军”奖励政策补助资金 （冀财建[2022]260号）绩效目标表</w:t>
      </w:r>
      <w:bookmarkEnd w:id="1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13062323P000074100013</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2023年“民参军”奖励政策补助资金 （冀财建[2022]260号）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民参军奖励资金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1.给予取得军工相关资质、承担军民融合发展中重点领域、新兴领域相关任务单位奖励</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军民融合需求事项数量</w:t>
            </w:r>
          </w:p>
        </w:tc>
        <w:tc>
          <w:tcPr>
            <w:tcW w:w="2891" w:type="dxa"/>
            <w:vAlign w:val="center"/>
          </w:tcPr>
          <w:p>
            <w:pPr>
              <w:pStyle w:val="11"/>
              <w:rPr>
                <w:rFonts w:hint="default"/>
              </w:rPr>
            </w:pPr>
            <w:r>
              <w:t>军民融合需求事项数量</w:t>
            </w:r>
          </w:p>
        </w:tc>
        <w:tc>
          <w:tcPr>
            <w:tcW w:w="1276" w:type="dxa"/>
            <w:vAlign w:val="center"/>
          </w:tcPr>
          <w:p>
            <w:pPr>
              <w:pStyle w:val="11"/>
              <w:rPr>
                <w:rFonts w:hint="default"/>
              </w:rPr>
            </w:pPr>
            <w:r>
              <w:t>≥1家</w:t>
            </w:r>
          </w:p>
        </w:tc>
        <w:tc>
          <w:tcPr>
            <w:tcW w:w="1843" w:type="dxa"/>
            <w:vAlign w:val="center"/>
          </w:tcPr>
          <w:p>
            <w:pPr>
              <w:pStyle w:val="11"/>
              <w:rPr>
                <w:rFonts w:hint="default"/>
              </w:rPr>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民参军主体培育规模</w:t>
            </w:r>
          </w:p>
        </w:tc>
        <w:tc>
          <w:tcPr>
            <w:tcW w:w="2891" w:type="dxa"/>
            <w:vAlign w:val="center"/>
          </w:tcPr>
          <w:p>
            <w:pPr>
              <w:pStyle w:val="11"/>
              <w:rPr>
                <w:rFonts w:hint="default"/>
              </w:rPr>
            </w:pPr>
            <w:r>
              <w:t>取得军工相关资质、承担军民融合发展中重点领域、新兴领域相关任务单位数量和质量</w:t>
            </w:r>
          </w:p>
        </w:tc>
        <w:tc>
          <w:tcPr>
            <w:tcW w:w="1276" w:type="dxa"/>
            <w:vAlign w:val="center"/>
          </w:tcPr>
          <w:p>
            <w:pPr>
              <w:pStyle w:val="11"/>
              <w:rPr>
                <w:rFonts w:hint="default"/>
              </w:rPr>
            </w:pPr>
            <w:r>
              <w:t>提升</w:t>
            </w:r>
          </w:p>
        </w:tc>
        <w:tc>
          <w:tcPr>
            <w:tcW w:w="1843" w:type="dxa"/>
            <w:vAlign w:val="center"/>
          </w:tcPr>
          <w:p>
            <w:pPr>
              <w:pStyle w:val="11"/>
              <w:rPr>
                <w:rFonts w:hint="default"/>
              </w:rPr>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支出及时性</w:t>
            </w:r>
          </w:p>
        </w:tc>
        <w:tc>
          <w:tcPr>
            <w:tcW w:w="2891" w:type="dxa"/>
            <w:vAlign w:val="center"/>
          </w:tcPr>
          <w:p>
            <w:pPr>
              <w:pStyle w:val="11"/>
              <w:rPr>
                <w:rFonts w:hint="default"/>
              </w:rPr>
            </w:pPr>
            <w:r>
              <w:t>从批复到支出时间</w:t>
            </w:r>
          </w:p>
        </w:tc>
        <w:tc>
          <w:tcPr>
            <w:tcW w:w="1276" w:type="dxa"/>
            <w:vAlign w:val="center"/>
          </w:tcPr>
          <w:p>
            <w:pPr>
              <w:pStyle w:val="11"/>
              <w:rPr>
                <w:rFonts w:hint="default"/>
              </w:rPr>
            </w:pPr>
            <w:r>
              <w:t>≤30天</w:t>
            </w:r>
          </w:p>
        </w:tc>
        <w:tc>
          <w:tcPr>
            <w:tcW w:w="1843" w:type="dxa"/>
            <w:vAlign w:val="center"/>
          </w:tcPr>
          <w:p>
            <w:pPr>
              <w:pStyle w:val="11"/>
              <w:rPr>
                <w:rFonts w:hint="default"/>
              </w:rPr>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支持奖励事项资金额度</w:t>
            </w:r>
          </w:p>
        </w:tc>
        <w:tc>
          <w:tcPr>
            <w:tcW w:w="2891" w:type="dxa"/>
            <w:vAlign w:val="center"/>
          </w:tcPr>
          <w:p>
            <w:pPr>
              <w:pStyle w:val="11"/>
              <w:rPr>
                <w:rFonts w:hint="default"/>
              </w:rPr>
            </w:pPr>
            <w:r>
              <w:t>奖励额度</w:t>
            </w:r>
          </w:p>
        </w:tc>
        <w:tc>
          <w:tcPr>
            <w:tcW w:w="1276" w:type="dxa"/>
            <w:vAlign w:val="center"/>
          </w:tcPr>
          <w:p>
            <w:pPr>
              <w:pStyle w:val="11"/>
              <w:rPr>
                <w:rFonts w:hint="default"/>
              </w:rPr>
            </w:pPr>
            <w:r>
              <w:t>≤10万元</w:t>
            </w:r>
          </w:p>
        </w:tc>
        <w:tc>
          <w:tcPr>
            <w:tcW w:w="1843" w:type="dxa"/>
            <w:vAlign w:val="center"/>
          </w:tcPr>
          <w:p>
            <w:pPr>
              <w:pStyle w:val="11"/>
              <w:rPr>
                <w:rFonts w:hint="default"/>
              </w:rPr>
            </w:pPr>
            <w:r>
              <w:t>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军民融合产业化水平</w:t>
            </w:r>
          </w:p>
        </w:tc>
        <w:tc>
          <w:tcPr>
            <w:tcW w:w="2891" w:type="dxa"/>
            <w:vAlign w:val="center"/>
          </w:tcPr>
          <w:p>
            <w:pPr>
              <w:pStyle w:val="11"/>
              <w:rPr>
                <w:rFonts w:hint="default"/>
              </w:rPr>
            </w:pPr>
            <w:r>
              <w:t>军民融合产业化水平</w:t>
            </w:r>
          </w:p>
        </w:tc>
        <w:tc>
          <w:tcPr>
            <w:tcW w:w="1276" w:type="dxa"/>
            <w:vAlign w:val="center"/>
          </w:tcPr>
          <w:p>
            <w:pPr>
              <w:pStyle w:val="11"/>
              <w:rPr>
                <w:rFonts w:hint="default"/>
              </w:rPr>
            </w:pPr>
            <w:r>
              <w:t>提升</w:t>
            </w:r>
          </w:p>
        </w:tc>
        <w:tc>
          <w:tcPr>
            <w:tcW w:w="1843" w:type="dxa"/>
            <w:vAlign w:val="center"/>
          </w:tcPr>
          <w:p>
            <w:pPr>
              <w:pStyle w:val="11"/>
              <w:rPr>
                <w:rFonts w:hint="default"/>
              </w:rPr>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受奖励单位满意比例</w:t>
            </w:r>
          </w:p>
        </w:tc>
        <w:tc>
          <w:tcPr>
            <w:tcW w:w="2891" w:type="dxa"/>
            <w:vAlign w:val="center"/>
          </w:tcPr>
          <w:p>
            <w:pPr>
              <w:pStyle w:val="11"/>
              <w:rPr>
                <w:rFonts w:hint="default"/>
              </w:rPr>
            </w:pPr>
            <w:r>
              <w:t>受奖励单位满意比例</w:t>
            </w:r>
          </w:p>
        </w:tc>
        <w:tc>
          <w:tcPr>
            <w:tcW w:w="1276" w:type="dxa"/>
            <w:vAlign w:val="center"/>
          </w:tcPr>
          <w:p>
            <w:pPr>
              <w:pStyle w:val="11"/>
              <w:rPr>
                <w:rFonts w:hint="default"/>
              </w:rPr>
            </w:pPr>
            <w:r>
              <w:t>≥95%</w:t>
            </w:r>
          </w:p>
        </w:tc>
        <w:tc>
          <w:tcPr>
            <w:tcW w:w="1843" w:type="dxa"/>
            <w:vAlign w:val="center"/>
          </w:tcPr>
          <w:p>
            <w:pPr>
              <w:pStyle w:val="11"/>
              <w:rPr>
                <w:rFonts w:hint="default"/>
              </w:rPr>
            </w:pPr>
            <w:r>
              <w:t>年度工作要求</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14"/>
      <w:r>
        <w:rPr>
          <w:rFonts w:ascii="方正仿宋_GBK" w:hAnsi="方正仿宋_GBK" w:eastAsia="方正仿宋_GBK" w:cs="方正仿宋_GBK"/>
          <w:color w:val="000000"/>
          <w:sz w:val="28"/>
        </w:rPr>
        <w:t>11.2023年支持市县科技创新和科学普及专项资金（高新技术企业认定奖补）冀财教【2022】165号绩效目标表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13062323P00937610001W</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2023年支持市县科技创新和科学普及专项资金（高新技术企业认定奖补）冀财教【2022】165号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高新技术企业奖补资金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补助省级科技研发平台数</w:t>
            </w:r>
          </w:p>
        </w:tc>
        <w:tc>
          <w:tcPr>
            <w:tcW w:w="2891" w:type="dxa"/>
            <w:vAlign w:val="center"/>
          </w:tcPr>
          <w:p>
            <w:pPr>
              <w:pStyle w:val="11"/>
              <w:rPr>
                <w:rFonts w:hint="default"/>
              </w:rPr>
            </w:pPr>
            <w:r>
              <w:t>补助省级科技研发平台数</w:t>
            </w:r>
          </w:p>
        </w:tc>
        <w:tc>
          <w:tcPr>
            <w:tcW w:w="1276" w:type="dxa"/>
            <w:vAlign w:val="center"/>
          </w:tcPr>
          <w:p>
            <w:pPr>
              <w:pStyle w:val="11"/>
              <w:rPr>
                <w:rFonts w:hint="default"/>
              </w:rPr>
            </w:pPr>
            <w:r>
              <w:t>≥1家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补助发放覆盖率</w:t>
            </w:r>
          </w:p>
        </w:tc>
        <w:tc>
          <w:tcPr>
            <w:tcW w:w="2891" w:type="dxa"/>
            <w:vAlign w:val="center"/>
          </w:tcPr>
          <w:p>
            <w:pPr>
              <w:pStyle w:val="11"/>
              <w:rPr>
                <w:rFonts w:hint="default"/>
              </w:rPr>
            </w:pPr>
            <w:r>
              <w:t>补助发放覆盖率</w:t>
            </w:r>
          </w:p>
        </w:tc>
        <w:tc>
          <w:tcPr>
            <w:tcW w:w="1276" w:type="dxa"/>
            <w:vAlign w:val="center"/>
          </w:tcPr>
          <w:p>
            <w:pPr>
              <w:pStyle w:val="11"/>
              <w:rPr>
                <w:rFonts w:hint="default"/>
              </w:rPr>
            </w:pPr>
            <w:r>
              <w:t>≥98%</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补助发放</w:t>
            </w:r>
          </w:p>
        </w:tc>
        <w:tc>
          <w:tcPr>
            <w:tcW w:w="2891" w:type="dxa"/>
            <w:vAlign w:val="center"/>
          </w:tcPr>
          <w:p>
            <w:pPr>
              <w:pStyle w:val="11"/>
              <w:rPr>
                <w:rFonts w:hint="default"/>
              </w:rPr>
            </w:pPr>
            <w:r>
              <w:t>补助发放及时性</w:t>
            </w:r>
          </w:p>
        </w:tc>
        <w:tc>
          <w:tcPr>
            <w:tcW w:w="1276" w:type="dxa"/>
            <w:vAlign w:val="center"/>
          </w:tcPr>
          <w:p>
            <w:pPr>
              <w:pStyle w:val="11"/>
              <w:rPr>
                <w:rFonts w:hint="default"/>
              </w:rPr>
            </w:pPr>
            <w:r>
              <w:t>及时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补助金额</w:t>
            </w:r>
          </w:p>
        </w:tc>
        <w:tc>
          <w:tcPr>
            <w:tcW w:w="2891" w:type="dxa"/>
            <w:vAlign w:val="center"/>
          </w:tcPr>
          <w:p>
            <w:pPr>
              <w:pStyle w:val="11"/>
              <w:rPr>
                <w:rFonts w:hint="default"/>
              </w:rPr>
            </w:pPr>
            <w:r>
              <w:t>补助金额</w:t>
            </w:r>
          </w:p>
        </w:tc>
        <w:tc>
          <w:tcPr>
            <w:tcW w:w="1276" w:type="dxa"/>
            <w:vAlign w:val="center"/>
          </w:tcPr>
          <w:p>
            <w:pPr>
              <w:pStyle w:val="11"/>
              <w:rPr>
                <w:rFonts w:hint="default"/>
              </w:rPr>
            </w:pPr>
            <w:r>
              <w:t>20万元</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科技进步贡献率</w:t>
            </w:r>
          </w:p>
        </w:tc>
        <w:tc>
          <w:tcPr>
            <w:tcW w:w="2891" w:type="dxa"/>
            <w:vAlign w:val="center"/>
          </w:tcPr>
          <w:p>
            <w:pPr>
              <w:pStyle w:val="11"/>
              <w:rPr>
                <w:rFonts w:hint="default"/>
              </w:rPr>
            </w:pPr>
            <w:r>
              <w:t>科技进步贡献率</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5"/>
      <w:r>
        <w:rPr>
          <w:rFonts w:ascii="方正仿宋_GBK" w:hAnsi="方正仿宋_GBK" w:eastAsia="方正仿宋_GBK" w:cs="方正仿宋_GBK"/>
          <w:color w:val="000000"/>
          <w:sz w:val="28"/>
        </w:rPr>
        <w:t>12.2023年支持市县科技创新和科学普及专项资金（科技企业研发费用补助）冀财教【2022】165号绩效目标表</w:t>
      </w:r>
      <w:bookmarkEnd w:id="2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13062323P00937410001H</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2023年支持市县科技创新和科学普及专项资金（科技企业研发费用补助）冀财教【2022】165号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26.78</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26.78</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科技企业研发费用补助资金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26.78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补助省级科技研发平台数</w:t>
            </w:r>
          </w:p>
        </w:tc>
        <w:tc>
          <w:tcPr>
            <w:tcW w:w="2891" w:type="dxa"/>
            <w:vAlign w:val="center"/>
          </w:tcPr>
          <w:p>
            <w:pPr>
              <w:pStyle w:val="11"/>
              <w:rPr>
                <w:rFonts w:hint="default"/>
              </w:rPr>
            </w:pPr>
            <w:r>
              <w:t>补助省级科技研发平台数</w:t>
            </w:r>
          </w:p>
        </w:tc>
        <w:tc>
          <w:tcPr>
            <w:tcW w:w="1276" w:type="dxa"/>
            <w:vAlign w:val="center"/>
          </w:tcPr>
          <w:p>
            <w:pPr>
              <w:pStyle w:val="11"/>
              <w:rPr>
                <w:rFonts w:hint="default"/>
              </w:rPr>
            </w:pPr>
            <w:r>
              <w:t>≥1家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补助发放覆盖率</w:t>
            </w:r>
          </w:p>
        </w:tc>
        <w:tc>
          <w:tcPr>
            <w:tcW w:w="2891" w:type="dxa"/>
            <w:vAlign w:val="center"/>
          </w:tcPr>
          <w:p>
            <w:pPr>
              <w:pStyle w:val="11"/>
              <w:rPr>
                <w:rFonts w:hint="default"/>
              </w:rPr>
            </w:pPr>
            <w:r>
              <w:t>补助发放覆盖率</w:t>
            </w:r>
          </w:p>
        </w:tc>
        <w:tc>
          <w:tcPr>
            <w:tcW w:w="1276" w:type="dxa"/>
            <w:vAlign w:val="center"/>
          </w:tcPr>
          <w:p>
            <w:pPr>
              <w:pStyle w:val="11"/>
              <w:rPr>
                <w:rFonts w:hint="default"/>
              </w:rPr>
            </w:pPr>
            <w:r>
              <w:t>≥98%</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补助发放</w:t>
            </w:r>
          </w:p>
        </w:tc>
        <w:tc>
          <w:tcPr>
            <w:tcW w:w="2891" w:type="dxa"/>
            <w:vAlign w:val="center"/>
          </w:tcPr>
          <w:p>
            <w:pPr>
              <w:pStyle w:val="11"/>
              <w:rPr>
                <w:rFonts w:hint="default"/>
              </w:rPr>
            </w:pPr>
            <w:r>
              <w:t>补助发放及时性</w:t>
            </w:r>
          </w:p>
        </w:tc>
        <w:tc>
          <w:tcPr>
            <w:tcW w:w="1276" w:type="dxa"/>
            <w:vAlign w:val="center"/>
          </w:tcPr>
          <w:p>
            <w:pPr>
              <w:pStyle w:val="11"/>
              <w:rPr>
                <w:rFonts w:hint="default"/>
              </w:rPr>
            </w:pPr>
            <w:r>
              <w:t>及时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补助金额</w:t>
            </w:r>
          </w:p>
        </w:tc>
        <w:tc>
          <w:tcPr>
            <w:tcW w:w="2891" w:type="dxa"/>
            <w:vAlign w:val="center"/>
          </w:tcPr>
          <w:p>
            <w:pPr>
              <w:pStyle w:val="11"/>
              <w:rPr>
                <w:rFonts w:hint="default"/>
              </w:rPr>
            </w:pPr>
            <w:r>
              <w:t>补助金额</w:t>
            </w:r>
          </w:p>
        </w:tc>
        <w:tc>
          <w:tcPr>
            <w:tcW w:w="1276" w:type="dxa"/>
            <w:vAlign w:val="center"/>
          </w:tcPr>
          <w:p>
            <w:pPr>
              <w:pStyle w:val="11"/>
              <w:rPr>
                <w:rFonts w:hint="default"/>
              </w:rPr>
            </w:pPr>
            <w:r>
              <w:t>26.77万元</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科技进步贡献率</w:t>
            </w:r>
          </w:p>
        </w:tc>
        <w:tc>
          <w:tcPr>
            <w:tcW w:w="2891" w:type="dxa"/>
            <w:vAlign w:val="center"/>
          </w:tcPr>
          <w:p>
            <w:pPr>
              <w:pStyle w:val="11"/>
              <w:rPr>
                <w:rFonts w:hint="default"/>
              </w:rPr>
            </w:pPr>
            <w:r>
              <w:t>科技进步贡献率</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6"/>
      <w:r>
        <w:rPr>
          <w:rFonts w:ascii="方正仿宋_GBK" w:hAnsi="方正仿宋_GBK" w:eastAsia="方正仿宋_GBK" w:cs="方正仿宋_GBK"/>
          <w:color w:val="000000"/>
          <w:sz w:val="28"/>
        </w:rPr>
        <w:t>13.2023年支持市县科技创新和科学普及专项资金（科技特派员工作补助）冀财教【2022】165号绩效目标表</w:t>
      </w:r>
      <w:bookmarkEnd w:id="2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13062323P009375100017</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2023年支持市县科技创新和科学普及专项资金（科技特派员工作补助）冀财教【2022】165号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30.00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30.00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科技特派员工作补助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补助省级科技研发平台数</w:t>
            </w:r>
          </w:p>
        </w:tc>
        <w:tc>
          <w:tcPr>
            <w:tcW w:w="2891" w:type="dxa"/>
            <w:vAlign w:val="center"/>
          </w:tcPr>
          <w:p>
            <w:pPr>
              <w:pStyle w:val="11"/>
              <w:rPr>
                <w:rFonts w:hint="default"/>
              </w:rPr>
            </w:pPr>
            <w:r>
              <w:t>补助省级科技研发平台数</w:t>
            </w:r>
          </w:p>
        </w:tc>
        <w:tc>
          <w:tcPr>
            <w:tcW w:w="1276" w:type="dxa"/>
            <w:vAlign w:val="center"/>
          </w:tcPr>
          <w:p>
            <w:pPr>
              <w:pStyle w:val="11"/>
              <w:rPr>
                <w:rFonts w:hint="default"/>
              </w:rPr>
            </w:pPr>
            <w:r>
              <w:t>≥6家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补助发放覆盖率</w:t>
            </w:r>
          </w:p>
        </w:tc>
        <w:tc>
          <w:tcPr>
            <w:tcW w:w="2891" w:type="dxa"/>
            <w:vAlign w:val="center"/>
          </w:tcPr>
          <w:p>
            <w:pPr>
              <w:pStyle w:val="11"/>
              <w:rPr>
                <w:rFonts w:hint="default"/>
              </w:rPr>
            </w:pPr>
            <w:r>
              <w:t>补助发放覆盖率</w:t>
            </w:r>
          </w:p>
        </w:tc>
        <w:tc>
          <w:tcPr>
            <w:tcW w:w="1276" w:type="dxa"/>
            <w:vAlign w:val="center"/>
          </w:tcPr>
          <w:p>
            <w:pPr>
              <w:pStyle w:val="11"/>
              <w:rPr>
                <w:rFonts w:hint="default"/>
              </w:rPr>
            </w:pPr>
            <w:r>
              <w:t>≥98%</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补助发放</w:t>
            </w:r>
          </w:p>
        </w:tc>
        <w:tc>
          <w:tcPr>
            <w:tcW w:w="2891" w:type="dxa"/>
            <w:vAlign w:val="center"/>
          </w:tcPr>
          <w:p>
            <w:pPr>
              <w:pStyle w:val="11"/>
              <w:rPr>
                <w:rFonts w:hint="default"/>
              </w:rPr>
            </w:pPr>
            <w:r>
              <w:t>补助发放及时性</w:t>
            </w:r>
          </w:p>
        </w:tc>
        <w:tc>
          <w:tcPr>
            <w:tcW w:w="1276" w:type="dxa"/>
            <w:vAlign w:val="center"/>
          </w:tcPr>
          <w:p>
            <w:pPr>
              <w:pStyle w:val="11"/>
              <w:rPr>
                <w:rFonts w:hint="default"/>
              </w:rPr>
            </w:pPr>
            <w:r>
              <w:t>及时</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补助金额</w:t>
            </w:r>
          </w:p>
        </w:tc>
        <w:tc>
          <w:tcPr>
            <w:tcW w:w="2891" w:type="dxa"/>
            <w:vAlign w:val="center"/>
          </w:tcPr>
          <w:p>
            <w:pPr>
              <w:pStyle w:val="11"/>
              <w:rPr>
                <w:rFonts w:hint="default"/>
              </w:rPr>
            </w:pPr>
            <w:r>
              <w:t>补助金额</w:t>
            </w:r>
          </w:p>
        </w:tc>
        <w:tc>
          <w:tcPr>
            <w:tcW w:w="1276" w:type="dxa"/>
            <w:vAlign w:val="center"/>
          </w:tcPr>
          <w:p>
            <w:pPr>
              <w:pStyle w:val="11"/>
              <w:rPr>
                <w:rFonts w:hint="default"/>
              </w:rPr>
            </w:pPr>
            <w:r>
              <w:t>30万元</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科技进步贡献率</w:t>
            </w:r>
          </w:p>
        </w:tc>
        <w:tc>
          <w:tcPr>
            <w:tcW w:w="2891" w:type="dxa"/>
            <w:vAlign w:val="center"/>
          </w:tcPr>
          <w:p>
            <w:pPr>
              <w:pStyle w:val="11"/>
              <w:rPr>
                <w:rFonts w:hint="default"/>
              </w:rPr>
            </w:pPr>
            <w:r>
              <w:t>科技进步贡献率</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≥95%</w:t>
            </w:r>
          </w:p>
        </w:tc>
        <w:tc>
          <w:tcPr>
            <w:tcW w:w="1843" w:type="dxa"/>
            <w:vAlign w:val="center"/>
          </w:tcPr>
          <w:p>
            <w:pPr>
              <w:pStyle w:val="11"/>
              <w:rPr>
                <w:rFonts w:hint="default"/>
              </w:rPr>
            </w:pPr>
            <w:r>
              <w:t>文件规定</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7"/>
      <w:r>
        <w:rPr>
          <w:rFonts w:ascii="方正仿宋_GBK" w:hAnsi="方正仿宋_GBK" w:eastAsia="方正仿宋_GBK" w:cs="方正仿宋_GBK"/>
          <w:color w:val="000000"/>
          <w:sz w:val="28"/>
        </w:rPr>
        <w:t>14.2023年中染防治资金（用于农村地区清洁取暖任务运行补贴） （冀财资环[2022]89号）绩效目标表</w:t>
      </w:r>
      <w:bookmarkEnd w:id="2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13062323P00005010001X</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2023年中染防治资金（用于农村地区清洁取暖任务运行补贴） （冀财资环[2022]89号）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1255.00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1255.00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气价补贴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1.用于农村地区清洁取暖，用于做好大气污染防治，保障群众温暖过冬。</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清洁取暖覆盖率</w:t>
            </w:r>
          </w:p>
        </w:tc>
        <w:tc>
          <w:tcPr>
            <w:tcW w:w="2891" w:type="dxa"/>
            <w:vAlign w:val="center"/>
          </w:tcPr>
          <w:p>
            <w:pPr>
              <w:pStyle w:val="11"/>
              <w:rPr>
                <w:rFonts w:hint="default"/>
              </w:rPr>
            </w:pPr>
            <w:r>
              <w:t>清洁取暖覆盖率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验收通过率</w:t>
            </w:r>
          </w:p>
        </w:tc>
        <w:tc>
          <w:tcPr>
            <w:tcW w:w="2891" w:type="dxa"/>
            <w:vAlign w:val="center"/>
          </w:tcPr>
          <w:p>
            <w:pPr>
              <w:pStyle w:val="11"/>
              <w:rPr>
                <w:rFonts w:hint="default"/>
              </w:rPr>
            </w:pPr>
            <w:r>
              <w:t>验收通过率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全年资金使用率</w:t>
            </w:r>
          </w:p>
        </w:tc>
        <w:tc>
          <w:tcPr>
            <w:tcW w:w="2891" w:type="dxa"/>
            <w:vAlign w:val="center"/>
          </w:tcPr>
          <w:p>
            <w:pPr>
              <w:pStyle w:val="11"/>
              <w:rPr>
                <w:rFonts w:hint="default"/>
              </w:rPr>
            </w:pPr>
            <w:r>
              <w:t>全年资金使用率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资金发放到位率</w:t>
            </w:r>
          </w:p>
        </w:tc>
        <w:tc>
          <w:tcPr>
            <w:tcW w:w="2891" w:type="dxa"/>
            <w:vAlign w:val="center"/>
          </w:tcPr>
          <w:p>
            <w:pPr>
              <w:pStyle w:val="11"/>
              <w:rPr>
                <w:rFonts w:hint="default"/>
              </w:rPr>
            </w:pPr>
            <w:r>
              <w:t>资金发放到位率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对象满意度</w:t>
            </w:r>
          </w:p>
        </w:tc>
        <w:tc>
          <w:tcPr>
            <w:tcW w:w="2891" w:type="dxa"/>
            <w:vAlign w:val="center"/>
          </w:tcPr>
          <w:p>
            <w:pPr>
              <w:pStyle w:val="11"/>
              <w:rPr>
                <w:rFonts w:hint="default"/>
              </w:rPr>
            </w:pPr>
            <w:r>
              <w:t>对象满意度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8"/>
      <w:r>
        <w:rPr>
          <w:rFonts w:ascii="方正仿宋_GBK" w:hAnsi="方正仿宋_GBK" w:eastAsia="方正仿宋_GBK" w:cs="方正仿宋_GBK"/>
          <w:color w:val="000000"/>
          <w:sz w:val="28"/>
        </w:rPr>
        <w:t>15.2023年中央大气污染防治资金（用于农村地区气代煤电代煤改造任务运行补助） （冀财建[2022]216号）</w:t>
      </w:r>
      <w:bookmarkEnd w:id="23"/>
    </w:p>
    <w:p>
      <w:pPr>
        <w:ind w:firstLine="560"/>
        <w:outlineLvl w:val="3"/>
      </w:pPr>
      <w:bookmarkStart w:id="24" w:name="_Toc_4_4_0000000019"/>
      <w:r>
        <w:rPr>
          <w:rFonts w:ascii="方正仿宋_GBK" w:hAnsi="方正仿宋_GBK" w:eastAsia="方正仿宋_GBK" w:cs="方正仿宋_GBK"/>
          <w:color w:val="000000"/>
          <w:sz w:val="28"/>
        </w:rPr>
        <w:t>绩效目标表</w:t>
      </w:r>
      <w:bookmarkEnd w:id="2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13062323P000051100027</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2023年中央大气污染防治资金（用于农村地区气代煤电代煤改造任务运行补助） （冀财建[2022]216号）</w:t>
            </w:r>
          </w:p>
          <w:p>
            <w:pPr>
              <w:pStyle w:val="11"/>
              <w:rPr>
                <w:rFonts w:hint="default"/>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666.00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666.00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气价补贴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666.00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1.用于农村地区清洁取暖，用于做好大气污染防治，保障群众温暖过冬。</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清洁取暖覆盖率</w:t>
            </w:r>
          </w:p>
        </w:tc>
        <w:tc>
          <w:tcPr>
            <w:tcW w:w="2891" w:type="dxa"/>
            <w:vAlign w:val="center"/>
          </w:tcPr>
          <w:p>
            <w:pPr>
              <w:pStyle w:val="11"/>
              <w:rPr>
                <w:rFonts w:hint="default"/>
              </w:rPr>
            </w:pPr>
            <w:r>
              <w:t>清洁取暖覆盖率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验收通过率</w:t>
            </w:r>
          </w:p>
        </w:tc>
        <w:tc>
          <w:tcPr>
            <w:tcW w:w="2891" w:type="dxa"/>
            <w:vAlign w:val="center"/>
          </w:tcPr>
          <w:p>
            <w:pPr>
              <w:pStyle w:val="11"/>
              <w:rPr>
                <w:rFonts w:hint="default"/>
              </w:rPr>
            </w:pPr>
            <w:r>
              <w:t>验收通过率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全年资金使用率</w:t>
            </w:r>
          </w:p>
        </w:tc>
        <w:tc>
          <w:tcPr>
            <w:tcW w:w="2891" w:type="dxa"/>
            <w:vAlign w:val="center"/>
          </w:tcPr>
          <w:p>
            <w:pPr>
              <w:pStyle w:val="11"/>
              <w:rPr>
                <w:rFonts w:hint="default"/>
              </w:rPr>
            </w:pPr>
            <w:r>
              <w:t>全年资金使用率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生态效益指标</w:t>
            </w:r>
          </w:p>
        </w:tc>
        <w:tc>
          <w:tcPr>
            <w:tcW w:w="1332" w:type="dxa"/>
            <w:vAlign w:val="center"/>
          </w:tcPr>
          <w:p>
            <w:pPr>
              <w:pStyle w:val="11"/>
              <w:rPr>
                <w:rFonts w:hint="default"/>
              </w:rPr>
            </w:pPr>
            <w:r>
              <w:t>资金发放到位率</w:t>
            </w:r>
          </w:p>
        </w:tc>
        <w:tc>
          <w:tcPr>
            <w:tcW w:w="2891" w:type="dxa"/>
            <w:vAlign w:val="center"/>
          </w:tcPr>
          <w:p>
            <w:pPr>
              <w:pStyle w:val="11"/>
              <w:rPr>
                <w:rFonts w:hint="default"/>
              </w:rPr>
            </w:pPr>
            <w:r>
              <w:t>资金发放到位率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对象满意度</w:t>
            </w:r>
          </w:p>
        </w:tc>
        <w:tc>
          <w:tcPr>
            <w:tcW w:w="2891" w:type="dxa"/>
            <w:vAlign w:val="center"/>
          </w:tcPr>
          <w:p>
            <w:pPr>
              <w:pStyle w:val="11"/>
              <w:rPr>
                <w:rFonts w:hint="default"/>
              </w:rPr>
            </w:pPr>
            <w:r>
              <w:t>对象满意度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0"/>
      <w:r>
        <w:rPr>
          <w:rFonts w:ascii="方正仿宋_GBK" w:hAnsi="方正仿宋_GBK" w:eastAsia="方正仿宋_GBK" w:cs="方正仿宋_GBK"/>
          <w:color w:val="000000"/>
          <w:sz w:val="28"/>
        </w:rPr>
        <w:t>16.初次新增规上企业奖励资金绩效目标表</w:t>
      </w:r>
      <w:bookmarkEnd w:id="2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13062323P00004810008D</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初次新增规上企业奖励资金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55.00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55.00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初次新增规上企业奖励资金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1.完成初次新增规上企业奖励资金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资金到位率</w:t>
            </w:r>
          </w:p>
        </w:tc>
        <w:tc>
          <w:tcPr>
            <w:tcW w:w="2891" w:type="dxa"/>
            <w:vAlign w:val="center"/>
          </w:tcPr>
          <w:p>
            <w:pPr>
              <w:pStyle w:val="11"/>
              <w:rPr>
                <w:rFonts w:hint="default"/>
              </w:rPr>
            </w:pPr>
            <w:r>
              <w:t>资金到位率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正常使用率</w:t>
            </w:r>
          </w:p>
        </w:tc>
        <w:tc>
          <w:tcPr>
            <w:tcW w:w="2891" w:type="dxa"/>
            <w:vAlign w:val="center"/>
          </w:tcPr>
          <w:p>
            <w:pPr>
              <w:pStyle w:val="11"/>
              <w:rPr>
                <w:rFonts w:hint="default"/>
              </w:rPr>
            </w:pPr>
            <w:r>
              <w:t>正常使用率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发放率</w:t>
            </w:r>
          </w:p>
        </w:tc>
        <w:tc>
          <w:tcPr>
            <w:tcW w:w="2891" w:type="dxa"/>
            <w:vAlign w:val="center"/>
          </w:tcPr>
          <w:p>
            <w:pPr>
              <w:pStyle w:val="11"/>
              <w:rPr>
                <w:rFonts w:hint="default"/>
              </w:rPr>
            </w:pPr>
            <w:r>
              <w:t>发放率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21"/>
      <w:r>
        <w:rPr>
          <w:rFonts w:ascii="方正仿宋_GBK" w:hAnsi="方正仿宋_GBK" w:eastAsia="方正仿宋_GBK" w:cs="方正仿宋_GBK"/>
          <w:color w:val="000000"/>
          <w:sz w:val="28"/>
        </w:rPr>
        <w:t>17.大气污染防治专项资金（冀财建[2022]279号）绩效目标表</w:t>
      </w:r>
      <w:bookmarkEnd w:id="2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13062322P00941310001R</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大气污染防治专项资金（冀财建[2022]279号）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172.75</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172.75</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气价补贴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172.75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1.用于农村地区清洁取暖，用于做好大气污染防治，保障群众温暖过冬。</w:t>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清洁取暖覆盖率</w:t>
            </w:r>
          </w:p>
        </w:tc>
        <w:tc>
          <w:tcPr>
            <w:tcW w:w="2891" w:type="dxa"/>
            <w:vAlign w:val="center"/>
          </w:tcPr>
          <w:p>
            <w:pPr>
              <w:pStyle w:val="11"/>
              <w:rPr>
                <w:rFonts w:hint="default"/>
              </w:rPr>
            </w:pPr>
            <w:r>
              <w:t>清洁取暖覆盖率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验收通过率</w:t>
            </w:r>
          </w:p>
        </w:tc>
        <w:tc>
          <w:tcPr>
            <w:tcW w:w="2891" w:type="dxa"/>
            <w:vAlign w:val="center"/>
          </w:tcPr>
          <w:p>
            <w:pPr>
              <w:pStyle w:val="11"/>
              <w:rPr>
                <w:rFonts w:hint="default"/>
              </w:rPr>
            </w:pPr>
            <w:r>
              <w:t>验收通过率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全年资金使用率</w:t>
            </w:r>
          </w:p>
        </w:tc>
        <w:tc>
          <w:tcPr>
            <w:tcW w:w="2891" w:type="dxa"/>
            <w:vAlign w:val="center"/>
          </w:tcPr>
          <w:p>
            <w:pPr>
              <w:pStyle w:val="11"/>
              <w:rPr>
                <w:rFonts w:hint="default"/>
              </w:rPr>
            </w:pPr>
            <w:r>
              <w:t>全年资金使用率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资金发放到位率</w:t>
            </w:r>
          </w:p>
        </w:tc>
        <w:tc>
          <w:tcPr>
            <w:tcW w:w="2891" w:type="dxa"/>
            <w:vAlign w:val="center"/>
          </w:tcPr>
          <w:p>
            <w:pPr>
              <w:pStyle w:val="11"/>
              <w:rPr>
                <w:rFonts w:hint="default"/>
              </w:rPr>
            </w:pPr>
            <w:r>
              <w:t>资金发放到位率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对象满意度</w:t>
            </w:r>
          </w:p>
        </w:tc>
        <w:tc>
          <w:tcPr>
            <w:tcW w:w="2891" w:type="dxa"/>
            <w:vAlign w:val="center"/>
          </w:tcPr>
          <w:p>
            <w:pPr>
              <w:pStyle w:val="11"/>
              <w:rPr>
                <w:rFonts w:hint="default"/>
              </w:rPr>
            </w:pPr>
            <w:r>
              <w:t>对象满意度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22"/>
      <w:r>
        <w:rPr>
          <w:rFonts w:ascii="方正仿宋_GBK" w:hAnsi="方正仿宋_GBK" w:eastAsia="方正仿宋_GBK" w:cs="方正仿宋_GBK"/>
          <w:color w:val="000000"/>
          <w:sz w:val="28"/>
        </w:rPr>
        <w:t>18.电子商务领导小组办公专项费用绩效目标表</w:t>
      </w:r>
      <w:bookmarkEnd w:id="2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13062323P00004810007R</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电子商务领导小组办公专项费用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41.00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41.00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电子商务领导小组专项办公费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1.保障电商工作人员正常工作，保障电商大厦正常工作运转。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资金到位率</w:t>
            </w:r>
          </w:p>
        </w:tc>
        <w:tc>
          <w:tcPr>
            <w:tcW w:w="2891" w:type="dxa"/>
            <w:vAlign w:val="center"/>
          </w:tcPr>
          <w:p>
            <w:pPr>
              <w:pStyle w:val="11"/>
              <w:rPr>
                <w:rFonts w:hint="default"/>
              </w:rPr>
            </w:pPr>
            <w:r>
              <w:t>办公专项费用发放到位率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资金发放准确率</w:t>
            </w:r>
          </w:p>
        </w:tc>
        <w:tc>
          <w:tcPr>
            <w:tcW w:w="2891" w:type="dxa"/>
            <w:vAlign w:val="center"/>
          </w:tcPr>
          <w:p>
            <w:pPr>
              <w:pStyle w:val="11"/>
              <w:rPr>
                <w:rFonts w:hint="default"/>
              </w:rPr>
            </w:pPr>
            <w:r>
              <w:t>资金发放准确率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资金发放完成率</w:t>
            </w:r>
          </w:p>
        </w:tc>
        <w:tc>
          <w:tcPr>
            <w:tcW w:w="2891" w:type="dxa"/>
            <w:vAlign w:val="center"/>
          </w:tcPr>
          <w:p>
            <w:pPr>
              <w:pStyle w:val="11"/>
              <w:rPr>
                <w:rFonts w:hint="default"/>
              </w:rPr>
            </w:pPr>
            <w:r>
              <w:t>资金发放完成率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按预算资金完成率</w:t>
            </w:r>
          </w:p>
        </w:tc>
        <w:tc>
          <w:tcPr>
            <w:tcW w:w="2891" w:type="dxa"/>
            <w:vAlign w:val="center"/>
          </w:tcPr>
          <w:p>
            <w:pPr>
              <w:pStyle w:val="11"/>
              <w:rPr>
                <w:rFonts w:hint="default"/>
              </w:rPr>
            </w:pPr>
            <w:r>
              <w:t>按预算资金完成率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工作完成率</w:t>
            </w:r>
          </w:p>
        </w:tc>
        <w:tc>
          <w:tcPr>
            <w:tcW w:w="2891" w:type="dxa"/>
            <w:vAlign w:val="center"/>
          </w:tcPr>
          <w:p>
            <w:pPr>
              <w:pStyle w:val="11"/>
              <w:rPr>
                <w:rFonts w:hint="default"/>
              </w:rPr>
            </w:pPr>
            <w:r>
              <w:t>工作完成率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≥90工作方案</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23"/>
      <w:r>
        <w:rPr>
          <w:rFonts w:ascii="方正仿宋_GBK" w:hAnsi="方正仿宋_GBK" w:eastAsia="方正仿宋_GBK" w:cs="方正仿宋_GBK"/>
          <w:color w:val="000000"/>
          <w:sz w:val="28"/>
        </w:rPr>
        <w:t>19.电子政务网网络租赁费绩效目标表</w:t>
      </w:r>
      <w:bookmarkEnd w:id="2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13062323P000048100014</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电子政务网网络租赁费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52.96</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52.96</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电子政务网租赁费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52.96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资金支付率</w:t>
            </w:r>
          </w:p>
        </w:tc>
        <w:tc>
          <w:tcPr>
            <w:tcW w:w="2891" w:type="dxa"/>
            <w:vAlign w:val="center"/>
          </w:tcPr>
          <w:p>
            <w:pPr>
              <w:pStyle w:val="11"/>
              <w:rPr>
                <w:rFonts w:hint="default"/>
              </w:rPr>
            </w:pPr>
            <w:r>
              <w:t>资金支付时效率</w:t>
            </w:r>
          </w:p>
        </w:tc>
        <w:tc>
          <w:tcPr>
            <w:tcW w:w="1276" w:type="dxa"/>
            <w:vAlign w:val="center"/>
          </w:tcPr>
          <w:p>
            <w:pPr>
              <w:pStyle w:val="11"/>
              <w:rPr>
                <w:rFonts w:hint="default"/>
              </w:rPr>
            </w:pPr>
            <w:r>
              <w:t>≥100百分比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工程质量合格率</w:t>
            </w:r>
          </w:p>
        </w:tc>
        <w:tc>
          <w:tcPr>
            <w:tcW w:w="2891" w:type="dxa"/>
            <w:vAlign w:val="center"/>
          </w:tcPr>
          <w:p>
            <w:pPr>
              <w:pStyle w:val="11"/>
              <w:rPr>
                <w:rFonts w:hint="default"/>
              </w:rPr>
            </w:pPr>
            <w:r>
              <w:t>工程质量合格率</w:t>
            </w:r>
          </w:p>
        </w:tc>
        <w:tc>
          <w:tcPr>
            <w:tcW w:w="1276" w:type="dxa"/>
            <w:vAlign w:val="center"/>
          </w:tcPr>
          <w:p>
            <w:pPr>
              <w:pStyle w:val="11"/>
              <w:rPr>
                <w:rFonts w:hint="default"/>
              </w:rPr>
            </w:pPr>
            <w:r>
              <w:t>≥100百分比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完成及时率</w:t>
            </w:r>
          </w:p>
        </w:tc>
        <w:tc>
          <w:tcPr>
            <w:tcW w:w="2891" w:type="dxa"/>
            <w:vAlign w:val="center"/>
          </w:tcPr>
          <w:p>
            <w:pPr>
              <w:pStyle w:val="11"/>
              <w:rPr>
                <w:rFonts w:hint="default"/>
              </w:rPr>
            </w:pPr>
            <w:r>
              <w:t>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长期使用率</w:t>
            </w:r>
          </w:p>
        </w:tc>
        <w:tc>
          <w:tcPr>
            <w:tcW w:w="2891" w:type="dxa"/>
            <w:vAlign w:val="center"/>
          </w:tcPr>
          <w:p>
            <w:pPr>
              <w:pStyle w:val="11"/>
              <w:rPr>
                <w:rFonts w:hint="default"/>
              </w:rPr>
            </w:pPr>
            <w:r>
              <w:t>能够长期较好的保障机关单位网络使用的需求</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客户满意度</w:t>
            </w:r>
          </w:p>
        </w:tc>
        <w:tc>
          <w:tcPr>
            <w:tcW w:w="2891" w:type="dxa"/>
            <w:vAlign w:val="center"/>
          </w:tcPr>
          <w:p>
            <w:pPr>
              <w:pStyle w:val="11"/>
              <w:rPr>
                <w:rFonts w:hint="default"/>
              </w:rPr>
            </w:pPr>
            <w:r>
              <w:t>客户满意度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24"/>
      <w:r>
        <w:rPr>
          <w:rFonts w:ascii="方正仿宋_GBK" w:hAnsi="方正仿宋_GBK" w:eastAsia="方正仿宋_GBK" w:cs="方正仿宋_GBK"/>
          <w:color w:val="000000"/>
          <w:sz w:val="28"/>
        </w:rPr>
        <w:t>20.洁净煤销售系统维护费用绩效目标表</w:t>
      </w:r>
      <w:bookmarkEnd w:id="2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13062323P00004810003B</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洁净煤销售系统维护费用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0.50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0.50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洁净煤销售系统维护费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1.洁净煤销售系统正常使用，保证数据上报准确性、及时性。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制作数量</w:t>
            </w:r>
          </w:p>
        </w:tc>
        <w:tc>
          <w:tcPr>
            <w:tcW w:w="2891" w:type="dxa"/>
            <w:vAlign w:val="center"/>
          </w:tcPr>
          <w:p>
            <w:pPr>
              <w:pStyle w:val="11"/>
              <w:rPr>
                <w:rFonts w:hint="default"/>
              </w:rPr>
            </w:pPr>
            <w:r>
              <w:t>制作数量</w:t>
            </w:r>
          </w:p>
        </w:tc>
        <w:tc>
          <w:tcPr>
            <w:tcW w:w="1276" w:type="dxa"/>
            <w:vAlign w:val="center"/>
          </w:tcPr>
          <w:p>
            <w:pPr>
              <w:pStyle w:val="11"/>
              <w:rPr>
                <w:rFonts w:hint="default"/>
              </w:rPr>
            </w:pPr>
            <w:r>
              <w:t>1个</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资金发放准确率</w:t>
            </w:r>
          </w:p>
        </w:tc>
        <w:tc>
          <w:tcPr>
            <w:tcW w:w="2891" w:type="dxa"/>
            <w:vAlign w:val="center"/>
          </w:tcPr>
          <w:p>
            <w:pPr>
              <w:pStyle w:val="11"/>
              <w:rPr>
                <w:rFonts w:hint="default"/>
              </w:rPr>
            </w:pPr>
            <w:r>
              <w:t>资金发放准确率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支付及时率</w:t>
            </w:r>
          </w:p>
        </w:tc>
        <w:tc>
          <w:tcPr>
            <w:tcW w:w="2891" w:type="dxa"/>
            <w:vAlign w:val="center"/>
          </w:tcPr>
          <w:p>
            <w:pPr>
              <w:pStyle w:val="11"/>
              <w:rPr>
                <w:rFonts w:hint="default"/>
              </w:rPr>
            </w:pPr>
            <w:r>
              <w:t>支付及时率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发放完成率</w:t>
            </w:r>
          </w:p>
        </w:tc>
        <w:tc>
          <w:tcPr>
            <w:tcW w:w="2891" w:type="dxa"/>
            <w:vAlign w:val="center"/>
          </w:tcPr>
          <w:p>
            <w:pPr>
              <w:pStyle w:val="11"/>
              <w:rPr>
                <w:rFonts w:hint="default"/>
              </w:rPr>
            </w:pPr>
            <w:r>
              <w:t>发放完成率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工作完成率</w:t>
            </w:r>
          </w:p>
        </w:tc>
        <w:tc>
          <w:tcPr>
            <w:tcW w:w="2891" w:type="dxa"/>
            <w:vAlign w:val="center"/>
          </w:tcPr>
          <w:p>
            <w:pPr>
              <w:pStyle w:val="11"/>
              <w:rPr>
                <w:rFonts w:hint="default"/>
              </w:rPr>
            </w:pPr>
            <w:r>
              <w:t>工作完成率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25"/>
      <w:r>
        <w:rPr>
          <w:rFonts w:ascii="方正仿宋_GBK" w:hAnsi="方正仿宋_GBK" w:eastAsia="方正仿宋_GBK" w:cs="方正仿宋_GBK"/>
          <w:color w:val="000000"/>
          <w:sz w:val="28"/>
        </w:rPr>
        <w:t>21.科技创新奖补资金绩效目标表</w:t>
      </w:r>
      <w:bookmarkEnd w:id="3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13062323P00004810004Y</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科技创新奖补资金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70.00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70.00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科技创新奖补支出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1.对全县企业摸排统计并及时拨付资金</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数据整理完成率</w:t>
            </w:r>
          </w:p>
        </w:tc>
        <w:tc>
          <w:tcPr>
            <w:tcW w:w="2891" w:type="dxa"/>
            <w:vAlign w:val="center"/>
          </w:tcPr>
          <w:p>
            <w:pPr>
              <w:pStyle w:val="11"/>
              <w:rPr>
                <w:rFonts w:hint="default"/>
              </w:rPr>
            </w:pPr>
            <w:r>
              <w:t>数据整理完成率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业务工作完成率（%）</w:t>
            </w:r>
          </w:p>
        </w:tc>
        <w:tc>
          <w:tcPr>
            <w:tcW w:w="2891" w:type="dxa"/>
            <w:vAlign w:val="center"/>
          </w:tcPr>
          <w:p>
            <w:pPr>
              <w:pStyle w:val="11"/>
              <w:rPr>
                <w:rFonts w:hint="default"/>
              </w:rPr>
            </w:pPr>
            <w:r>
              <w:t>业务工作完成率（%）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资金发放准时率</w:t>
            </w:r>
          </w:p>
        </w:tc>
        <w:tc>
          <w:tcPr>
            <w:tcW w:w="2891" w:type="dxa"/>
            <w:vAlign w:val="center"/>
          </w:tcPr>
          <w:p>
            <w:pPr>
              <w:pStyle w:val="11"/>
              <w:rPr>
                <w:rFonts w:hint="default"/>
              </w:rPr>
            </w:pPr>
            <w:r>
              <w:t>资金发放准时率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预算执行率</w:t>
            </w:r>
          </w:p>
        </w:tc>
        <w:tc>
          <w:tcPr>
            <w:tcW w:w="2891" w:type="dxa"/>
            <w:vAlign w:val="center"/>
          </w:tcPr>
          <w:p>
            <w:pPr>
              <w:pStyle w:val="11"/>
              <w:rPr>
                <w:rFonts w:hint="default"/>
              </w:rPr>
            </w:pPr>
            <w:r>
              <w:t>预算执行率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科技进步贡献率</w:t>
            </w:r>
          </w:p>
        </w:tc>
        <w:tc>
          <w:tcPr>
            <w:tcW w:w="2891" w:type="dxa"/>
            <w:vAlign w:val="center"/>
          </w:tcPr>
          <w:p>
            <w:pPr>
              <w:pStyle w:val="11"/>
              <w:rPr>
                <w:rFonts w:hint="default"/>
              </w:rPr>
            </w:pPr>
            <w:r>
              <w:t>科技进步贡献率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6"/>
      <w:r>
        <w:rPr>
          <w:rFonts w:ascii="方正仿宋_GBK" w:hAnsi="方正仿宋_GBK" w:eastAsia="方正仿宋_GBK" w:cs="方正仿宋_GBK"/>
          <w:color w:val="000000"/>
          <w:sz w:val="28"/>
        </w:rPr>
        <w:t>22.科技经费绩效目标表</w:t>
      </w:r>
      <w:bookmarkEnd w:id="3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13062323P000048100091</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科技经费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科技支出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1.组织实施全县技术创新工作，做好全县工业科技进步工作。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科技交流活动</w:t>
            </w:r>
          </w:p>
        </w:tc>
        <w:tc>
          <w:tcPr>
            <w:tcW w:w="2891" w:type="dxa"/>
            <w:vAlign w:val="center"/>
          </w:tcPr>
          <w:p>
            <w:pPr>
              <w:pStyle w:val="11"/>
              <w:rPr>
                <w:rFonts w:hint="default"/>
              </w:rPr>
            </w:pPr>
            <w:r>
              <w:t>科技交流活动</w:t>
            </w:r>
          </w:p>
        </w:tc>
        <w:tc>
          <w:tcPr>
            <w:tcW w:w="1276" w:type="dxa"/>
            <w:vAlign w:val="center"/>
          </w:tcPr>
          <w:p>
            <w:pPr>
              <w:pStyle w:val="11"/>
              <w:rPr>
                <w:rFonts w:hint="default"/>
              </w:rPr>
            </w:pPr>
            <w:r>
              <w:t>≥6次</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科技管理业务工作保障率</w:t>
            </w:r>
          </w:p>
        </w:tc>
        <w:tc>
          <w:tcPr>
            <w:tcW w:w="2891" w:type="dxa"/>
            <w:vAlign w:val="center"/>
          </w:tcPr>
          <w:p>
            <w:pPr>
              <w:pStyle w:val="11"/>
              <w:rPr>
                <w:rFonts w:hint="default"/>
              </w:rPr>
            </w:pPr>
            <w:r>
              <w:t>科技管理业务工作保障率</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组织宣传活动次数</w:t>
            </w:r>
          </w:p>
        </w:tc>
        <w:tc>
          <w:tcPr>
            <w:tcW w:w="2891" w:type="dxa"/>
            <w:vAlign w:val="center"/>
          </w:tcPr>
          <w:p>
            <w:pPr>
              <w:pStyle w:val="11"/>
              <w:rPr>
                <w:rFonts w:hint="default"/>
              </w:rPr>
            </w:pPr>
            <w:r>
              <w:t>组织宣传活动次数</w:t>
            </w:r>
          </w:p>
        </w:tc>
        <w:tc>
          <w:tcPr>
            <w:tcW w:w="1276" w:type="dxa"/>
            <w:vAlign w:val="center"/>
          </w:tcPr>
          <w:p>
            <w:pPr>
              <w:pStyle w:val="11"/>
              <w:rPr>
                <w:rFonts w:hint="default"/>
              </w:rPr>
            </w:pPr>
            <w:r>
              <w:t>≥8次</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预算执行率（%）</w:t>
            </w:r>
          </w:p>
        </w:tc>
        <w:tc>
          <w:tcPr>
            <w:tcW w:w="2891" w:type="dxa"/>
            <w:vAlign w:val="center"/>
          </w:tcPr>
          <w:p>
            <w:pPr>
              <w:pStyle w:val="11"/>
              <w:rPr>
                <w:rFonts w:hint="default"/>
              </w:rPr>
            </w:pPr>
            <w:r>
              <w:t>预算执行率（%）</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示范带动作用</w:t>
            </w:r>
          </w:p>
        </w:tc>
        <w:tc>
          <w:tcPr>
            <w:tcW w:w="2891" w:type="dxa"/>
            <w:vAlign w:val="center"/>
          </w:tcPr>
          <w:p>
            <w:pPr>
              <w:pStyle w:val="11"/>
              <w:rPr>
                <w:rFonts w:hint="default"/>
              </w:rPr>
            </w:pPr>
            <w:r>
              <w:t>示范带动作用</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7"/>
      <w:r>
        <w:rPr>
          <w:rFonts w:ascii="方正仿宋_GBK" w:hAnsi="方正仿宋_GBK" w:eastAsia="方正仿宋_GBK" w:cs="方正仿宋_GBK"/>
          <w:color w:val="000000"/>
          <w:sz w:val="28"/>
        </w:rPr>
        <w:t>23.临时管控区防疫人员餐费绩效目标表</w:t>
      </w:r>
      <w:bookmarkEnd w:id="3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13062323P00004810014T</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临时管控区防疫人员餐费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5.60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5.60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临时管控区防疫人员餐费</w:t>
            </w:r>
            <w:r>
              <w:tab/>
            </w:r>
          </w:p>
          <w:p>
            <w:pPr>
              <w:pStyle w:val="11"/>
              <w:rPr>
                <w:rFonts w:hint="default"/>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1.保障前线防疫人员用餐需求。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采购数量完成率</w:t>
            </w:r>
          </w:p>
        </w:tc>
        <w:tc>
          <w:tcPr>
            <w:tcW w:w="2891" w:type="dxa"/>
            <w:vAlign w:val="center"/>
          </w:tcPr>
          <w:p>
            <w:pPr>
              <w:pStyle w:val="11"/>
              <w:rPr>
                <w:rFonts w:hint="default"/>
              </w:rPr>
            </w:pPr>
            <w:r>
              <w:t>采购数量完成率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按标准发放率</w:t>
            </w:r>
          </w:p>
        </w:tc>
        <w:tc>
          <w:tcPr>
            <w:tcW w:w="2891" w:type="dxa"/>
            <w:vAlign w:val="center"/>
          </w:tcPr>
          <w:p>
            <w:pPr>
              <w:pStyle w:val="11"/>
              <w:rPr>
                <w:rFonts w:hint="default"/>
              </w:rPr>
            </w:pPr>
            <w:r>
              <w:t>按标准发放率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任务完成及时率</w:t>
            </w:r>
          </w:p>
        </w:tc>
        <w:tc>
          <w:tcPr>
            <w:tcW w:w="2891" w:type="dxa"/>
            <w:vAlign w:val="center"/>
          </w:tcPr>
          <w:p>
            <w:pPr>
              <w:pStyle w:val="11"/>
              <w:rPr>
                <w:rFonts w:hint="default"/>
              </w:rPr>
            </w:pPr>
            <w:r>
              <w:t>任务完成及时率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w:t>
            </w:r>
          </w:p>
        </w:tc>
        <w:tc>
          <w:tcPr>
            <w:tcW w:w="2891" w:type="dxa"/>
            <w:vAlign w:val="center"/>
          </w:tcPr>
          <w:p>
            <w:pPr>
              <w:pStyle w:val="11"/>
              <w:rPr>
                <w:rFonts w:hint="default"/>
              </w:rPr>
            </w:pPr>
            <w:r>
              <w:t>成本控制</w:t>
            </w:r>
          </w:p>
        </w:tc>
        <w:tc>
          <w:tcPr>
            <w:tcW w:w="1276" w:type="dxa"/>
            <w:vAlign w:val="center"/>
          </w:tcPr>
          <w:p>
            <w:pPr>
              <w:pStyle w:val="11"/>
              <w:rPr>
                <w:rFonts w:hint="default"/>
              </w:rPr>
            </w:pPr>
            <w:r>
              <w:t>≤5.6万元</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群众满意度</w:t>
            </w:r>
          </w:p>
        </w:tc>
        <w:tc>
          <w:tcPr>
            <w:tcW w:w="2891" w:type="dxa"/>
            <w:vAlign w:val="center"/>
          </w:tcPr>
          <w:p>
            <w:pPr>
              <w:pStyle w:val="11"/>
              <w:rPr>
                <w:rFonts w:hint="default"/>
              </w:rPr>
            </w:pPr>
            <w:r>
              <w:t>群众满意度</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28"/>
      <w:r>
        <w:rPr>
          <w:rFonts w:ascii="方正仿宋_GBK" w:hAnsi="方正仿宋_GBK" w:eastAsia="方正仿宋_GBK" w:cs="方正仿宋_GBK"/>
          <w:color w:val="000000"/>
          <w:sz w:val="28"/>
        </w:rPr>
        <w:t>24.农村地区“双代”市级补助资金 （保财资环[2022]10号）绩效目标表</w:t>
      </w:r>
      <w:bookmarkEnd w:id="3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13062322P009104100011</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农村地区“双代”市级补助资金 （保财资环[2022]10号）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3400.00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3400.00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气价补贴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3400.00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1.做好农村地区清洁取暖工作，保障人民温暖过冬。</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数据整理完成率</w:t>
            </w:r>
          </w:p>
        </w:tc>
        <w:tc>
          <w:tcPr>
            <w:tcW w:w="2891" w:type="dxa"/>
            <w:vAlign w:val="center"/>
          </w:tcPr>
          <w:p>
            <w:pPr>
              <w:pStyle w:val="11"/>
              <w:rPr>
                <w:rFonts w:hint="default"/>
              </w:rPr>
            </w:pPr>
            <w:r>
              <w:t>数据整理完成率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补贴资金发放覆盖率</w:t>
            </w:r>
          </w:p>
        </w:tc>
        <w:tc>
          <w:tcPr>
            <w:tcW w:w="2891" w:type="dxa"/>
            <w:vAlign w:val="center"/>
          </w:tcPr>
          <w:p>
            <w:pPr>
              <w:pStyle w:val="11"/>
              <w:rPr>
                <w:rFonts w:hint="default"/>
              </w:rPr>
            </w:pPr>
            <w:r>
              <w:t>补贴资金发放覆盖率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综合事务管理工作完成率</w:t>
            </w:r>
          </w:p>
        </w:tc>
        <w:tc>
          <w:tcPr>
            <w:tcW w:w="2891" w:type="dxa"/>
            <w:vAlign w:val="center"/>
          </w:tcPr>
          <w:p>
            <w:pPr>
              <w:pStyle w:val="11"/>
              <w:rPr>
                <w:rFonts w:hint="default"/>
              </w:rPr>
            </w:pPr>
            <w:r>
              <w:t>综合事务管理工作完成率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按预算资金完成率</w:t>
            </w:r>
          </w:p>
        </w:tc>
        <w:tc>
          <w:tcPr>
            <w:tcW w:w="2891" w:type="dxa"/>
            <w:vAlign w:val="center"/>
          </w:tcPr>
          <w:p>
            <w:pPr>
              <w:pStyle w:val="11"/>
              <w:rPr>
                <w:rFonts w:hint="default"/>
              </w:rPr>
            </w:pPr>
            <w:r>
              <w:t>按预算资金完成率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综合利用率</w:t>
            </w:r>
          </w:p>
        </w:tc>
        <w:tc>
          <w:tcPr>
            <w:tcW w:w="2891" w:type="dxa"/>
            <w:vAlign w:val="center"/>
          </w:tcPr>
          <w:p>
            <w:pPr>
              <w:pStyle w:val="11"/>
              <w:rPr>
                <w:rFonts w:hint="default"/>
              </w:rPr>
            </w:pPr>
            <w:r>
              <w:t>综合利用率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9"/>
      <w:r>
        <w:rPr>
          <w:rFonts w:ascii="方正仿宋_GBK" w:hAnsi="方正仿宋_GBK" w:eastAsia="方正仿宋_GBK" w:cs="方正仿宋_GBK"/>
          <w:color w:val="000000"/>
          <w:sz w:val="28"/>
        </w:rPr>
        <w:t>25.聘请法律顾问费用绩效目标表</w:t>
      </w:r>
      <w:bookmarkEnd w:id="3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13062323P00004810002P</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聘请法律顾问费用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法律顾问费用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1.推进法律顾问制度，实现依法办事</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提供涉外法律服务数量</w:t>
            </w:r>
          </w:p>
        </w:tc>
        <w:tc>
          <w:tcPr>
            <w:tcW w:w="2891" w:type="dxa"/>
            <w:vAlign w:val="center"/>
          </w:tcPr>
          <w:p>
            <w:pPr>
              <w:pStyle w:val="11"/>
              <w:rPr>
                <w:rFonts w:hint="default"/>
              </w:rPr>
            </w:pPr>
            <w:r>
              <w:t>提供涉外法律服务数量</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纠正异常业务、违规业务率（%）</w:t>
            </w:r>
          </w:p>
        </w:tc>
        <w:tc>
          <w:tcPr>
            <w:tcW w:w="2891" w:type="dxa"/>
            <w:vAlign w:val="center"/>
          </w:tcPr>
          <w:p>
            <w:pPr>
              <w:pStyle w:val="11"/>
              <w:rPr>
                <w:rFonts w:hint="default"/>
              </w:rPr>
            </w:pPr>
            <w:r>
              <w:t>纠正异常业务、违规业务率（%）</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完成时限</w:t>
            </w:r>
          </w:p>
        </w:tc>
        <w:tc>
          <w:tcPr>
            <w:tcW w:w="2891" w:type="dxa"/>
            <w:vAlign w:val="center"/>
          </w:tcPr>
          <w:p>
            <w:pPr>
              <w:pStyle w:val="11"/>
              <w:rPr>
                <w:rFonts w:hint="default"/>
              </w:rPr>
            </w:pPr>
            <w:r>
              <w:t>完成时限</w:t>
            </w:r>
          </w:p>
        </w:tc>
        <w:tc>
          <w:tcPr>
            <w:tcW w:w="1276" w:type="dxa"/>
            <w:vAlign w:val="center"/>
          </w:tcPr>
          <w:p>
            <w:pPr>
              <w:pStyle w:val="11"/>
              <w:rPr>
                <w:rFonts w:hint="default"/>
              </w:rPr>
            </w:pPr>
            <w:r>
              <w:t>及时</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完成工作需要的资金</w:t>
            </w:r>
          </w:p>
        </w:tc>
        <w:tc>
          <w:tcPr>
            <w:tcW w:w="2891" w:type="dxa"/>
            <w:vAlign w:val="center"/>
          </w:tcPr>
          <w:p>
            <w:pPr>
              <w:pStyle w:val="11"/>
              <w:rPr>
                <w:rFonts w:hint="default"/>
              </w:rPr>
            </w:pPr>
            <w:r>
              <w:t>完成工作需要的资金</w:t>
            </w:r>
          </w:p>
        </w:tc>
        <w:tc>
          <w:tcPr>
            <w:tcW w:w="1276" w:type="dxa"/>
            <w:vAlign w:val="center"/>
          </w:tcPr>
          <w:p>
            <w:pPr>
              <w:pStyle w:val="11"/>
              <w:rPr>
                <w:rFonts w:hint="default"/>
              </w:rPr>
            </w:pPr>
            <w:r>
              <w:t>≤2万元</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社会效益指标</w:t>
            </w:r>
          </w:p>
        </w:tc>
        <w:tc>
          <w:tcPr>
            <w:tcW w:w="1332" w:type="dxa"/>
            <w:vAlign w:val="center"/>
          </w:tcPr>
          <w:p>
            <w:pPr>
              <w:pStyle w:val="11"/>
              <w:rPr>
                <w:rFonts w:hint="default"/>
              </w:rPr>
            </w:pPr>
            <w:r>
              <w:t>业务保障能力</w:t>
            </w:r>
          </w:p>
        </w:tc>
        <w:tc>
          <w:tcPr>
            <w:tcW w:w="2891" w:type="dxa"/>
            <w:vAlign w:val="center"/>
          </w:tcPr>
          <w:p>
            <w:pPr>
              <w:pStyle w:val="11"/>
              <w:rPr>
                <w:rFonts w:hint="default"/>
              </w:rPr>
            </w:pPr>
            <w:r>
              <w:t>业务保障能力</w:t>
            </w:r>
          </w:p>
        </w:tc>
        <w:tc>
          <w:tcPr>
            <w:tcW w:w="1276" w:type="dxa"/>
            <w:vAlign w:val="center"/>
          </w:tcPr>
          <w:p>
            <w:pPr>
              <w:pStyle w:val="11"/>
              <w:rPr>
                <w:rFonts w:hint="default"/>
              </w:rPr>
            </w:pPr>
            <w:r>
              <w:t>≥90%</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0"/>
      <w:r>
        <w:rPr>
          <w:rFonts w:ascii="方正仿宋_GBK" w:hAnsi="方正仿宋_GBK" w:eastAsia="方正仿宋_GBK" w:cs="方正仿宋_GBK"/>
          <w:color w:val="000000"/>
          <w:sz w:val="28"/>
        </w:rPr>
        <w:t>26.县域特色产业数字化转型对标对表活动工作经费绩效目标表</w:t>
      </w:r>
      <w:bookmarkEnd w:id="3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13062323P00004810010C</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县域特色产业数字化转型对标对表活动工作经费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3.38</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3.38</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1县域特色产业数字化转型对标对表活动工作经费</w:t>
            </w:r>
            <w:r>
              <w:tab/>
            </w:r>
          </w:p>
          <w:p>
            <w:pPr>
              <w:pStyle w:val="11"/>
              <w:rPr>
                <w:rFonts w:hint="default"/>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3.38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1.学习产业数字化转型升级</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联系企业数量</w:t>
            </w:r>
          </w:p>
        </w:tc>
        <w:tc>
          <w:tcPr>
            <w:tcW w:w="2891" w:type="dxa"/>
            <w:vAlign w:val="center"/>
          </w:tcPr>
          <w:p>
            <w:pPr>
              <w:pStyle w:val="11"/>
              <w:rPr>
                <w:rFonts w:hint="default"/>
              </w:rPr>
            </w:pPr>
            <w:r>
              <w:t>联系企业数量</w:t>
            </w:r>
          </w:p>
        </w:tc>
        <w:tc>
          <w:tcPr>
            <w:tcW w:w="1276" w:type="dxa"/>
            <w:vAlign w:val="center"/>
          </w:tcPr>
          <w:p>
            <w:pPr>
              <w:pStyle w:val="11"/>
              <w:rPr>
                <w:rFonts w:hint="default"/>
              </w:rPr>
            </w:pPr>
            <w:r>
              <w:t>≥4家</w:t>
            </w:r>
          </w:p>
        </w:tc>
        <w:tc>
          <w:tcPr>
            <w:tcW w:w="1843" w:type="dxa"/>
            <w:vAlign w:val="center"/>
          </w:tcPr>
          <w:p>
            <w:pPr>
              <w:pStyle w:val="11"/>
              <w:rPr>
                <w:rFonts w:hint="default"/>
              </w:rPr>
            </w:pPr>
            <w:r>
              <w:t>考察方案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服务水平</w:t>
            </w:r>
          </w:p>
        </w:tc>
        <w:tc>
          <w:tcPr>
            <w:tcW w:w="2891" w:type="dxa"/>
            <w:vAlign w:val="center"/>
          </w:tcPr>
          <w:p>
            <w:pPr>
              <w:pStyle w:val="11"/>
              <w:rPr>
                <w:rFonts w:hint="default"/>
              </w:rPr>
            </w:pPr>
            <w:r>
              <w:t>服务水平</w:t>
            </w:r>
          </w:p>
        </w:tc>
        <w:tc>
          <w:tcPr>
            <w:tcW w:w="1276" w:type="dxa"/>
            <w:vAlign w:val="center"/>
          </w:tcPr>
          <w:p>
            <w:pPr>
              <w:pStyle w:val="11"/>
              <w:rPr>
                <w:rFonts w:hint="default"/>
              </w:rPr>
            </w:pPr>
            <w:r>
              <w:t>提高</w:t>
            </w:r>
          </w:p>
        </w:tc>
        <w:tc>
          <w:tcPr>
            <w:tcW w:w="1843" w:type="dxa"/>
            <w:vAlign w:val="center"/>
          </w:tcPr>
          <w:p>
            <w:pPr>
              <w:pStyle w:val="11"/>
              <w:rPr>
                <w:rFonts w:hint="default"/>
              </w:rPr>
            </w:pPr>
            <w:r>
              <w:t>考察方案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如期完成</w:t>
            </w:r>
          </w:p>
        </w:tc>
        <w:tc>
          <w:tcPr>
            <w:tcW w:w="2891" w:type="dxa"/>
            <w:vAlign w:val="center"/>
          </w:tcPr>
          <w:p>
            <w:pPr>
              <w:pStyle w:val="11"/>
              <w:rPr>
                <w:rFonts w:hint="default"/>
              </w:rPr>
            </w:pPr>
            <w:r>
              <w:t>如期完成</w:t>
            </w:r>
          </w:p>
        </w:tc>
        <w:tc>
          <w:tcPr>
            <w:tcW w:w="1276" w:type="dxa"/>
            <w:vAlign w:val="center"/>
          </w:tcPr>
          <w:p>
            <w:pPr>
              <w:pStyle w:val="11"/>
              <w:rPr>
                <w:rFonts w:hint="default"/>
              </w:rPr>
            </w:pPr>
            <w:r>
              <w:t>2021年7月21日完成</w:t>
            </w:r>
          </w:p>
        </w:tc>
        <w:tc>
          <w:tcPr>
            <w:tcW w:w="1843" w:type="dxa"/>
            <w:vAlign w:val="center"/>
          </w:tcPr>
          <w:p>
            <w:pPr>
              <w:pStyle w:val="11"/>
              <w:rPr>
                <w:rFonts w:hint="default"/>
              </w:rPr>
            </w:pPr>
            <w:r>
              <w:t>考察方案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人均补助标准</w:t>
            </w:r>
          </w:p>
        </w:tc>
        <w:tc>
          <w:tcPr>
            <w:tcW w:w="2891" w:type="dxa"/>
            <w:vAlign w:val="center"/>
          </w:tcPr>
          <w:p>
            <w:pPr>
              <w:pStyle w:val="11"/>
              <w:rPr>
                <w:rFonts w:hint="default"/>
              </w:rPr>
            </w:pPr>
            <w:r>
              <w:t>人均补助标准</w:t>
            </w:r>
          </w:p>
        </w:tc>
        <w:tc>
          <w:tcPr>
            <w:tcW w:w="1276" w:type="dxa"/>
            <w:vAlign w:val="center"/>
          </w:tcPr>
          <w:p>
            <w:pPr>
              <w:pStyle w:val="11"/>
              <w:rPr>
                <w:rFonts w:hint="default"/>
              </w:rPr>
            </w:pPr>
            <w:r>
              <w:t>按出差文件标准补助</w:t>
            </w:r>
          </w:p>
        </w:tc>
        <w:tc>
          <w:tcPr>
            <w:tcW w:w="1843" w:type="dxa"/>
            <w:vAlign w:val="center"/>
          </w:tcPr>
          <w:p>
            <w:pPr>
              <w:pStyle w:val="11"/>
              <w:rPr>
                <w:rFonts w:hint="default"/>
              </w:rPr>
            </w:pPr>
            <w:r>
              <w:t>考察方案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项目对经济效益提升比</w:t>
            </w:r>
          </w:p>
        </w:tc>
        <w:tc>
          <w:tcPr>
            <w:tcW w:w="2891" w:type="dxa"/>
            <w:vAlign w:val="center"/>
          </w:tcPr>
          <w:p>
            <w:pPr>
              <w:pStyle w:val="11"/>
              <w:rPr>
                <w:rFonts w:hint="default"/>
              </w:rPr>
            </w:pPr>
            <w:r>
              <w:t>项目对经济效益提升比值</w:t>
            </w:r>
          </w:p>
        </w:tc>
        <w:tc>
          <w:tcPr>
            <w:tcW w:w="1276" w:type="dxa"/>
            <w:vAlign w:val="center"/>
          </w:tcPr>
          <w:p>
            <w:pPr>
              <w:pStyle w:val="11"/>
              <w:rPr>
                <w:rFonts w:hint="default"/>
              </w:rPr>
            </w:pPr>
            <w:r>
              <w:t>显著提升</w:t>
            </w:r>
          </w:p>
        </w:tc>
        <w:tc>
          <w:tcPr>
            <w:tcW w:w="1843" w:type="dxa"/>
            <w:vAlign w:val="center"/>
          </w:tcPr>
          <w:p>
            <w:pPr>
              <w:pStyle w:val="11"/>
              <w:rPr>
                <w:rFonts w:hint="default"/>
              </w:rPr>
            </w:pPr>
            <w:r>
              <w:t>考察方案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服务对象满意度</w:t>
            </w:r>
          </w:p>
        </w:tc>
        <w:tc>
          <w:tcPr>
            <w:tcW w:w="2891" w:type="dxa"/>
            <w:vAlign w:val="center"/>
          </w:tcPr>
          <w:p>
            <w:pPr>
              <w:pStyle w:val="11"/>
              <w:rPr>
                <w:rFonts w:hint="default"/>
              </w:rPr>
            </w:pPr>
            <w:r>
              <w:t>服务对象满意度</w:t>
            </w:r>
          </w:p>
        </w:tc>
        <w:tc>
          <w:tcPr>
            <w:tcW w:w="1276" w:type="dxa"/>
            <w:vAlign w:val="center"/>
          </w:tcPr>
          <w:p>
            <w:pPr>
              <w:pStyle w:val="11"/>
              <w:rPr>
                <w:rFonts w:hint="default"/>
              </w:rPr>
            </w:pPr>
            <w:r>
              <w:t>≥99%</w:t>
            </w:r>
          </w:p>
        </w:tc>
        <w:tc>
          <w:tcPr>
            <w:tcW w:w="1843" w:type="dxa"/>
            <w:vAlign w:val="center"/>
          </w:tcPr>
          <w:p>
            <w:pPr>
              <w:pStyle w:val="11"/>
              <w:rPr>
                <w:rFonts w:hint="default"/>
              </w:rPr>
            </w:pPr>
            <w:r>
              <w:t>考察方案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31"/>
      <w:r>
        <w:rPr>
          <w:rFonts w:ascii="方正仿宋_GBK" w:hAnsi="方正仿宋_GBK" w:eastAsia="方正仿宋_GBK" w:cs="方正仿宋_GBK"/>
          <w:color w:val="000000"/>
          <w:sz w:val="28"/>
        </w:rPr>
        <w:t>27.新增商贸入统企业奖励资金绩效目标表</w:t>
      </w:r>
      <w:bookmarkEnd w:id="3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13062323P000048100066</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新增商贸入统企业奖励资金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6.00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6.00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新增商贸入统企业奖励资金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1.加速完成对商贸入统企业的统计并拨付奖励资金</w:t>
            </w:r>
            <w:r>
              <w:tab/>
            </w:r>
            <w:r>
              <w:tab/>
            </w:r>
            <w:r>
              <w:tab/>
            </w:r>
            <w:r>
              <w:tab/>
            </w:r>
            <w:r>
              <w:tab/>
            </w:r>
            <w:r>
              <w:tab/>
            </w:r>
          </w:p>
          <w:p>
            <w:pPr>
              <w:pStyle w:val="11"/>
              <w:rPr>
                <w:rFonts w:hint="default"/>
              </w:rPr>
            </w:pP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资金到位率</w:t>
            </w:r>
          </w:p>
        </w:tc>
        <w:tc>
          <w:tcPr>
            <w:tcW w:w="2891" w:type="dxa"/>
            <w:vAlign w:val="center"/>
          </w:tcPr>
          <w:p>
            <w:pPr>
              <w:pStyle w:val="11"/>
              <w:rPr>
                <w:rFonts w:hint="default"/>
              </w:rPr>
            </w:pPr>
            <w:r>
              <w:t>资金到位率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正常使用率</w:t>
            </w:r>
          </w:p>
        </w:tc>
        <w:tc>
          <w:tcPr>
            <w:tcW w:w="2891" w:type="dxa"/>
            <w:vAlign w:val="center"/>
          </w:tcPr>
          <w:p>
            <w:pPr>
              <w:pStyle w:val="11"/>
              <w:rPr>
                <w:rFonts w:hint="default"/>
              </w:rPr>
            </w:pPr>
            <w:r>
              <w:t>正常使用率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发放率</w:t>
            </w:r>
          </w:p>
        </w:tc>
        <w:tc>
          <w:tcPr>
            <w:tcW w:w="2891" w:type="dxa"/>
            <w:vAlign w:val="center"/>
          </w:tcPr>
          <w:p>
            <w:pPr>
              <w:pStyle w:val="11"/>
              <w:rPr>
                <w:rFonts w:hint="default"/>
              </w:rPr>
            </w:pPr>
            <w:r>
              <w:t>发放率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32"/>
      <w:r>
        <w:rPr>
          <w:rFonts w:ascii="方正仿宋_GBK" w:hAnsi="方正仿宋_GBK" w:eastAsia="方正仿宋_GBK" w:cs="方正仿宋_GBK"/>
          <w:color w:val="000000"/>
          <w:sz w:val="28"/>
        </w:rPr>
        <w:t>28.云视频会议系统费用绩效目标表</w:t>
      </w:r>
      <w:bookmarkEnd w:id="3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13062323P00004810012K</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云视频会议系统费用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0.96</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0.96</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云视频会议系统费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0.96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1.搭建云视频会议系统</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系统运维数量</w:t>
            </w:r>
          </w:p>
        </w:tc>
        <w:tc>
          <w:tcPr>
            <w:tcW w:w="2891" w:type="dxa"/>
            <w:vAlign w:val="center"/>
          </w:tcPr>
          <w:p>
            <w:pPr>
              <w:pStyle w:val="11"/>
              <w:rPr>
                <w:rFonts w:hint="default"/>
              </w:rPr>
            </w:pPr>
            <w:r>
              <w:t>系统运维数量</w:t>
            </w:r>
          </w:p>
        </w:tc>
        <w:tc>
          <w:tcPr>
            <w:tcW w:w="1276" w:type="dxa"/>
            <w:vAlign w:val="center"/>
          </w:tcPr>
          <w:p>
            <w:pPr>
              <w:pStyle w:val="11"/>
              <w:rPr>
                <w:rFonts w:hint="default"/>
              </w:rPr>
            </w:pPr>
            <w:r>
              <w:t>≥1条</w:t>
            </w:r>
          </w:p>
        </w:tc>
        <w:tc>
          <w:tcPr>
            <w:tcW w:w="1843" w:type="dxa"/>
            <w:vAlign w:val="center"/>
          </w:tcPr>
          <w:p>
            <w:pPr>
              <w:pStyle w:val="11"/>
              <w:rPr>
                <w:rFonts w:hint="default"/>
              </w:rPr>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网络通讯系统可用率（**%）</w:t>
            </w:r>
          </w:p>
        </w:tc>
        <w:tc>
          <w:tcPr>
            <w:tcW w:w="2891" w:type="dxa"/>
            <w:vAlign w:val="center"/>
          </w:tcPr>
          <w:p>
            <w:pPr>
              <w:pStyle w:val="11"/>
              <w:rPr>
                <w:rFonts w:hint="default"/>
              </w:rPr>
            </w:pPr>
            <w:r>
              <w:t>网络通讯系统可用率（**%）</w:t>
            </w:r>
          </w:p>
        </w:tc>
        <w:tc>
          <w:tcPr>
            <w:tcW w:w="1276" w:type="dxa"/>
            <w:vAlign w:val="center"/>
          </w:tcPr>
          <w:p>
            <w:pPr>
              <w:pStyle w:val="11"/>
              <w:rPr>
                <w:rFonts w:hint="default"/>
              </w:rPr>
            </w:pPr>
            <w:r>
              <w:t>≥99%</w:t>
            </w:r>
          </w:p>
        </w:tc>
        <w:tc>
          <w:tcPr>
            <w:tcW w:w="1843" w:type="dxa"/>
            <w:vAlign w:val="center"/>
          </w:tcPr>
          <w:p>
            <w:pPr>
              <w:pStyle w:val="11"/>
              <w:rPr>
                <w:rFonts w:hint="default"/>
              </w:rPr>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网络连通率</w:t>
            </w:r>
          </w:p>
        </w:tc>
        <w:tc>
          <w:tcPr>
            <w:tcW w:w="2891" w:type="dxa"/>
            <w:vAlign w:val="center"/>
          </w:tcPr>
          <w:p>
            <w:pPr>
              <w:pStyle w:val="11"/>
              <w:rPr>
                <w:rFonts w:hint="default"/>
              </w:rPr>
            </w:pPr>
            <w:r>
              <w:t>网络连通率</w:t>
            </w:r>
          </w:p>
        </w:tc>
        <w:tc>
          <w:tcPr>
            <w:tcW w:w="1276" w:type="dxa"/>
            <w:vAlign w:val="center"/>
          </w:tcPr>
          <w:p>
            <w:pPr>
              <w:pStyle w:val="11"/>
              <w:rPr>
                <w:rFonts w:hint="default"/>
              </w:rPr>
            </w:pPr>
            <w:r>
              <w:t>≥99%</w:t>
            </w:r>
          </w:p>
        </w:tc>
        <w:tc>
          <w:tcPr>
            <w:tcW w:w="1843" w:type="dxa"/>
            <w:vAlign w:val="center"/>
          </w:tcPr>
          <w:p>
            <w:pPr>
              <w:pStyle w:val="11"/>
              <w:rPr>
                <w:rFonts w:hint="default"/>
              </w:rPr>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系统成本</w:t>
            </w:r>
          </w:p>
        </w:tc>
        <w:tc>
          <w:tcPr>
            <w:tcW w:w="2891" w:type="dxa"/>
            <w:vAlign w:val="center"/>
          </w:tcPr>
          <w:p>
            <w:pPr>
              <w:pStyle w:val="11"/>
              <w:rPr>
                <w:rFonts w:hint="default"/>
              </w:rPr>
            </w:pPr>
            <w:r>
              <w:t>信息化系统等级保护建设</w:t>
            </w:r>
          </w:p>
        </w:tc>
        <w:tc>
          <w:tcPr>
            <w:tcW w:w="1276" w:type="dxa"/>
            <w:vAlign w:val="center"/>
          </w:tcPr>
          <w:p>
            <w:pPr>
              <w:pStyle w:val="11"/>
              <w:rPr>
                <w:rFonts w:hint="default"/>
              </w:rPr>
            </w:pPr>
            <w:r>
              <w:t>≤0.96万元</w:t>
            </w:r>
          </w:p>
        </w:tc>
        <w:tc>
          <w:tcPr>
            <w:tcW w:w="1843" w:type="dxa"/>
            <w:vAlign w:val="center"/>
          </w:tcPr>
          <w:p>
            <w:pPr>
              <w:pStyle w:val="11"/>
              <w:rPr>
                <w:rFonts w:hint="default"/>
              </w:rPr>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网络安全稳定运行</w:t>
            </w:r>
          </w:p>
        </w:tc>
        <w:tc>
          <w:tcPr>
            <w:tcW w:w="2891" w:type="dxa"/>
            <w:vAlign w:val="center"/>
          </w:tcPr>
          <w:p>
            <w:pPr>
              <w:pStyle w:val="11"/>
              <w:rPr>
                <w:rFonts w:hint="default"/>
              </w:rPr>
            </w:pPr>
            <w:r>
              <w:t>网络安全稳定运行</w:t>
            </w:r>
          </w:p>
        </w:tc>
        <w:tc>
          <w:tcPr>
            <w:tcW w:w="1276" w:type="dxa"/>
            <w:vAlign w:val="center"/>
          </w:tcPr>
          <w:p>
            <w:pPr>
              <w:pStyle w:val="11"/>
              <w:rPr>
                <w:rFonts w:hint="default"/>
              </w:rPr>
            </w:pPr>
            <w:r>
              <w:t>安全运行</w:t>
            </w:r>
          </w:p>
        </w:tc>
        <w:tc>
          <w:tcPr>
            <w:tcW w:w="1843" w:type="dxa"/>
            <w:vAlign w:val="center"/>
          </w:tcPr>
          <w:p>
            <w:pPr>
              <w:pStyle w:val="11"/>
              <w:rPr>
                <w:rFonts w:hint="default"/>
              </w:rPr>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群众满意度</w:t>
            </w:r>
          </w:p>
        </w:tc>
        <w:tc>
          <w:tcPr>
            <w:tcW w:w="2891" w:type="dxa"/>
            <w:vAlign w:val="center"/>
          </w:tcPr>
          <w:p>
            <w:pPr>
              <w:pStyle w:val="11"/>
              <w:rPr>
                <w:rFonts w:hint="default"/>
              </w:rPr>
            </w:pPr>
            <w:r>
              <w:t>群众满意度</w:t>
            </w:r>
          </w:p>
        </w:tc>
        <w:tc>
          <w:tcPr>
            <w:tcW w:w="1276" w:type="dxa"/>
            <w:vAlign w:val="center"/>
          </w:tcPr>
          <w:p>
            <w:pPr>
              <w:pStyle w:val="11"/>
              <w:rPr>
                <w:rFonts w:hint="default"/>
              </w:rPr>
            </w:pPr>
            <w:r>
              <w:t>≥98%</w:t>
            </w:r>
          </w:p>
        </w:tc>
        <w:tc>
          <w:tcPr>
            <w:tcW w:w="1843" w:type="dxa"/>
            <w:vAlign w:val="center"/>
          </w:tcPr>
          <w:p>
            <w:pPr>
              <w:pStyle w:val="11"/>
              <w:rPr>
                <w:rFonts w:hint="default"/>
              </w:rPr>
            </w:pPr>
            <w:r>
              <w:t>合同约定</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33"/>
      <w:r>
        <w:rPr>
          <w:rFonts w:ascii="方正仿宋_GBK" w:hAnsi="方正仿宋_GBK" w:eastAsia="方正仿宋_GBK" w:cs="方正仿宋_GBK"/>
          <w:color w:val="000000"/>
          <w:sz w:val="28"/>
        </w:rPr>
        <w:t>29.支持民营企业发展专项资金绩效目标表</w:t>
      </w:r>
      <w:bookmarkEnd w:id="3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13062323P00004810005J</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支持民营企业发展专项资金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100.00</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100.00</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支持民营企业发展专项资金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1.支持民营企业发展资金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数据整理完成率</w:t>
            </w:r>
          </w:p>
        </w:tc>
        <w:tc>
          <w:tcPr>
            <w:tcW w:w="2891" w:type="dxa"/>
            <w:vAlign w:val="center"/>
          </w:tcPr>
          <w:p>
            <w:pPr>
              <w:pStyle w:val="11"/>
              <w:rPr>
                <w:rFonts w:hint="default"/>
              </w:rPr>
            </w:pPr>
            <w:r>
              <w:t>数据整理完成率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正常使用率</w:t>
            </w:r>
          </w:p>
        </w:tc>
        <w:tc>
          <w:tcPr>
            <w:tcW w:w="2891" w:type="dxa"/>
            <w:vAlign w:val="center"/>
          </w:tcPr>
          <w:p>
            <w:pPr>
              <w:pStyle w:val="11"/>
              <w:rPr>
                <w:rFonts w:hint="default"/>
              </w:rPr>
            </w:pPr>
            <w:r>
              <w:t>正常使用率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各项任务完成及时率（%）</w:t>
            </w:r>
          </w:p>
        </w:tc>
        <w:tc>
          <w:tcPr>
            <w:tcW w:w="2891" w:type="dxa"/>
            <w:vAlign w:val="center"/>
          </w:tcPr>
          <w:p>
            <w:pPr>
              <w:pStyle w:val="11"/>
              <w:rPr>
                <w:rFonts w:hint="default"/>
              </w:rPr>
            </w:pPr>
            <w:r>
              <w:t>各项任务完成及时率（%）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预算执行率</w:t>
            </w:r>
          </w:p>
        </w:tc>
        <w:tc>
          <w:tcPr>
            <w:tcW w:w="2891" w:type="dxa"/>
            <w:vAlign w:val="center"/>
          </w:tcPr>
          <w:p>
            <w:pPr>
              <w:pStyle w:val="11"/>
              <w:rPr>
                <w:rFonts w:hint="default"/>
              </w:rPr>
            </w:pPr>
            <w:r>
              <w:t>预算执行率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经济效益指标</w:t>
            </w:r>
          </w:p>
        </w:tc>
        <w:tc>
          <w:tcPr>
            <w:tcW w:w="1332" w:type="dxa"/>
            <w:vAlign w:val="center"/>
          </w:tcPr>
          <w:p>
            <w:pPr>
              <w:pStyle w:val="11"/>
              <w:rPr>
                <w:rFonts w:hint="default"/>
              </w:rPr>
            </w:pPr>
            <w:r>
              <w:t>国民经济发展贡献率</w:t>
            </w:r>
          </w:p>
        </w:tc>
        <w:tc>
          <w:tcPr>
            <w:tcW w:w="2891" w:type="dxa"/>
            <w:vAlign w:val="center"/>
          </w:tcPr>
          <w:p>
            <w:pPr>
              <w:pStyle w:val="11"/>
              <w:rPr>
                <w:rFonts w:hint="default"/>
              </w:rPr>
            </w:pPr>
            <w:r>
              <w:t>国民经济发展贡献率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34"/>
      <w:r>
        <w:rPr>
          <w:rFonts w:ascii="方正仿宋_GBK" w:hAnsi="方正仿宋_GBK" w:eastAsia="方正仿宋_GBK" w:cs="方正仿宋_GBK"/>
          <w:color w:val="000000"/>
          <w:sz w:val="28"/>
        </w:rPr>
        <w:t>30.中央大气污染防治资金（冀财建[2022]279号）绩效目标表</w:t>
      </w:r>
      <w:bookmarkEnd w:id="3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327"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rFonts w:hint="default"/>
              </w:rPr>
            </w:pPr>
            <w:r>
              <w:t>项目编码</w:t>
            </w:r>
          </w:p>
        </w:tc>
        <w:tc>
          <w:tcPr>
            <w:tcW w:w="2654" w:type="dxa"/>
            <w:gridSpan w:val="2"/>
            <w:vAlign w:val="center"/>
          </w:tcPr>
          <w:p>
            <w:pPr>
              <w:pStyle w:val="11"/>
              <w:rPr>
                <w:rFonts w:hint="default"/>
              </w:rPr>
            </w:pPr>
            <w:r>
              <w:t>13062322P009412100014</w:t>
            </w:r>
          </w:p>
        </w:tc>
        <w:tc>
          <w:tcPr>
            <w:tcW w:w="1327" w:type="dxa"/>
            <w:vAlign w:val="center"/>
          </w:tcPr>
          <w:p>
            <w:pPr>
              <w:pStyle w:val="17"/>
              <w:rPr>
                <w:rFonts w:hint="default"/>
              </w:rPr>
            </w:pPr>
            <w:r>
              <w:t>项目名称</w:t>
            </w:r>
          </w:p>
        </w:tc>
        <w:tc>
          <w:tcPr>
            <w:tcW w:w="3981" w:type="dxa"/>
            <w:gridSpan w:val="3"/>
            <w:vAlign w:val="center"/>
          </w:tcPr>
          <w:p>
            <w:pPr>
              <w:pStyle w:val="11"/>
              <w:rPr>
                <w:rFonts w:hint="default"/>
              </w:rPr>
            </w:pPr>
            <w:r>
              <w:t>中央大气污染防治资金（冀财建[2022]279号）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rFonts w:hint="default"/>
              </w:rPr>
            </w:pPr>
            <w:r>
              <w:t>预算规模及资金用途</w:t>
            </w:r>
          </w:p>
        </w:tc>
        <w:tc>
          <w:tcPr>
            <w:tcW w:w="1327" w:type="dxa"/>
            <w:vAlign w:val="center"/>
          </w:tcPr>
          <w:p>
            <w:pPr>
              <w:pStyle w:val="17"/>
              <w:rPr>
                <w:rFonts w:hint="default"/>
              </w:rPr>
            </w:pPr>
            <w:r>
              <w:t>预算数</w:t>
            </w:r>
          </w:p>
        </w:tc>
        <w:tc>
          <w:tcPr>
            <w:tcW w:w="1327" w:type="dxa"/>
            <w:vAlign w:val="center"/>
          </w:tcPr>
          <w:p>
            <w:pPr>
              <w:pStyle w:val="11"/>
              <w:rPr>
                <w:rFonts w:hint="default"/>
              </w:rPr>
            </w:pPr>
            <w:r>
              <w:t>518.25</w:t>
            </w:r>
          </w:p>
        </w:tc>
        <w:tc>
          <w:tcPr>
            <w:tcW w:w="1327" w:type="dxa"/>
            <w:vAlign w:val="center"/>
          </w:tcPr>
          <w:p>
            <w:pPr>
              <w:pStyle w:val="17"/>
              <w:rPr>
                <w:rFonts w:hint="default"/>
              </w:rPr>
            </w:pPr>
            <w:r>
              <w:t>其中：财政    资金</w:t>
            </w:r>
          </w:p>
        </w:tc>
        <w:tc>
          <w:tcPr>
            <w:tcW w:w="1327" w:type="dxa"/>
            <w:vAlign w:val="center"/>
          </w:tcPr>
          <w:p>
            <w:pPr>
              <w:pStyle w:val="11"/>
              <w:rPr>
                <w:rFonts w:hint="default"/>
              </w:rPr>
            </w:pPr>
            <w:r>
              <w:t>518.25</w:t>
            </w:r>
          </w:p>
        </w:tc>
        <w:tc>
          <w:tcPr>
            <w:tcW w:w="1327" w:type="dxa"/>
            <w:vAlign w:val="center"/>
          </w:tcPr>
          <w:p>
            <w:pPr>
              <w:pStyle w:val="17"/>
              <w:rPr>
                <w:rFonts w:hint="default"/>
              </w:rPr>
            </w:pPr>
            <w:r>
              <w:t>其他资金</w:t>
            </w:r>
          </w:p>
        </w:tc>
        <w:tc>
          <w:tcPr>
            <w:tcW w:w="1327"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1"/>
              <w:rPr>
                <w:rFonts w:hint="default"/>
              </w:rPr>
            </w:pPr>
            <w:r>
              <w:t>气价补贴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rFonts w:hint="default"/>
              </w:rPr>
            </w:pPr>
            <w:r>
              <w:t>资金支出计划（%）</w:t>
            </w:r>
          </w:p>
        </w:tc>
        <w:tc>
          <w:tcPr>
            <w:tcW w:w="2654" w:type="dxa"/>
            <w:gridSpan w:val="2"/>
            <w:vAlign w:val="center"/>
          </w:tcPr>
          <w:p>
            <w:pPr>
              <w:pStyle w:val="17"/>
              <w:rPr>
                <w:rFonts w:hint="default"/>
              </w:rPr>
            </w:pPr>
            <w:r>
              <w:t>3月底</w:t>
            </w:r>
          </w:p>
        </w:tc>
        <w:tc>
          <w:tcPr>
            <w:tcW w:w="1327" w:type="dxa"/>
            <w:vAlign w:val="center"/>
          </w:tcPr>
          <w:p>
            <w:pPr>
              <w:pStyle w:val="17"/>
              <w:rPr>
                <w:rFonts w:hint="default"/>
              </w:rPr>
            </w:pPr>
            <w:r>
              <w:t>6月底</w:t>
            </w:r>
          </w:p>
        </w:tc>
        <w:tc>
          <w:tcPr>
            <w:tcW w:w="1327" w:type="dxa"/>
            <w:vAlign w:val="center"/>
          </w:tcPr>
          <w:p>
            <w:pPr>
              <w:pStyle w:val="17"/>
              <w:rPr>
                <w:rFonts w:hint="default"/>
              </w:rPr>
            </w:pPr>
            <w:r>
              <w:t>10月底</w:t>
            </w:r>
          </w:p>
        </w:tc>
        <w:tc>
          <w:tcPr>
            <w:tcW w:w="2654"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rPr>
                <w:rFonts w:hint="default"/>
              </w:rPr>
            </w:pPr>
            <w:r>
              <w:t xml:space="preserve"> </w:t>
            </w:r>
          </w:p>
        </w:tc>
        <w:tc>
          <w:tcPr>
            <w:tcW w:w="1327" w:type="dxa"/>
            <w:vAlign w:val="center"/>
          </w:tcPr>
          <w:p>
            <w:pPr>
              <w:pStyle w:val="15"/>
              <w:rPr>
                <w:rFonts w:hint="default"/>
              </w:rPr>
            </w:pPr>
            <w:r>
              <w:t xml:space="preserve"> </w:t>
            </w:r>
          </w:p>
        </w:tc>
        <w:tc>
          <w:tcPr>
            <w:tcW w:w="1327" w:type="dxa"/>
            <w:vAlign w:val="center"/>
          </w:tcPr>
          <w:p>
            <w:pPr>
              <w:pStyle w:val="15"/>
              <w:rPr>
                <w:rFonts w:hint="default"/>
              </w:rPr>
            </w:pPr>
            <w:r>
              <w:t xml:space="preserve"> </w:t>
            </w:r>
          </w:p>
        </w:tc>
        <w:tc>
          <w:tcPr>
            <w:tcW w:w="2654" w:type="dxa"/>
            <w:gridSpan w:val="2"/>
            <w:vAlign w:val="center"/>
          </w:tcPr>
          <w:p>
            <w:pPr>
              <w:pStyle w:val="15"/>
              <w:rPr>
                <w:rFonts w:hint="default"/>
              </w:rPr>
            </w:pPr>
            <w:r>
              <w:t>518.25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rFonts w:hint="default"/>
              </w:rPr>
            </w:pPr>
            <w:r>
              <w:t>绩效目标</w:t>
            </w:r>
          </w:p>
        </w:tc>
        <w:tc>
          <w:tcPr>
            <w:tcW w:w="7962" w:type="dxa"/>
            <w:gridSpan w:val="6"/>
            <w:vAlign w:val="center"/>
          </w:tcPr>
          <w:p>
            <w:pPr>
              <w:pStyle w:val="11"/>
              <w:rPr>
                <w:rFonts w:hint="default"/>
              </w:rPr>
            </w:pPr>
            <w:r>
              <w:t>1.用于农村地区清洁取暖，用于做好大气污染防治，保障群众温暖过冬。</w:t>
            </w:r>
            <w:r>
              <w:tab/>
            </w:r>
            <w:r>
              <w:tab/>
            </w:r>
            <w:r>
              <w:tab/>
            </w:r>
          </w:p>
          <w:p>
            <w:pPr>
              <w:pStyle w:val="11"/>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rFonts w:hint="default"/>
              </w:rPr>
            </w:pPr>
            <w:r>
              <w:t>一级指标</w:t>
            </w:r>
          </w:p>
        </w:tc>
        <w:tc>
          <w:tcPr>
            <w:tcW w:w="1327" w:type="dxa"/>
            <w:vAlign w:val="center"/>
          </w:tcPr>
          <w:p>
            <w:pPr>
              <w:pStyle w:val="17"/>
              <w:rPr>
                <w:rFonts w:hint="default"/>
              </w:rPr>
            </w:pPr>
            <w:r>
              <w:t>二级指标</w:t>
            </w:r>
          </w:p>
        </w:tc>
        <w:tc>
          <w:tcPr>
            <w:tcW w:w="1327" w:type="dxa"/>
            <w:vAlign w:val="center"/>
          </w:tcPr>
          <w:p>
            <w:pPr>
              <w:pStyle w:val="17"/>
              <w:rPr>
                <w:rFonts w:hint="default"/>
              </w:rPr>
            </w:pPr>
            <w:r>
              <w:t>三级指标</w:t>
            </w:r>
          </w:p>
        </w:tc>
        <w:tc>
          <w:tcPr>
            <w:tcW w:w="2654" w:type="dxa"/>
            <w:gridSpan w:val="2"/>
            <w:vAlign w:val="center"/>
          </w:tcPr>
          <w:p>
            <w:pPr>
              <w:pStyle w:val="17"/>
              <w:rPr>
                <w:rFonts w:hint="default"/>
              </w:rPr>
            </w:pPr>
            <w:r>
              <w:t>绩效指标描述</w:t>
            </w:r>
          </w:p>
        </w:tc>
        <w:tc>
          <w:tcPr>
            <w:tcW w:w="1327" w:type="dxa"/>
            <w:vAlign w:val="center"/>
          </w:tcPr>
          <w:p>
            <w:pPr>
              <w:pStyle w:val="17"/>
              <w:rPr>
                <w:rFonts w:hint="default"/>
              </w:rPr>
            </w:pPr>
            <w:r>
              <w:t>指标值</w:t>
            </w:r>
          </w:p>
        </w:tc>
        <w:tc>
          <w:tcPr>
            <w:tcW w:w="1327"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default"/>
              </w:rPr>
            </w:pPr>
            <w:r>
              <w:t>产出指标</w:t>
            </w:r>
          </w:p>
        </w:tc>
        <w:tc>
          <w:tcPr>
            <w:tcW w:w="1327" w:type="dxa"/>
            <w:vAlign w:val="center"/>
          </w:tcPr>
          <w:p>
            <w:pPr>
              <w:pStyle w:val="11"/>
              <w:rPr>
                <w:rFonts w:hint="default"/>
              </w:rPr>
            </w:pPr>
            <w:r>
              <w:t>数量指标</w:t>
            </w:r>
          </w:p>
        </w:tc>
        <w:tc>
          <w:tcPr>
            <w:tcW w:w="1327" w:type="dxa"/>
            <w:vAlign w:val="center"/>
          </w:tcPr>
          <w:p>
            <w:pPr>
              <w:pStyle w:val="11"/>
              <w:rPr>
                <w:rFonts w:hint="default"/>
              </w:rPr>
            </w:pPr>
            <w:r>
              <w:t>清洁取暖覆盖率</w:t>
            </w:r>
          </w:p>
        </w:tc>
        <w:tc>
          <w:tcPr>
            <w:tcW w:w="2654" w:type="dxa"/>
            <w:gridSpan w:val="2"/>
            <w:vAlign w:val="center"/>
          </w:tcPr>
          <w:p>
            <w:pPr>
              <w:pStyle w:val="11"/>
              <w:rPr>
                <w:rFonts w:hint="default"/>
              </w:rPr>
            </w:pPr>
            <w:r>
              <w:t>清洁取暖覆盖率</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1"/>
              <w:rPr>
                <w:rFonts w:hint="default"/>
              </w:rPr>
            </w:pPr>
            <w:r>
              <w:t>质量指标</w:t>
            </w:r>
          </w:p>
        </w:tc>
        <w:tc>
          <w:tcPr>
            <w:tcW w:w="1327" w:type="dxa"/>
            <w:vAlign w:val="center"/>
          </w:tcPr>
          <w:p>
            <w:pPr>
              <w:pStyle w:val="11"/>
              <w:rPr>
                <w:rFonts w:hint="default"/>
              </w:rPr>
            </w:pPr>
            <w:r>
              <w:t>验收通过率</w:t>
            </w:r>
          </w:p>
        </w:tc>
        <w:tc>
          <w:tcPr>
            <w:tcW w:w="2654" w:type="dxa"/>
            <w:gridSpan w:val="2"/>
            <w:vAlign w:val="center"/>
          </w:tcPr>
          <w:p>
            <w:pPr>
              <w:pStyle w:val="11"/>
              <w:rPr>
                <w:rFonts w:hint="default"/>
              </w:rPr>
            </w:pPr>
            <w:r>
              <w:t>验收通过率</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1"/>
              <w:rPr>
                <w:rFonts w:hint="default"/>
              </w:rPr>
            </w:pPr>
            <w:r>
              <w:t>时效指标</w:t>
            </w:r>
          </w:p>
        </w:tc>
        <w:tc>
          <w:tcPr>
            <w:tcW w:w="1327" w:type="dxa"/>
            <w:vAlign w:val="center"/>
          </w:tcPr>
          <w:p>
            <w:pPr>
              <w:pStyle w:val="11"/>
              <w:rPr>
                <w:rFonts w:hint="default"/>
              </w:rPr>
            </w:pPr>
            <w:r>
              <w:t>全年资金使用率</w:t>
            </w:r>
          </w:p>
        </w:tc>
        <w:tc>
          <w:tcPr>
            <w:tcW w:w="2654" w:type="dxa"/>
            <w:gridSpan w:val="2"/>
            <w:vAlign w:val="center"/>
          </w:tcPr>
          <w:p>
            <w:pPr>
              <w:pStyle w:val="11"/>
              <w:rPr>
                <w:rFonts w:hint="default"/>
              </w:rPr>
            </w:pPr>
            <w:r>
              <w:t>全年资金使用率</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1"/>
              <w:rPr>
                <w:rFonts w:hint="default"/>
              </w:rPr>
            </w:pPr>
            <w:r>
              <w:t>成本指标</w:t>
            </w:r>
          </w:p>
        </w:tc>
        <w:tc>
          <w:tcPr>
            <w:tcW w:w="1327" w:type="dxa"/>
            <w:vAlign w:val="center"/>
          </w:tcPr>
          <w:p>
            <w:pPr>
              <w:pStyle w:val="11"/>
              <w:rPr>
                <w:rFonts w:hint="default"/>
              </w:rPr>
            </w:pPr>
            <w:r>
              <w:t>成本控制率</w:t>
            </w:r>
          </w:p>
        </w:tc>
        <w:tc>
          <w:tcPr>
            <w:tcW w:w="2654" w:type="dxa"/>
            <w:gridSpan w:val="2"/>
            <w:vAlign w:val="center"/>
          </w:tcPr>
          <w:p>
            <w:pPr>
              <w:pStyle w:val="11"/>
              <w:rPr>
                <w:rFonts w:hint="default"/>
              </w:rPr>
            </w:pPr>
            <w:r>
              <w:t>成本控制率</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default"/>
              </w:rPr>
            </w:pPr>
            <w:r>
              <w:t>效益指标</w:t>
            </w:r>
          </w:p>
        </w:tc>
        <w:tc>
          <w:tcPr>
            <w:tcW w:w="1327" w:type="dxa"/>
            <w:vAlign w:val="center"/>
          </w:tcPr>
          <w:p>
            <w:pPr>
              <w:pStyle w:val="11"/>
              <w:rPr>
                <w:rFonts w:hint="default"/>
              </w:rPr>
            </w:pPr>
            <w:r>
              <w:t>经济效益指标</w:t>
            </w:r>
          </w:p>
        </w:tc>
        <w:tc>
          <w:tcPr>
            <w:tcW w:w="1327" w:type="dxa"/>
            <w:vAlign w:val="center"/>
          </w:tcPr>
          <w:p>
            <w:pPr>
              <w:pStyle w:val="11"/>
              <w:rPr>
                <w:rFonts w:hint="default"/>
              </w:rPr>
            </w:pPr>
            <w:r>
              <w:t>资金发放到位率</w:t>
            </w:r>
          </w:p>
        </w:tc>
        <w:tc>
          <w:tcPr>
            <w:tcW w:w="2654" w:type="dxa"/>
            <w:gridSpan w:val="2"/>
            <w:vAlign w:val="center"/>
          </w:tcPr>
          <w:p>
            <w:pPr>
              <w:pStyle w:val="11"/>
              <w:rPr>
                <w:rFonts w:hint="default"/>
              </w:rPr>
            </w:pPr>
            <w:r>
              <w:t>资金发放到位率</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default"/>
              </w:rPr>
            </w:pPr>
            <w:r>
              <w:t>满意度指标</w:t>
            </w:r>
          </w:p>
        </w:tc>
        <w:tc>
          <w:tcPr>
            <w:tcW w:w="1327" w:type="dxa"/>
            <w:vAlign w:val="center"/>
          </w:tcPr>
          <w:p>
            <w:pPr>
              <w:pStyle w:val="11"/>
              <w:rPr>
                <w:rFonts w:hint="default"/>
              </w:rPr>
            </w:pPr>
            <w:r>
              <w:t>服务对象满意度指标</w:t>
            </w:r>
          </w:p>
        </w:tc>
        <w:tc>
          <w:tcPr>
            <w:tcW w:w="1327" w:type="dxa"/>
            <w:vAlign w:val="center"/>
          </w:tcPr>
          <w:p>
            <w:pPr>
              <w:pStyle w:val="11"/>
              <w:rPr>
                <w:rFonts w:hint="default"/>
              </w:rPr>
            </w:pPr>
            <w:r>
              <w:t>对象满意度</w:t>
            </w:r>
          </w:p>
        </w:tc>
        <w:tc>
          <w:tcPr>
            <w:tcW w:w="2654" w:type="dxa"/>
            <w:gridSpan w:val="2"/>
            <w:vAlign w:val="center"/>
          </w:tcPr>
          <w:p>
            <w:pPr>
              <w:pStyle w:val="11"/>
              <w:rPr>
                <w:rFonts w:hint="default"/>
              </w:rPr>
            </w:pPr>
            <w:r>
              <w:t>对象满意度</w:t>
            </w:r>
          </w:p>
        </w:tc>
        <w:tc>
          <w:tcPr>
            <w:tcW w:w="1327" w:type="dxa"/>
            <w:vAlign w:val="center"/>
          </w:tcPr>
          <w:p>
            <w:pPr>
              <w:pStyle w:val="11"/>
              <w:rPr>
                <w:rFonts w:hint="default"/>
              </w:rPr>
            </w:pPr>
            <w:r>
              <w:t>≥90百分比</w:t>
            </w:r>
          </w:p>
        </w:tc>
        <w:tc>
          <w:tcPr>
            <w:tcW w:w="1327" w:type="dxa"/>
            <w:vAlign w:val="center"/>
          </w:tcPr>
          <w:p>
            <w:pPr>
              <w:pStyle w:val="11"/>
              <w:rPr>
                <w:rFonts w:hint="default"/>
              </w:rPr>
            </w:pPr>
            <w:r>
              <w:t>工作方案</w:t>
            </w:r>
          </w:p>
        </w:tc>
      </w:tr>
    </w:tbl>
    <w:p>
      <w:pPr>
        <w:spacing w:line="2" w:lineRule="exact"/>
        <w:jc w:val="center"/>
      </w:pPr>
      <w:r>
        <w:rPr>
          <w:rFonts w:ascii="方正书宋_GBK" w:hAnsi="方正书宋_GBK" w:eastAsia="方正书宋_GBK" w:cs="方正书宋_GBK"/>
          <w:color w:val="000000"/>
          <w:sz w:val="21"/>
        </w:rPr>
        <w:t xml:space="preserve"> </w:t>
      </w:r>
    </w:p>
    <w:p>
      <w:pPr>
        <w:sectPr>
          <w:pgSz w:w="11900" w:h="16840"/>
          <w:pgMar w:top="1984" w:right="1304" w:bottom="1134" w:left="1304" w:header="720" w:footer="720" w:gutter="0"/>
          <w:pgNumType w:fmt="numberInDash"/>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35"/>
      <w:r>
        <w:rPr>
          <w:rFonts w:ascii="方正仿宋_GBK" w:hAnsi="方正仿宋_GBK" w:eastAsia="方正仿宋_GBK" w:cs="方正仿宋_GBK"/>
          <w:color w:val="000000"/>
          <w:sz w:val="28"/>
        </w:rPr>
        <w:t>31.重点项目集中开工项目绩效目标表</w:t>
      </w:r>
      <w:bookmarkEnd w:id="4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rPr>
                <w:rFonts w:hint="default"/>
              </w:rPr>
            </w:pPr>
            <w:r>
              <w:t>303涞水县发展和改革局</w:t>
            </w:r>
          </w:p>
        </w:tc>
        <w:tc>
          <w:tcPr>
            <w:tcW w:w="1843" w:type="dxa"/>
            <w:tcBorders>
              <w:top w:val="single" w:color="FFFFFF" w:sz="6" w:space="0"/>
              <w:left w:val="single" w:color="FFFFFF" w:sz="6" w:space="0"/>
              <w:right w:val="single" w:color="FFFFFF" w:sz="6" w:space="0"/>
            </w:tcBorders>
            <w:vAlign w:val="center"/>
          </w:tcPr>
          <w:p>
            <w:pPr>
              <w:pStyle w:val="20"/>
              <w:rPr>
                <w:rFonts w:hint="default"/>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项目编码</w:t>
            </w:r>
          </w:p>
        </w:tc>
        <w:tc>
          <w:tcPr>
            <w:tcW w:w="2608" w:type="dxa"/>
            <w:gridSpan w:val="2"/>
            <w:vAlign w:val="center"/>
          </w:tcPr>
          <w:p>
            <w:pPr>
              <w:pStyle w:val="11"/>
              <w:rPr>
                <w:rFonts w:hint="default"/>
              </w:rPr>
            </w:pPr>
            <w:r>
              <w:t>13062323P000048100110</w:t>
            </w:r>
          </w:p>
        </w:tc>
        <w:tc>
          <w:tcPr>
            <w:tcW w:w="1587" w:type="dxa"/>
            <w:vAlign w:val="center"/>
          </w:tcPr>
          <w:p>
            <w:pPr>
              <w:pStyle w:val="17"/>
              <w:rPr>
                <w:rFonts w:hint="default"/>
              </w:rPr>
            </w:pPr>
            <w:r>
              <w:t>项目名称</w:t>
            </w:r>
          </w:p>
        </w:tc>
        <w:tc>
          <w:tcPr>
            <w:tcW w:w="4422" w:type="dxa"/>
            <w:gridSpan w:val="3"/>
            <w:vAlign w:val="center"/>
          </w:tcPr>
          <w:p>
            <w:pPr>
              <w:pStyle w:val="11"/>
              <w:rPr>
                <w:rFonts w:hint="default"/>
              </w:rPr>
            </w:pPr>
            <w:r>
              <w:t>重点项目集中开工项目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预算规模及资金用途</w:t>
            </w:r>
          </w:p>
        </w:tc>
        <w:tc>
          <w:tcPr>
            <w:tcW w:w="1276" w:type="dxa"/>
            <w:vAlign w:val="center"/>
          </w:tcPr>
          <w:p>
            <w:pPr>
              <w:pStyle w:val="17"/>
              <w:rPr>
                <w:rFonts w:hint="default"/>
              </w:rPr>
            </w:pPr>
            <w:r>
              <w:t>预算数</w:t>
            </w:r>
          </w:p>
        </w:tc>
        <w:tc>
          <w:tcPr>
            <w:tcW w:w="1332" w:type="dxa"/>
            <w:vAlign w:val="center"/>
          </w:tcPr>
          <w:p>
            <w:pPr>
              <w:pStyle w:val="11"/>
              <w:rPr>
                <w:rFonts w:hint="default"/>
              </w:rPr>
            </w:pPr>
            <w:r>
              <w:t>20.64</w:t>
            </w:r>
          </w:p>
        </w:tc>
        <w:tc>
          <w:tcPr>
            <w:tcW w:w="1587" w:type="dxa"/>
            <w:vAlign w:val="center"/>
          </w:tcPr>
          <w:p>
            <w:pPr>
              <w:pStyle w:val="17"/>
              <w:rPr>
                <w:rFonts w:hint="default"/>
              </w:rPr>
            </w:pPr>
            <w:r>
              <w:t>其中：财政    资金</w:t>
            </w:r>
          </w:p>
        </w:tc>
        <w:tc>
          <w:tcPr>
            <w:tcW w:w="1304" w:type="dxa"/>
            <w:vAlign w:val="center"/>
          </w:tcPr>
          <w:p>
            <w:pPr>
              <w:pStyle w:val="11"/>
              <w:rPr>
                <w:rFonts w:hint="default"/>
              </w:rPr>
            </w:pPr>
            <w:r>
              <w:t>20.64</w:t>
            </w:r>
          </w:p>
        </w:tc>
        <w:tc>
          <w:tcPr>
            <w:tcW w:w="1276" w:type="dxa"/>
            <w:vAlign w:val="center"/>
          </w:tcPr>
          <w:p>
            <w:pPr>
              <w:pStyle w:val="17"/>
              <w:rPr>
                <w:rFonts w:hint="default"/>
              </w:rPr>
            </w:pPr>
            <w:r>
              <w:t>其他资金</w:t>
            </w:r>
          </w:p>
        </w:tc>
        <w:tc>
          <w:tcPr>
            <w:tcW w:w="1843" w:type="dxa"/>
            <w:vAlign w:val="center"/>
          </w:tcPr>
          <w:p>
            <w:pPr>
              <w:pStyle w:val="11"/>
              <w:rPr>
                <w:rFonts w:hint="default"/>
              </w:rP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rPr>
                <w:rFonts w:hint="default"/>
              </w:rPr>
            </w:pPr>
            <w:r>
              <w:t>重点项目集中开工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rPr>
                <w:rFonts w:hint="default"/>
              </w:rPr>
            </w:pPr>
            <w:r>
              <w:t>资金支出计划（%）</w:t>
            </w:r>
          </w:p>
        </w:tc>
        <w:tc>
          <w:tcPr>
            <w:tcW w:w="2608" w:type="dxa"/>
            <w:gridSpan w:val="2"/>
            <w:vAlign w:val="center"/>
          </w:tcPr>
          <w:p>
            <w:pPr>
              <w:pStyle w:val="17"/>
              <w:rPr>
                <w:rFonts w:hint="default"/>
              </w:rPr>
            </w:pPr>
            <w:r>
              <w:t>3月底</w:t>
            </w:r>
          </w:p>
        </w:tc>
        <w:tc>
          <w:tcPr>
            <w:tcW w:w="1587" w:type="dxa"/>
            <w:vAlign w:val="center"/>
          </w:tcPr>
          <w:p>
            <w:pPr>
              <w:pStyle w:val="17"/>
              <w:rPr>
                <w:rFonts w:hint="default"/>
              </w:rPr>
            </w:pPr>
            <w:r>
              <w:t>6月底</w:t>
            </w:r>
          </w:p>
        </w:tc>
        <w:tc>
          <w:tcPr>
            <w:tcW w:w="1304" w:type="dxa"/>
            <w:vAlign w:val="center"/>
          </w:tcPr>
          <w:p>
            <w:pPr>
              <w:pStyle w:val="17"/>
              <w:rPr>
                <w:rFonts w:hint="default"/>
              </w:rPr>
            </w:pPr>
            <w:r>
              <w:t>10月底</w:t>
            </w:r>
          </w:p>
        </w:tc>
        <w:tc>
          <w:tcPr>
            <w:tcW w:w="3118" w:type="dxa"/>
            <w:gridSpan w:val="2"/>
            <w:vAlign w:val="center"/>
          </w:tcPr>
          <w:p>
            <w:pPr>
              <w:pStyle w:val="17"/>
              <w:rPr>
                <w:rFonts w:hint="default"/>
              </w:rP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rPr>
                <w:rFonts w:hint="default"/>
              </w:rPr>
            </w:pPr>
            <w:r>
              <w:t xml:space="preserve"> </w:t>
            </w:r>
          </w:p>
        </w:tc>
        <w:tc>
          <w:tcPr>
            <w:tcW w:w="1587" w:type="dxa"/>
            <w:vAlign w:val="center"/>
          </w:tcPr>
          <w:p>
            <w:pPr>
              <w:pStyle w:val="15"/>
              <w:rPr>
                <w:rFonts w:hint="default"/>
              </w:rPr>
            </w:pPr>
            <w:r>
              <w:t xml:space="preserve"> </w:t>
            </w:r>
          </w:p>
        </w:tc>
        <w:tc>
          <w:tcPr>
            <w:tcW w:w="1304" w:type="dxa"/>
            <w:vAlign w:val="center"/>
          </w:tcPr>
          <w:p>
            <w:pPr>
              <w:pStyle w:val="15"/>
              <w:rPr>
                <w:rFonts w:hint="default"/>
              </w:rPr>
            </w:pPr>
            <w:r>
              <w:t xml:space="preserve"> </w:t>
            </w:r>
          </w:p>
        </w:tc>
        <w:tc>
          <w:tcPr>
            <w:tcW w:w="3118" w:type="dxa"/>
            <w:gridSpan w:val="2"/>
            <w:vAlign w:val="center"/>
          </w:tcPr>
          <w:p>
            <w:pPr>
              <w:pStyle w:val="15"/>
              <w:rPr>
                <w:rFonts w:hint="default"/>
              </w:rPr>
            </w:pPr>
            <w:r>
              <w:t>20.64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rPr>
                <w:rFonts w:hint="default"/>
              </w:rPr>
            </w:pPr>
            <w:r>
              <w:t>绩效目标</w:t>
            </w:r>
          </w:p>
        </w:tc>
        <w:tc>
          <w:tcPr>
            <w:tcW w:w="8617" w:type="dxa"/>
            <w:gridSpan w:val="6"/>
            <w:vAlign w:val="center"/>
          </w:tcPr>
          <w:p>
            <w:pPr>
              <w:pStyle w:val="11"/>
              <w:rPr>
                <w:rFonts w:hint="default"/>
              </w:rPr>
            </w:pPr>
            <w:r>
              <w:t>1.保障重点项目集中开工</w:t>
            </w:r>
          </w:p>
        </w:tc>
      </w:tr>
    </w:tbl>
    <w:p>
      <w:pPr>
        <w:spacing w:line="2" w:lineRule="exact"/>
        <w:jc w:val="center"/>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rPr>
                <w:rFonts w:hint="default"/>
              </w:rPr>
            </w:pPr>
            <w:r>
              <w:t>一级指标</w:t>
            </w:r>
          </w:p>
        </w:tc>
        <w:tc>
          <w:tcPr>
            <w:tcW w:w="1276" w:type="dxa"/>
            <w:vAlign w:val="center"/>
          </w:tcPr>
          <w:p>
            <w:pPr>
              <w:pStyle w:val="17"/>
              <w:rPr>
                <w:rFonts w:hint="default"/>
              </w:rPr>
            </w:pPr>
            <w:r>
              <w:t>二级指标</w:t>
            </w:r>
          </w:p>
        </w:tc>
        <w:tc>
          <w:tcPr>
            <w:tcW w:w="1332" w:type="dxa"/>
            <w:vAlign w:val="center"/>
          </w:tcPr>
          <w:p>
            <w:pPr>
              <w:pStyle w:val="17"/>
              <w:rPr>
                <w:rFonts w:hint="default"/>
              </w:rPr>
            </w:pPr>
            <w:r>
              <w:t>三级指标</w:t>
            </w:r>
          </w:p>
        </w:tc>
        <w:tc>
          <w:tcPr>
            <w:tcW w:w="2891" w:type="dxa"/>
            <w:vAlign w:val="center"/>
          </w:tcPr>
          <w:p>
            <w:pPr>
              <w:pStyle w:val="17"/>
              <w:rPr>
                <w:rFonts w:hint="default"/>
              </w:rPr>
            </w:pPr>
            <w:r>
              <w:t>绩效指标描述</w:t>
            </w:r>
          </w:p>
        </w:tc>
        <w:tc>
          <w:tcPr>
            <w:tcW w:w="1276" w:type="dxa"/>
            <w:vAlign w:val="center"/>
          </w:tcPr>
          <w:p>
            <w:pPr>
              <w:pStyle w:val="17"/>
              <w:rPr>
                <w:rFonts w:hint="default"/>
              </w:rPr>
            </w:pPr>
            <w:r>
              <w:t>指标值</w:t>
            </w:r>
          </w:p>
        </w:tc>
        <w:tc>
          <w:tcPr>
            <w:tcW w:w="1843" w:type="dxa"/>
            <w:vAlign w:val="center"/>
          </w:tcPr>
          <w:p>
            <w:pPr>
              <w:pStyle w:val="17"/>
              <w:rPr>
                <w:rFonts w:hint="default"/>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default"/>
              </w:rPr>
            </w:pPr>
            <w:r>
              <w:t>产出指标</w:t>
            </w:r>
          </w:p>
        </w:tc>
        <w:tc>
          <w:tcPr>
            <w:tcW w:w="1276" w:type="dxa"/>
            <w:vAlign w:val="center"/>
          </w:tcPr>
          <w:p>
            <w:pPr>
              <w:pStyle w:val="11"/>
              <w:rPr>
                <w:rFonts w:hint="default"/>
              </w:rPr>
            </w:pPr>
            <w:r>
              <w:t>数量指标</w:t>
            </w:r>
          </w:p>
        </w:tc>
        <w:tc>
          <w:tcPr>
            <w:tcW w:w="1332" w:type="dxa"/>
            <w:vAlign w:val="center"/>
          </w:tcPr>
          <w:p>
            <w:pPr>
              <w:pStyle w:val="11"/>
              <w:rPr>
                <w:rFonts w:hint="default"/>
              </w:rPr>
            </w:pPr>
            <w:r>
              <w:t>资金到位率</w:t>
            </w:r>
          </w:p>
        </w:tc>
        <w:tc>
          <w:tcPr>
            <w:tcW w:w="2891" w:type="dxa"/>
            <w:vAlign w:val="center"/>
          </w:tcPr>
          <w:p>
            <w:pPr>
              <w:pStyle w:val="11"/>
              <w:rPr>
                <w:rFonts w:hint="default"/>
              </w:rPr>
            </w:pPr>
            <w:r>
              <w:t>资金到位率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质量指标</w:t>
            </w:r>
          </w:p>
        </w:tc>
        <w:tc>
          <w:tcPr>
            <w:tcW w:w="1332" w:type="dxa"/>
            <w:vAlign w:val="center"/>
          </w:tcPr>
          <w:p>
            <w:pPr>
              <w:pStyle w:val="11"/>
              <w:rPr>
                <w:rFonts w:hint="default"/>
              </w:rPr>
            </w:pPr>
            <w:r>
              <w:t>项目验收通过率（%）</w:t>
            </w:r>
          </w:p>
        </w:tc>
        <w:tc>
          <w:tcPr>
            <w:tcW w:w="2891" w:type="dxa"/>
            <w:vAlign w:val="center"/>
          </w:tcPr>
          <w:p>
            <w:pPr>
              <w:pStyle w:val="11"/>
              <w:rPr>
                <w:rFonts w:hint="default"/>
              </w:rPr>
            </w:pPr>
            <w:r>
              <w:t>项目验收通过率（%）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时效指标</w:t>
            </w:r>
          </w:p>
        </w:tc>
        <w:tc>
          <w:tcPr>
            <w:tcW w:w="1332" w:type="dxa"/>
            <w:vAlign w:val="center"/>
          </w:tcPr>
          <w:p>
            <w:pPr>
              <w:pStyle w:val="11"/>
              <w:rPr>
                <w:rFonts w:hint="default"/>
              </w:rPr>
            </w:pPr>
            <w:r>
              <w:t>工作任务完成及时率</w:t>
            </w:r>
          </w:p>
        </w:tc>
        <w:tc>
          <w:tcPr>
            <w:tcW w:w="2891" w:type="dxa"/>
            <w:vAlign w:val="center"/>
          </w:tcPr>
          <w:p>
            <w:pPr>
              <w:pStyle w:val="11"/>
              <w:rPr>
                <w:rFonts w:hint="default"/>
              </w:rPr>
            </w:pPr>
            <w:r>
              <w:t>工作任务完成及时率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rPr>
                <w:rFonts w:hint="default"/>
              </w:rPr>
            </w:pPr>
            <w:r>
              <w:t>成本指标</w:t>
            </w:r>
          </w:p>
        </w:tc>
        <w:tc>
          <w:tcPr>
            <w:tcW w:w="1332" w:type="dxa"/>
            <w:vAlign w:val="center"/>
          </w:tcPr>
          <w:p>
            <w:pPr>
              <w:pStyle w:val="11"/>
              <w:rPr>
                <w:rFonts w:hint="default"/>
              </w:rPr>
            </w:pPr>
            <w:r>
              <w:t>成本控制率(%)</w:t>
            </w:r>
          </w:p>
        </w:tc>
        <w:tc>
          <w:tcPr>
            <w:tcW w:w="2891" w:type="dxa"/>
            <w:vAlign w:val="center"/>
          </w:tcPr>
          <w:p>
            <w:pPr>
              <w:pStyle w:val="11"/>
              <w:rPr>
                <w:rFonts w:hint="default"/>
              </w:rPr>
            </w:pPr>
            <w:r>
              <w:t>成本控制率(%)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效益指标</w:t>
            </w:r>
          </w:p>
        </w:tc>
        <w:tc>
          <w:tcPr>
            <w:tcW w:w="1276" w:type="dxa"/>
            <w:vAlign w:val="center"/>
          </w:tcPr>
          <w:p>
            <w:pPr>
              <w:pStyle w:val="11"/>
              <w:rPr>
                <w:rFonts w:hint="default"/>
              </w:rPr>
            </w:pPr>
            <w:r>
              <w:t>可持续影响指标</w:t>
            </w:r>
          </w:p>
        </w:tc>
        <w:tc>
          <w:tcPr>
            <w:tcW w:w="1332" w:type="dxa"/>
            <w:vAlign w:val="center"/>
          </w:tcPr>
          <w:p>
            <w:pPr>
              <w:pStyle w:val="11"/>
              <w:rPr>
                <w:rFonts w:hint="default"/>
              </w:rPr>
            </w:pPr>
            <w:r>
              <w:t>提高效率</w:t>
            </w:r>
          </w:p>
        </w:tc>
        <w:tc>
          <w:tcPr>
            <w:tcW w:w="2891" w:type="dxa"/>
            <w:vAlign w:val="center"/>
          </w:tcPr>
          <w:p>
            <w:pPr>
              <w:pStyle w:val="11"/>
              <w:rPr>
                <w:rFonts w:hint="default"/>
              </w:rPr>
            </w:pPr>
            <w:r>
              <w:t>提高效率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default"/>
              </w:rPr>
            </w:pPr>
            <w:r>
              <w:t>满意度指标</w:t>
            </w:r>
          </w:p>
        </w:tc>
        <w:tc>
          <w:tcPr>
            <w:tcW w:w="1276" w:type="dxa"/>
            <w:vAlign w:val="center"/>
          </w:tcPr>
          <w:p>
            <w:pPr>
              <w:pStyle w:val="11"/>
              <w:rPr>
                <w:rFonts w:hint="default"/>
              </w:rPr>
            </w:pPr>
            <w:r>
              <w:t>服务对象满意度指标</w:t>
            </w:r>
          </w:p>
        </w:tc>
        <w:tc>
          <w:tcPr>
            <w:tcW w:w="1332" w:type="dxa"/>
            <w:vAlign w:val="center"/>
          </w:tcPr>
          <w:p>
            <w:pPr>
              <w:pStyle w:val="11"/>
              <w:rPr>
                <w:rFonts w:hint="default"/>
              </w:rPr>
            </w:pPr>
            <w:r>
              <w:t>满意率</w:t>
            </w:r>
          </w:p>
        </w:tc>
        <w:tc>
          <w:tcPr>
            <w:tcW w:w="2891" w:type="dxa"/>
            <w:vAlign w:val="center"/>
          </w:tcPr>
          <w:p>
            <w:pPr>
              <w:pStyle w:val="11"/>
              <w:rPr>
                <w:rFonts w:hint="default"/>
              </w:rPr>
            </w:pPr>
            <w:r>
              <w:t>满意率</w:t>
            </w:r>
          </w:p>
        </w:tc>
        <w:tc>
          <w:tcPr>
            <w:tcW w:w="1276" w:type="dxa"/>
            <w:vAlign w:val="center"/>
          </w:tcPr>
          <w:p>
            <w:pPr>
              <w:pStyle w:val="11"/>
              <w:rPr>
                <w:rFonts w:hint="default"/>
              </w:rPr>
            </w:pPr>
            <w:r>
              <w:t>≥90百分比</w:t>
            </w:r>
          </w:p>
        </w:tc>
        <w:tc>
          <w:tcPr>
            <w:tcW w:w="1843" w:type="dxa"/>
            <w:vAlign w:val="center"/>
          </w:tcPr>
          <w:p>
            <w:pPr>
              <w:pStyle w:val="11"/>
              <w:rPr>
                <w:rFonts w:hint="default"/>
              </w:rPr>
            </w:pPr>
            <w:r>
              <w:t>工作方案</w:t>
            </w:r>
          </w:p>
        </w:tc>
      </w:tr>
    </w:tbl>
    <w:p/>
    <w:p>
      <w:pPr>
        <w:rPr>
          <w:rFonts w:ascii="方正楷体_GBK" w:hAnsi="方正楷体_GBK" w:eastAsia="方正楷体_GBK"/>
          <w:b/>
          <w:color w:val="000000"/>
          <w:sz w:val="32"/>
        </w:rPr>
        <w:sectPr>
          <w:pgSz w:w="11900" w:h="16840"/>
          <w:pgMar w:top="1020" w:right="1134" w:bottom="1020" w:left="1361" w:header="720" w:footer="720" w:gutter="0"/>
          <w:pgNumType w:fmt="numberInDash"/>
          <w:cols w:space="720" w:num="1"/>
          <w:docGrid w:type="lines" w:linePitch="312" w:charSpace="0"/>
        </w:sectPr>
      </w:pPr>
    </w:p>
    <w:p>
      <w:pPr>
        <w:rPr>
          <w:rFonts w:ascii="方正楷体_GBK" w:hAnsi="方正楷体_GBK" w:eastAsia="方正楷体_GBK"/>
          <w:b/>
          <w:color w:val="000000"/>
          <w:sz w:val="32"/>
        </w:rPr>
      </w:pPr>
    </w:p>
    <w:p>
      <w:pPr>
        <w:spacing w:before="10" w:after="10"/>
        <w:ind w:firstLine="640"/>
        <w:outlineLvl w:val="2"/>
      </w:pPr>
      <w:bookmarkStart w:id="41" w:name="_Toc_3_3_0000000015"/>
      <w:r>
        <w:rPr>
          <w:rFonts w:hint="eastAsia" w:ascii="黑体" w:hAnsi="黑体" w:eastAsia="黑体"/>
          <w:color w:val="000000"/>
          <w:sz w:val="32"/>
        </w:rPr>
        <w:t>六、政府采购预算情况</w:t>
      </w:r>
      <w:bookmarkEnd w:id="41"/>
    </w:p>
    <w:p>
      <w:pPr>
        <w:spacing w:line="500" w:lineRule="exact"/>
        <w:ind w:firstLine="560"/>
      </w:pPr>
      <w:r>
        <w:rPr>
          <w:rFonts w:hint="eastAsia" w:eastAsia="方正仿宋_GBK"/>
          <w:color w:val="000000"/>
          <w:sz w:val="28"/>
        </w:rPr>
        <w:t>2023年，涞水县发展和改革局无政府采购预算，空表列示。     (具体内容见下表)。</w:t>
      </w:r>
    </w:p>
    <w:p>
      <w:pPr>
        <w:jc w:val="center"/>
      </w:pPr>
      <w:r>
        <w:rPr>
          <w:rFonts w:hint="eastAsia" w:ascii="方正小标宋_GBK" w:hAnsi="方正小标宋_GBK" w:eastAsia="方正小标宋_GBK"/>
          <w:color w:val="000000"/>
          <w:sz w:val="36"/>
        </w:rPr>
        <w:t>部门政府采购预算</w:t>
      </w:r>
    </w:p>
    <w:tbl>
      <w:tblPr>
        <w:tblStyle w:val="6"/>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811"/>
        <w:gridCol w:w="953"/>
        <w:gridCol w:w="953"/>
        <w:gridCol w:w="596"/>
        <w:gridCol w:w="715"/>
        <w:gridCol w:w="719"/>
        <w:gridCol w:w="811"/>
        <w:gridCol w:w="811"/>
        <w:gridCol w:w="811"/>
        <w:gridCol w:w="811"/>
        <w:gridCol w:w="811"/>
        <w:gridCol w:w="811"/>
        <w:gridCol w:w="811"/>
        <w:gridCol w:w="812"/>
        <w:gridCol w:w="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tblHeader/>
          <w:jc w:val="center"/>
        </w:trPr>
        <w:tc>
          <w:tcPr>
            <w:tcW w:w="6178" w:type="dxa"/>
            <w:gridSpan w:val="7"/>
            <w:tcBorders>
              <w:top w:val="single" w:color="FFFFFF" w:sz="6" w:space="0"/>
              <w:left w:val="single" w:color="FFFFFF" w:sz="6" w:space="0"/>
              <w:bottom w:val="single" w:color="000000" w:sz="6" w:space="0"/>
              <w:right w:val="single" w:color="FFFFFF" w:sz="6" w:space="0"/>
              <w:tl2br w:val="nil"/>
              <w:tr2bl w:val="nil"/>
            </w:tcBorders>
            <w:vAlign w:val="center"/>
          </w:tcPr>
          <w:p>
            <w:pPr>
              <w:pStyle w:val="14"/>
              <w:rPr>
                <w:rFonts w:hint="default"/>
              </w:rPr>
            </w:pPr>
            <w:r>
              <w:t>303涞水县发展和改革局</w:t>
            </w:r>
          </w:p>
        </w:tc>
        <w:tc>
          <w:tcPr>
            <w:tcW w:w="7301" w:type="dxa"/>
            <w:gridSpan w:val="9"/>
            <w:tcBorders>
              <w:top w:val="single" w:color="FFFFFF" w:sz="6" w:space="0"/>
              <w:left w:val="single" w:color="FFFFFF" w:sz="6" w:space="0"/>
              <w:bottom w:val="single" w:color="000000" w:sz="6" w:space="0"/>
              <w:right w:val="single" w:color="FFFFFF" w:sz="6" w:space="0"/>
              <w:tl2br w:val="nil"/>
              <w:tr2bl w:val="nil"/>
            </w:tcBorders>
            <w:vAlign w:val="center"/>
          </w:tcPr>
          <w:p>
            <w:pPr>
              <w:pStyle w:val="22"/>
              <w:rPr>
                <w:rFonts w:hint="default"/>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tblHeader/>
          <w:jc w:val="center"/>
        </w:trPr>
        <w:tc>
          <w:tcPr>
            <w:tcW w:w="2242"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政府采购项目来源</w:t>
            </w:r>
          </w:p>
        </w:tc>
        <w:tc>
          <w:tcPr>
            <w:tcW w:w="953"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采购物品名称</w:t>
            </w:r>
          </w:p>
        </w:tc>
        <w:tc>
          <w:tcPr>
            <w:tcW w:w="953"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政府采购目录序号</w:t>
            </w:r>
          </w:p>
        </w:tc>
        <w:tc>
          <w:tcPr>
            <w:tcW w:w="59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计量  单位</w:t>
            </w:r>
          </w:p>
        </w:tc>
        <w:tc>
          <w:tcPr>
            <w:tcW w:w="715"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数量</w:t>
            </w:r>
          </w:p>
        </w:tc>
        <w:tc>
          <w:tcPr>
            <w:tcW w:w="719"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单价</w:t>
            </w:r>
          </w:p>
        </w:tc>
        <w:tc>
          <w:tcPr>
            <w:tcW w:w="6489" w:type="dxa"/>
            <w:gridSpan w:val="8"/>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政府采购金额（当年部门预算安排资金）</w:t>
            </w:r>
          </w:p>
        </w:tc>
        <w:tc>
          <w:tcPr>
            <w:tcW w:w="812"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9" w:hRule="atLeast"/>
          <w:tblHeader/>
          <w:jc w:val="center"/>
        </w:trPr>
        <w:tc>
          <w:tcPr>
            <w:tcW w:w="143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项目名称</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预算    资金</w:t>
            </w:r>
          </w:p>
        </w:tc>
        <w:tc>
          <w:tcPr>
            <w:tcW w:w="953"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953"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596"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715"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719" w:type="dxa"/>
            <w:vMerge w:val="continue"/>
            <w:tcBorders>
              <w:top w:val="single" w:color="000000" w:sz="6" w:space="0"/>
              <w:left w:val="single" w:color="000000" w:sz="6" w:space="0"/>
              <w:bottom w:val="single" w:color="000000" w:sz="6" w:space="0"/>
              <w:right w:val="single" w:color="000000" w:sz="6" w:space="0"/>
              <w:tl2br w:val="nil"/>
              <w:tr2bl w:val="nil"/>
            </w:tcBorders>
          </w:tc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合计</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一般公共预算拨款</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基金预算拨款</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国有资本经营预算拨款</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财政专户核拨</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单位    资金</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财政拨    款结转</w:t>
            </w: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
              <w:rPr>
                <w:rFonts w:hint="default"/>
              </w:rPr>
            </w:pPr>
            <w:r>
              <w:t>非财政    拨款结    转结余</w:t>
            </w:r>
          </w:p>
        </w:tc>
        <w:tc>
          <w:tcPr>
            <w:tcW w:w="812" w:type="dxa"/>
            <w:vMerge w:val="continue"/>
            <w:tcBorders>
              <w:top w:val="single" w:color="000000" w:sz="6" w:space="0"/>
              <w:left w:val="single" w:color="000000" w:sz="6" w:space="0"/>
              <w:bottom w:val="single" w:color="000000" w:sz="6" w:space="0"/>
              <w:right w:val="single" w:color="000000" w:sz="6" w:space="0"/>
              <w:tl2br w:val="nil"/>
              <w:tr2bl w:val="nil"/>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jc w:val="center"/>
        </w:trPr>
        <w:tc>
          <w:tcPr>
            <w:tcW w:w="143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6"/>
              <w:rPr>
                <w:rFonts w:hint="default"/>
              </w:rPr>
            </w:pPr>
            <w:r>
              <w:t>合  计</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8"/>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8"/>
              <w:rPr>
                <w:rFonts w:hint="default"/>
              </w:rPr>
            </w:pPr>
          </w:p>
        </w:tc>
        <w:tc>
          <w:tcPr>
            <w:tcW w:w="59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6"/>
              <w:rPr>
                <w:rFonts w:hint="default"/>
              </w:rPr>
            </w:pPr>
          </w:p>
        </w:tc>
        <w:tc>
          <w:tcPr>
            <w:tcW w:w="7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71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jc w:val="center"/>
        </w:trPr>
        <w:tc>
          <w:tcPr>
            <w:tcW w:w="143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6"/>
              <w:rPr>
                <w:rFonts w:hint="default"/>
              </w:rPr>
            </w:pPr>
            <w:r>
              <w:t>涞水县发展和改革局</w:t>
            </w:r>
          </w:p>
          <w:p>
            <w:pPr>
              <w:pStyle w:val="16"/>
              <w:rPr>
                <w:rFonts w:hint="default"/>
              </w:rPr>
            </w:pPr>
            <w:r>
              <w:t>小计</w:t>
            </w: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8"/>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8"/>
              <w:rPr>
                <w:rFonts w:hint="default"/>
              </w:rPr>
            </w:pPr>
          </w:p>
        </w:tc>
        <w:tc>
          <w:tcPr>
            <w:tcW w:w="59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6"/>
              <w:rPr>
                <w:rFonts w:hint="default"/>
              </w:rPr>
            </w:pPr>
          </w:p>
        </w:tc>
        <w:tc>
          <w:tcPr>
            <w:tcW w:w="7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71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9"/>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2" w:hRule="atLeast"/>
          <w:jc w:val="center"/>
        </w:trPr>
        <w:tc>
          <w:tcPr>
            <w:tcW w:w="143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9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1"/>
              <w:rPr>
                <w:rFonts w:hint="default"/>
              </w:rPr>
            </w:pPr>
          </w:p>
        </w:tc>
        <w:tc>
          <w:tcPr>
            <w:tcW w:w="59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5"/>
              <w:rPr>
                <w:rFonts w:hint="default"/>
              </w:rPr>
            </w:pPr>
          </w:p>
        </w:tc>
        <w:tc>
          <w:tcPr>
            <w:tcW w:w="7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71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c>
          <w:tcPr>
            <w:tcW w:w="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20"/>
              <w:rPr>
                <w:rFonts w:hint="default"/>
              </w:rPr>
            </w:pPr>
          </w:p>
        </w:tc>
      </w:tr>
    </w:tbl>
    <w:p>
      <w:pPr>
        <w:spacing w:line="500" w:lineRule="exact"/>
        <w:ind w:firstLine="420"/>
      </w:pPr>
      <w:r>
        <w:rPr>
          <w:rFonts w:hint="eastAsia" w:ascii="方正书宋_GBK" w:hAnsi="方正书宋_GBK" w:eastAsia="方正书宋_GBK"/>
          <w:color w:val="000000"/>
          <w:sz w:val="21"/>
        </w:rPr>
        <w:t>注：同一采购目录序号的物品，其单价会因配置规格不同而变动，均符合资产配置标准。涉密采购事项按照相关规定执行。</w:t>
      </w:r>
    </w:p>
    <w:p>
      <w:pPr>
        <w:spacing w:line="500" w:lineRule="exact"/>
        <w:ind w:firstLine="420"/>
        <w:rPr>
          <w:rFonts w:ascii="方正书宋_GBK" w:hAnsi="方正书宋_GBK" w:eastAsia="方正书宋_GBK"/>
          <w:color w:val="000000"/>
          <w:sz w:val="21"/>
        </w:rPr>
      </w:pPr>
      <w:r>
        <w:rPr>
          <w:rFonts w:hint="eastAsia" w:ascii="方正书宋_GBK" w:hAnsi="方正书宋_GBK" w:eastAsia="方正书宋_GBK"/>
          <w:color w:val="000000"/>
          <w:sz w:val="21"/>
        </w:rPr>
        <w:t xml:space="preserve"> </w:t>
      </w:r>
      <w:bookmarkStart w:id="42" w:name="_Toc_3_3_0000000016"/>
      <w:r>
        <w:rPr>
          <w:rFonts w:hint="eastAsia" w:ascii="方正书宋_GBK" w:hAnsi="方正书宋_GBK" w:eastAsia="方正书宋_GBK"/>
          <w:color w:val="000000"/>
          <w:sz w:val="21"/>
        </w:rPr>
        <w:t xml:space="preserve">   无政府采购预算，空表列示</w:t>
      </w:r>
    </w:p>
    <w:p>
      <w:pPr>
        <w:spacing w:line="500" w:lineRule="exact"/>
        <w:ind w:firstLine="420"/>
        <w:rPr>
          <w:rFonts w:ascii="方正书宋_GBK" w:hAnsi="方正书宋_GBK" w:eastAsia="方正书宋_GBK"/>
          <w:color w:val="000000"/>
          <w:sz w:val="21"/>
        </w:rPr>
      </w:pPr>
    </w:p>
    <w:p>
      <w:pPr>
        <w:spacing w:before="10" w:after="10"/>
        <w:ind w:firstLine="640"/>
        <w:outlineLvl w:val="2"/>
        <w:rPr>
          <w:rFonts w:ascii="黑体" w:hAnsi="黑体" w:eastAsia="黑体"/>
          <w:color w:val="000000"/>
          <w:sz w:val="32"/>
        </w:rPr>
      </w:pPr>
    </w:p>
    <w:p>
      <w:pPr>
        <w:spacing w:before="10" w:after="10"/>
        <w:ind w:firstLine="640"/>
        <w:outlineLvl w:val="2"/>
        <w:rPr>
          <w:rFonts w:ascii="黑体" w:hAnsi="黑体" w:eastAsia="黑体"/>
          <w:color w:val="000000"/>
          <w:sz w:val="32"/>
        </w:rPr>
      </w:pPr>
    </w:p>
    <w:p>
      <w:pPr>
        <w:spacing w:before="10" w:after="10"/>
        <w:ind w:firstLine="640"/>
        <w:outlineLvl w:val="2"/>
      </w:pPr>
      <w:r>
        <w:rPr>
          <w:rFonts w:hint="eastAsia" w:ascii="黑体" w:hAnsi="黑体" w:eastAsia="黑体"/>
          <w:color w:val="000000"/>
          <w:sz w:val="32"/>
        </w:rPr>
        <w:t>七、国有资产信息</w:t>
      </w:r>
      <w:bookmarkEnd w:id="42"/>
    </w:p>
    <w:p>
      <w:pPr>
        <w:spacing w:line="500" w:lineRule="exact"/>
        <w:ind w:firstLine="560"/>
        <w:rPr>
          <w:rFonts w:ascii="方正小标宋_GBK" w:hAnsi="方正小标宋_GBK" w:eastAsia="方正小标宋_GBK"/>
          <w:color w:val="000000"/>
          <w:sz w:val="36"/>
        </w:rPr>
      </w:pPr>
      <w:r>
        <w:rPr>
          <w:rFonts w:hint="eastAsia" w:ascii="仿宋" w:hAnsi="仿宋" w:eastAsia="仿宋"/>
          <w:sz w:val="32"/>
        </w:rPr>
        <w:t>涞水县发展和改革局（含所属单位）上年末固定资产金额为454.38万元（详见下表）。本年度拟购置固定资产总额为0万元。其中:房屋面积5331平米，价值278.58万元（其中：办公用房面积4552平米，价值234.31万元）；车辆5台，价值为71.5万元，其他固定资产104.3万元，本年固定资产总额为454.38万元整。本年度无拟购置固定资产计划。</w:t>
      </w:r>
    </w:p>
    <w:p>
      <w:pPr>
        <w:jc w:val="center"/>
        <w:rPr>
          <w:rFonts w:ascii="方正小标宋_GBK" w:hAnsi="方正小标宋_GBK" w:eastAsia="方正小标宋_GBK"/>
          <w:color w:val="000000"/>
          <w:sz w:val="36"/>
        </w:rPr>
      </w:pPr>
      <w:r>
        <w:rPr>
          <w:rFonts w:hint="eastAsia" w:ascii="方正小标宋_GBK" w:hAnsi="方正小标宋_GBK" w:eastAsia="方正小标宋_GBK"/>
          <w:color w:val="000000"/>
          <w:sz w:val="36"/>
        </w:rPr>
        <w:t>部门固定资产占用情况表</w:t>
      </w:r>
    </w:p>
    <w:p>
      <w:pPr>
        <w:rPr>
          <w:rFonts w:ascii="仿宋" w:hAnsi="仿宋" w:eastAsia="仿宋"/>
          <w:sz w:val="32"/>
        </w:rPr>
      </w:pPr>
      <w:r>
        <w:rPr>
          <w:rFonts w:hint="eastAsia" w:ascii="方正小标宋_GBK" w:hAnsi="方正小标宋_GBK" w:eastAsia="方正小标宋_GBK"/>
          <w:color w:val="000000"/>
          <w:sz w:val="36"/>
        </w:rPr>
        <w:t xml:space="preserve">      </w:t>
      </w:r>
      <w:r>
        <w:rPr>
          <w:rFonts w:hint="eastAsia" w:ascii="仿宋" w:hAnsi="仿宋" w:eastAsia="仿宋" w:cs="仿宋"/>
          <w:bCs/>
          <w:color w:val="000000"/>
          <w:sz w:val="32"/>
          <w:szCs w:val="32"/>
        </w:rPr>
        <w:t>涞水县发展和改革局</w:t>
      </w:r>
      <w:r>
        <w:rPr>
          <w:rFonts w:hint="eastAsia" w:ascii="仿宋" w:hAnsi="仿宋" w:eastAsia="仿宋"/>
          <w:sz w:val="32"/>
        </w:rPr>
        <w:t xml:space="preserve">    </w:t>
      </w:r>
      <w:r>
        <w:rPr>
          <w:rFonts w:hint="eastAsia" w:ascii="仿宋" w:hAnsi="仿宋" w:eastAsia="仿宋"/>
          <w:color w:val="000000"/>
          <w:sz w:val="32"/>
        </w:rPr>
        <w:t>截止时间：2022年12月31日</w:t>
      </w:r>
      <w:r>
        <w:rPr>
          <w:rFonts w:hint="eastAsia" w:ascii="仿宋" w:hAnsi="仿宋" w:eastAsia="仿宋"/>
          <w:sz w:val="32"/>
        </w:rPr>
        <w:t xml:space="preserve">   </w:t>
      </w:r>
    </w:p>
    <w:tbl>
      <w:tblPr>
        <w:tblStyle w:val="6"/>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5"/>
        <w:gridCol w:w="2270"/>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b/>
                <w:color w:val="000000"/>
                <w:sz w:val="28"/>
              </w:rPr>
              <w:t>项　　目</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b/>
                <w:color w:val="000000"/>
                <w:sz w:val="28"/>
              </w:rPr>
              <w:t>数量</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b/>
                <w:color w:val="000000"/>
                <w:sz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b/>
                <w:color w:val="000000"/>
                <w:sz w:val="28"/>
              </w:rPr>
              <w:t>固定资产总额</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b/>
                <w:color w:val="000000"/>
                <w:sz w:val="28"/>
              </w:rPr>
              <w:t>454.38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8"/>
              </w:rPr>
            </w:pPr>
            <w:r>
              <w:rPr>
                <w:rFonts w:hint="eastAsia" w:ascii="仿宋" w:hAnsi="仿宋" w:eastAsia="仿宋"/>
                <w:color w:val="000000"/>
                <w:sz w:val="28"/>
              </w:rPr>
              <w:t xml:space="preserve">  1、房屋（平方米）</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sz w:val="28"/>
              </w:rPr>
              <w:t>5331</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sz w:val="28"/>
              </w:rPr>
              <w:t>278.58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8"/>
              </w:rPr>
            </w:pPr>
            <w:r>
              <w:rPr>
                <w:rFonts w:hint="eastAsia" w:ascii="仿宋" w:hAnsi="仿宋" w:eastAsia="仿宋"/>
                <w:color w:val="000000"/>
                <w:sz w:val="28"/>
              </w:rPr>
              <w:t xml:space="preserve">   其中：办公用房（平方米）</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sz w:val="28"/>
              </w:rPr>
              <w:t>4552</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sz w:val="28"/>
              </w:rPr>
              <w:t>234.31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8"/>
              </w:rPr>
            </w:pPr>
            <w:r>
              <w:rPr>
                <w:rFonts w:hint="eastAsia" w:ascii="仿宋" w:hAnsi="仿宋" w:eastAsia="仿宋"/>
                <w:color w:val="000000"/>
                <w:sz w:val="28"/>
              </w:rPr>
              <w:t xml:space="preserve">  2、车辆（台、辆）</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5</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8"/>
              </w:rPr>
            </w:pPr>
            <w:r>
              <w:rPr>
                <w:rFonts w:hint="eastAsia" w:ascii="仿宋" w:hAnsi="仿宋" w:eastAsia="仿宋"/>
                <w:color w:val="000000"/>
                <w:sz w:val="28"/>
              </w:rPr>
              <w:t xml:space="preserve">  3、单价在20万元以上的设备</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8"/>
              </w:rPr>
            </w:pPr>
            <w:r>
              <w:rPr>
                <w:rFonts w:hint="eastAsia" w:ascii="仿宋" w:hAnsi="仿宋" w:eastAsia="仿宋"/>
                <w:color w:val="000000"/>
                <w:sz w:val="28"/>
              </w:rPr>
              <w:t xml:space="preserve">  4、其他固定资产</w:t>
            </w:r>
          </w:p>
        </w:tc>
        <w:tc>
          <w:tcPr>
            <w:tcW w:w="22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8"/>
              </w:rPr>
            </w:pPr>
            <w:r>
              <w:rPr>
                <w:rFonts w:hint="eastAsia" w:ascii="仿宋" w:hAnsi="仿宋" w:eastAsia="仿宋"/>
                <w:color w:val="000000"/>
                <w:sz w:val="28"/>
              </w:rPr>
              <w:t>104.3</w:t>
            </w:r>
          </w:p>
        </w:tc>
      </w:tr>
    </w:tbl>
    <w:p>
      <w:pPr>
        <w:spacing w:before="10" w:after="10"/>
        <w:ind w:firstLine="640" w:firstLineChars="200"/>
        <w:outlineLvl w:val="2"/>
        <w:rPr>
          <w:sz w:val="32"/>
          <w:szCs w:val="32"/>
        </w:rPr>
      </w:pPr>
      <w:bookmarkStart w:id="43" w:name="_Toc_3_3_0000000017"/>
      <w:r>
        <w:rPr>
          <w:rFonts w:hint="eastAsia" w:ascii="黑体" w:hAnsi="黑体" w:eastAsia="黑体"/>
          <w:color w:val="000000"/>
          <w:sz w:val="32"/>
          <w:szCs w:val="32"/>
        </w:rPr>
        <w:t>八、名词解释</w:t>
      </w:r>
      <w:bookmarkEnd w:id="43"/>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三公”经费：</w:t>
      </w:r>
      <w:r>
        <w:rPr>
          <w:rFonts w:hint="eastAsia" w:eastAsia="方正仿宋_GBK"/>
          <w:color w:val="000000"/>
          <w:sz w:val="28"/>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olor w:val="000000"/>
          <w:sz w:val="32"/>
          <w:szCs w:val="32"/>
        </w:rPr>
      </w:pPr>
      <w:bookmarkStart w:id="44" w:name="_Toc_3_3_0000000018"/>
      <w:r>
        <w:rPr>
          <w:rFonts w:hint="eastAsia" w:ascii="黑体" w:hAnsi="黑体" w:eastAsia="黑体"/>
          <w:color w:val="000000"/>
          <w:sz w:val="32"/>
          <w:szCs w:val="32"/>
        </w:rPr>
        <w:t>九、其他需要说明的事项</w:t>
      </w:r>
      <w:bookmarkEnd w:id="44"/>
    </w:p>
    <w:p>
      <w:pPr>
        <w:spacing w:line="500" w:lineRule="exact"/>
        <w:ind w:firstLine="560"/>
      </w:pPr>
      <w:r>
        <w:rPr>
          <w:rFonts w:hint="eastAsia" w:eastAsia="方正仿宋_GBK"/>
          <w:color w:val="000000"/>
          <w:sz w:val="28"/>
        </w:rPr>
        <w:t>我部门无其他需要说明的事项。</w:t>
      </w:r>
    </w:p>
    <w:sectPr>
      <w:pgSz w:w="16840" w:h="11900" w:orient="landscape"/>
      <w:pgMar w:top="1361" w:right="1020" w:bottom="1134" w:left="102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方正书宋_GBK">
    <w:altName w:val="宋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eastAsia="宋体"/>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Quad Arrow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pPr>
                        </w:p>
                      </w:txbxContent>
                    </wps:txbx>
                    <wps:bodyPr wrap="none" lIns="0" tIns="0" rIns="0" bIns="0" upright="1">
                      <a:spAutoFit/>
                    </wps:bodyPr>
                  </wps:wsp>
                </a:graphicData>
              </a:graphic>
            </wp:anchor>
          </w:drawing>
        </mc:Choice>
        <mc:Fallback>
          <w:pict>
            <v:shape id="Quad Arrow 307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9ZgJowAEAAJ0DAAAOAAAAAAAAAAEAIAAAAB4BAABkcnMvZTJvRG9jLnhtbFBLBQYA&#10;AAAABgAGAFkBAABQBQAAAAA=&#10;">
              <v:fill on="f" focussize="0,0"/>
              <v:stroke on="f"/>
              <v:imagedata o:title=""/>
              <o:lock v:ext="edit" aspectratio="f"/>
              <v:textbox inset="0mm,0mm,0mm,0mm" style="mso-fit-shape-to-text:t;">
                <w:txbxContent>
                  <w:p>
                    <w:pPr>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eastAsia="宋体"/>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Quad Arrow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Quad Arrow 307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AukbRhwAEAAJ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- 1 -</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- 1 -</w:t>
                    </w:r>
                    <w:r>
                      <w:rPr>
                        <w:rFonts w:hint="eastAsia" w:eastAsia="宋体"/>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Quad Arrow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pPr>
                        </w:p>
                      </w:txbxContent>
                    </wps:txbx>
                    <wps:bodyPr wrap="none" lIns="0" tIns="0" rIns="0" bIns="0" upright="1">
                      <a:spAutoFit/>
                    </wps:bodyPr>
                  </wps:wsp>
                </a:graphicData>
              </a:graphic>
            </wp:anchor>
          </w:drawing>
        </mc:Choice>
        <mc:Fallback>
          <w:pict>
            <v:shape id="Quad Arrow 307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A9sLM4wAEAAJ0DAAAOAAAAAAAAAAEAIAAAAB4BAABkcnMvZTJvRG9jLnhtbFBLBQYA&#10;AAAABgAGAFkBAABQBQAAAAA=&#10;">
              <v:fill on="f" focussize="0,0"/>
              <v:stroke on="f"/>
              <v:imagedata o:title=""/>
              <o:lock v:ext="edit" aspectratio="f"/>
              <v:textbox inset="0mm,0mm,0mm,0mm" style="mso-fit-shape-to-text:t;">
                <w:txbxContent>
                  <w:p>
                    <w:pPr>
                      <w:jc w:val="both"/>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- 2 -</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- 2 -</w:t>
                    </w:r>
                    <w:r>
                      <w:rPr>
                        <w:rFonts w:hint="eastAsia" w:eastAsia="宋体"/>
                      </w:rP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Quad Arrow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Quad Arrow 307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BVaoMy/AQAAngMAAA4AAAAAAAAAAQAgAAAAHgEAAGRycy9lMm9Eb2MueG1sUEsFBgAA&#10;AAAGAAYAWQEAAE8FA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Quad Arrow 30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1">
                      <a:spAutoFit/>
                    </wps:bodyPr>
                  </wps:wsp>
                </a:graphicData>
              </a:graphic>
            </wp:anchor>
          </w:drawing>
        </mc:Choice>
        <mc:Fallback>
          <w:pict>
            <v:shape id="Quad Arrow 307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fSpNGwAEAAJ0DAAAOAAAAAAAAAAEAIAAAAB4BAABkcnMvZTJvRG9jLnhtbFBLBQYA&#10;AAAABgAGAFkBAABQBQ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Quad Arrow 3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1">
                      <a:spAutoFit/>
                    </wps:bodyPr>
                  </wps:wsp>
                </a:graphicData>
              </a:graphic>
            </wp:anchor>
          </w:drawing>
        </mc:Choice>
        <mc:Fallback>
          <w:pict>
            <v:shape id="Quad Arrow 307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AAzJ3IwAEAAJ0DAAAOAAAAAAAAAAEAIAAAAB4BAABkcnMvZTJvRG9jLnhtbFBLBQYA&#10;AAAABgAGAFkBAABQ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A8F70"/>
    <w:multiLevelType w:val="multilevel"/>
    <w:tmpl w:val="62AA8F70"/>
    <w:lvl w:ilvl="0" w:tentative="0">
      <w:start w:val="4"/>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172A27"/>
    <w:rsid w:val="000E654B"/>
    <w:rsid w:val="00172A27"/>
    <w:rsid w:val="002D0E40"/>
    <w:rsid w:val="008C3098"/>
    <w:rsid w:val="00C30EDB"/>
    <w:rsid w:val="00CB20F8"/>
    <w:rsid w:val="01071509"/>
    <w:rsid w:val="01E36F41"/>
    <w:rsid w:val="057A7260"/>
    <w:rsid w:val="08DC1676"/>
    <w:rsid w:val="09665AE8"/>
    <w:rsid w:val="098E6280"/>
    <w:rsid w:val="0A6B340A"/>
    <w:rsid w:val="0A7D5FCD"/>
    <w:rsid w:val="1088268D"/>
    <w:rsid w:val="11684942"/>
    <w:rsid w:val="11885D3B"/>
    <w:rsid w:val="17C537F7"/>
    <w:rsid w:val="1C874F07"/>
    <w:rsid w:val="1ECB5101"/>
    <w:rsid w:val="20152650"/>
    <w:rsid w:val="218D1C75"/>
    <w:rsid w:val="24CB0714"/>
    <w:rsid w:val="27D75371"/>
    <w:rsid w:val="28FA0BC4"/>
    <w:rsid w:val="2C2B0856"/>
    <w:rsid w:val="2F515169"/>
    <w:rsid w:val="30D37111"/>
    <w:rsid w:val="330B063E"/>
    <w:rsid w:val="342847CC"/>
    <w:rsid w:val="356E1839"/>
    <w:rsid w:val="364164B3"/>
    <w:rsid w:val="37274448"/>
    <w:rsid w:val="399860D0"/>
    <w:rsid w:val="3DF123CD"/>
    <w:rsid w:val="3FBA7C46"/>
    <w:rsid w:val="425628D3"/>
    <w:rsid w:val="46371966"/>
    <w:rsid w:val="464D4FFA"/>
    <w:rsid w:val="47CC1883"/>
    <w:rsid w:val="4A470D09"/>
    <w:rsid w:val="4A9A2810"/>
    <w:rsid w:val="4B145371"/>
    <w:rsid w:val="4DA37434"/>
    <w:rsid w:val="4E1844A1"/>
    <w:rsid w:val="4FE44618"/>
    <w:rsid w:val="51831B7E"/>
    <w:rsid w:val="52FA08FE"/>
    <w:rsid w:val="530E510E"/>
    <w:rsid w:val="53CE7D56"/>
    <w:rsid w:val="552F00E6"/>
    <w:rsid w:val="58657D73"/>
    <w:rsid w:val="5B233F1A"/>
    <w:rsid w:val="5B710B57"/>
    <w:rsid w:val="5B9F1A6E"/>
    <w:rsid w:val="60616893"/>
    <w:rsid w:val="622B51CE"/>
    <w:rsid w:val="63400EE3"/>
    <w:rsid w:val="64305B30"/>
    <w:rsid w:val="69E57023"/>
    <w:rsid w:val="6A930EAF"/>
    <w:rsid w:val="6BBE7EB4"/>
    <w:rsid w:val="6D26086E"/>
    <w:rsid w:val="6EBA6AFF"/>
    <w:rsid w:val="6FED613F"/>
    <w:rsid w:val="703457D6"/>
    <w:rsid w:val="75305DD8"/>
    <w:rsid w:val="796079CC"/>
    <w:rsid w:val="79BF0E34"/>
    <w:rsid w:val="7A6B0907"/>
    <w:rsid w:val="7B4C229B"/>
    <w:rsid w:val="7CFD358F"/>
    <w:rsid w:val="7E01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rPr>
      <w:rFonts w:ascii="Times New Roman" w:hAnsi="Times New Roman" w:eastAsia="Times New Roman" w:cstheme="minorBidi"/>
      <w:sz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toc 1"/>
    <w:basedOn w:val="1"/>
    <w:next w:val="1"/>
    <w:unhideWhenUsed/>
    <w:qFormat/>
    <w:uiPriority w:val="0"/>
    <w:pPr>
      <w:spacing w:before="120"/>
      <w:ind w:firstLine="560"/>
    </w:pPr>
    <w:rPr>
      <w:rFonts w:eastAsia="方正仿宋_GBK"/>
      <w:color w:val="000000"/>
      <w:sz w:val="28"/>
    </w:rPr>
  </w:style>
  <w:style w:type="paragraph" w:styleId="5">
    <w:name w:val="Normal (Web)"/>
    <w:basedOn w:val="1"/>
    <w:unhideWhenUsed/>
    <w:qFormat/>
    <w:uiPriority w:val="99"/>
  </w:style>
  <w:style w:type="paragraph" w:customStyle="1" w:styleId="8">
    <w:name w:val="单元格样式5"/>
    <w:basedOn w:val="1"/>
    <w:unhideWhenUsed/>
    <w:qFormat/>
    <w:uiPriority w:val="0"/>
    <w:rPr>
      <w:rFonts w:hint="eastAsia" w:ascii="方正书宋_GBK" w:hAnsi="方正书宋_GBK" w:eastAsia="方正书宋_GBK"/>
      <w:b/>
      <w:sz w:val="21"/>
    </w:rPr>
  </w:style>
  <w:style w:type="paragraph" w:customStyle="1" w:styleId="9">
    <w:name w:val="插入文本样式-插入预算公开部门机关运行经费安排情况文件"/>
    <w:basedOn w:val="1"/>
    <w:unhideWhenUsed/>
    <w:qFormat/>
    <w:uiPriority w:val="0"/>
    <w:pPr>
      <w:spacing w:line="500" w:lineRule="exact"/>
      <w:ind w:firstLine="560"/>
    </w:pPr>
    <w:rPr>
      <w:rFonts w:eastAsia="方正仿宋_GBK"/>
      <w:sz w:val="28"/>
    </w:rPr>
  </w:style>
  <w:style w:type="paragraph" w:customStyle="1" w:styleId="10">
    <w:name w:val="单元格样式21"/>
    <w:basedOn w:val="1"/>
    <w:unhideWhenUsed/>
    <w:qFormat/>
    <w:uiPriority w:val="0"/>
    <w:pPr>
      <w:jc w:val="center"/>
    </w:pPr>
    <w:rPr>
      <w:rFonts w:hint="eastAsia" w:ascii="方正小标宋_GBK" w:hAnsi="方正小标宋_GBK" w:eastAsia="方正小标宋_GBK"/>
    </w:rPr>
  </w:style>
  <w:style w:type="paragraph" w:customStyle="1" w:styleId="11">
    <w:name w:val="单元格样式2"/>
    <w:basedOn w:val="1"/>
    <w:unhideWhenUsed/>
    <w:qFormat/>
    <w:uiPriority w:val="0"/>
    <w:rPr>
      <w:rFonts w:hint="eastAsia" w:ascii="方正书宋_GBK" w:hAnsi="方正书宋_GBK" w:eastAsia="方正书宋_GBK"/>
      <w:sz w:val="21"/>
    </w:rPr>
  </w:style>
  <w:style w:type="paragraph" w:customStyle="1" w:styleId="12">
    <w:name w:val="插入文本样式-插入实现年度发展规划目标的保障措施文件"/>
    <w:basedOn w:val="1"/>
    <w:unhideWhenUsed/>
    <w:qFormat/>
    <w:uiPriority w:val="0"/>
    <w:pPr>
      <w:spacing w:line="500" w:lineRule="exact"/>
      <w:ind w:firstLine="560"/>
    </w:pPr>
    <w:rPr>
      <w:rFonts w:eastAsia="方正仿宋_GBK"/>
      <w:sz w:val="28"/>
    </w:rPr>
  </w:style>
  <w:style w:type="paragraph" w:customStyle="1" w:styleId="13">
    <w:name w:val="插入文本样式-插入部门职责文件"/>
    <w:basedOn w:val="1"/>
    <w:unhideWhenUsed/>
    <w:qFormat/>
    <w:uiPriority w:val="0"/>
    <w:pPr>
      <w:spacing w:line="500" w:lineRule="exact"/>
      <w:ind w:firstLine="560"/>
    </w:pPr>
    <w:rPr>
      <w:rFonts w:eastAsia="方正仿宋_GBK"/>
      <w:sz w:val="28"/>
    </w:rPr>
  </w:style>
  <w:style w:type="paragraph" w:customStyle="1" w:styleId="14">
    <w:name w:val="单元格样式20"/>
    <w:basedOn w:val="1"/>
    <w:unhideWhenUsed/>
    <w:qFormat/>
    <w:uiPriority w:val="0"/>
    <w:rPr>
      <w:rFonts w:hint="eastAsia" w:ascii="方正小标宋_GBK" w:hAnsi="方正小标宋_GBK" w:eastAsia="方正小标宋_GBK"/>
    </w:rPr>
  </w:style>
  <w:style w:type="paragraph" w:customStyle="1" w:styleId="15">
    <w:name w:val="单元格样式3"/>
    <w:basedOn w:val="1"/>
    <w:unhideWhenUsed/>
    <w:qFormat/>
    <w:uiPriority w:val="0"/>
    <w:pPr>
      <w:jc w:val="center"/>
    </w:pPr>
    <w:rPr>
      <w:rFonts w:hint="eastAsia" w:ascii="方正书宋_GBK" w:hAnsi="方正书宋_GBK" w:eastAsia="方正书宋_GBK"/>
      <w:sz w:val="21"/>
    </w:rPr>
  </w:style>
  <w:style w:type="paragraph" w:customStyle="1" w:styleId="16">
    <w:name w:val="单元格样式6"/>
    <w:basedOn w:val="1"/>
    <w:unhideWhenUsed/>
    <w:qFormat/>
    <w:uiPriority w:val="0"/>
    <w:pPr>
      <w:jc w:val="center"/>
    </w:pPr>
    <w:rPr>
      <w:rFonts w:hint="eastAsia" w:ascii="方正书宋_GBK" w:hAnsi="方正书宋_GBK" w:eastAsia="方正书宋_GBK"/>
      <w:b/>
      <w:sz w:val="21"/>
    </w:rPr>
  </w:style>
  <w:style w:type="paragraph" w:customStyle="1" w:styleId="17">
    <w:name w:val="单元格样式1"/>
    <w:basedOn w:val="1"/>
    <w:unhideWhenUsed/>
    <w:qFormat/>
    <w:uiPriority w:val="0"/>
    <w:pPr>
      <w:jc w:val="center"/>
    </w:pPr>
    <w:rPr>
      <w:rFonts w:hint="eastAsia" w:ascii="方正书宋_GBK" w:hAnsi="方正书宋_GBK" w:eastAsia="方正书宋_GBK"/>
      <w:b/>
      <w:sz w:val="21"/>
    </w:rPr>
  </w:style>
  <w:style w:type="paragraph" w:customStyle="1" w:styleId="18">
    <w:name w:val="插入文本样式-插入预算公开部门预算安排的总体情况文件"/>
    <w:basedOn w:val="1"/>
    <w:unhideWhenUsed/>
    <w:qFormat/>
    <w:uiPriority w:val="0"/>
    <w:pPr>
      <w:spacing w:line="500" w:lineRule="exact"/>
      <w:ind w:firstLine="560"/>
    </w:pPr>
    <w:rPr>
      <w:rFonts w:eastAsia="方正仿宋_GBK"/>
      <w:sz w:val="28"/>
    </w:rPr>
  </w:style>
  <w:style w:type="paragraph" w:customStyle="1" w:styleId="19">
    <w:name w:val="单元格样式7"/>
    <w:basedOn w:val="1"/>
    <w:unhideWhenUsed/>
    <w:qFormat/>
    <w:uiPriority w:val="0"/>
    <w:pPr>
      <w:jc w:val="right"/>
    </w:pPr>
    <w:rPr>
      <w:rFonts w:hint="eastAsia" w:ascii="方正书宋_GBK" w:hAnsi="方正书宋_GBK" w:eastAsia="方正书宋_GBK"/>
      <w:b/>
      <w:sz w:val="21"/>
    </w:rPr>
  </w:style>
  <w:style w:type="paragraph" w:customStyle="1" w:styleId="20">
    <w:name w:val="单元格样式4"/>
    <w:basedOn w:val="1"/>
    <w:unhideWhenUsed/>
    <w:qFormat/>
    <w:uiPriority w:val="0"/>
    <w:pPr>
      <w:jc w:val="right"/>
    </w:pPr>
    <w:rPr>
      <w:rFonts w:hint="eastAsia" w:ascii="方正书宋_GBK" w:hAnsi="方正书宋_GBK" w:eastAsia="方正书宋_GBK"/>
      <w:sz w:val="21"/>
    </w:rPr>
  </w:style>
  <w:style w:type="paragraph" w:customStyle="1" w:styleId="21">
    <w:name w:val="单元格样式22"/>
    <w:basedOn w:val="1"/>
    <w:unhideWhenUsed/>
    <w:qFormat/>
    <w:uiPriority w:val="0"/>
    <w:pPr>
      <w:jc w:val="right"/>
    </w:pPr>
    <w:rPr>
      <w:rFonts w:hint="eastAsia" w:ascii="方正小标宋_GBK" w:hAnsi="方正小标宋_GBK" w:eastAsia="方正小标宋_GBK"/>
    </w:rPr>
  </w:style>
  <w:style w:type="paragraph" w:customStyle="1" w:styleId="22">
    <w:name w:val="单元格样式23"/>
    <w:basedOn w:val="1"/>
    <w:unhideWhenUsed/>
    <w:qFormat/>
    <w:uiPriority w:val="0"/>
    <w:pPr>
      <w:jc w:val="right"/>
    </w:pPr>
    <w:rPr>
      <w:rFonts w:hint="eastAsia" w:ascii="方正书宋_GBK" w:hAnsi="方正书宋_GBK" w:eastAsia="方正书宋_GBK"/>
    </w:rPr>
  </w:style>
  <w:style w:type="paragraph" w:customStyle="1" w:styleId="23">
    <w:name w:val="插入文本样式-插入预算公开部门财政拨款三公经费预算情况及增减变化原因文件"/>
    <w:basedOn w:val="1"/>
    <w:unhideWhenUsed/>
    <w:qFormat/>
    <w:uiPriority w:val="0"/>
    <w:pPr>
      <w:spacing w:line="500" w:lineRule="exact"/>
      <w:ind w:firstLine="560"/>
    </w:pPr>
    <w:rPr>
      <w:rFonts w:eastAsia="方正仿宋_GBK"/>
      <w:sz w:val="28"/>
    </w:rPr>
  </w:style>
  <w:style w:type="paragraph" w:customStyle="1" w:styleId="24">
    <w:name w:val="插入文本样式-插入总体目标文件"/>
    <w:basedOn w:val="1"/>
    <w:unhideWhenUsed/>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5638</Words>
  <Characters>32140</Characters>
  <Lines>267</Lines>
  <Paragraphs>75</Paragraphs>
  <TotalTime>17</TotalTime>
  <ScaleCrop>false</ScaleCrop>
  <LinksUpToDate>false</LinksUpToDate>
  <CharactersWithSpaces>37703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2023-02-02T02:07:00Z</dcterms:created>
  <dc:creator>Lenovo</dc:creator>
  <cp:lastModifiedBy>八爪小鱼</cp:lastModifiedBy>
  <dcterms:modified xsi:type="dcterms:W3CDTF">2024-01-25T07:57:04Z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9DD18F72C28D48C08B9D0074999A5B49_12</vt:lpwstr>
  </property>
</Properties>
</file>