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60" w:lineRule="exact"/>
        <w:jc w:val="center"/>
        <w:rPr>
          <w:rFonts w:ascii="宋体" w:hAnsi="宋体"/>
          <w:b/>
          <w:bCs/>
          <w:kern w:val="0"/>
          <w:sz w:val="36"/>
          <w:szCs w:val="36"/>
        </w:rPr>
      </w:pPr>
      <w:r>
        <w:rPr>
          <w:rFonts w:hint="eastAsia" w:ascii="宋体" w:hAnsi="宋体"/>
          <w:b/>
          <w:bCs/>
          <w:kern w:val="0"/>
          <w:sz w:val="36"/>
          <w:szCs w:val="36"/>
        </w:rPr>
        <w:t>涞水县妇女联合会</w:t>
      </w:r>
    </w:p>
    <w:p>
      <w:pPr>
        <w:widowControl/>
        <w:autoSpaceDE w:val="0"/>
        <w:spacing w:line="560" w:lineRule="exact"/>
        <w:jc w:val="center"/>
        <w:rPr>
          <w:rFonts w:hint="eastAsia" w:ascii="宋体" w:hAnsi="宋体"/>
          <w:b/>
          <w:bCs/>
          <w:kern w:val="0"/>
          <w:sz w:val="36"/>
          <w:szCs w:val="36"/>
        </w:rPr>
      </w:pPr>
      <w:r>
        <w:rPr>
          <w:rFonts w:hint="eastAsia" w:ascii="宋体" w:hAnsi="宋体"/>
          <w:b/>
          <w:bCs/>
          <w:kern w:val="0"/>
          <w:sz w:val="36"/>
          <w:szCs w:val="36"/>
        </w:rPr>
        <w:t>2020年部门预算公开有关事项的说明</w:t>
      </w:r>
    </w:p>
    <w:p>
      <w:pPr>
        <w:widowControl/>
        <w:autoSpaceDE w:val="0"/>
        <w:spacing w:line="560" w:lineRule="exact"/>
        <w:jc w:val="center"/>
        <w:rPr>
          <w:rFonts w:hint="eastAsia" w:ascii="宋体" w:hAnsi="宋体"/>
          <w:b/>
          <w:bCs/>
          <w:kern w:val="0"/>
          <w:sz w:val="36"/>
          <w:szCs w:val="36"/>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按照《中华人民共和国预算法》、《地方预决算公开操作规程》和《河北省省级预算公开办法》规定，现将涞水县妇女联合会20</w:t>
      </w:r>
      <w:r>
        <w:rPr>
          <w:rFonts w:hint="eastAsia" w:ascii="仿宋" w:hAnsi="仿宋" w:eastAsia="仿宋"/>
          <w:sz w:val="32"/>
          <w:szCs w:val="32"/>
          <w:lang w:val="en-US" w:eastAsia="zh-CN"/>
        </w:rPr>
        <w:t>20</w:t>
      </w:r>
      <w:r>
        <w:rPr>
          <w:rFonts w:hint="eastAsia" w:ascii="仿宋" w:hAnsi="仿宋" w:eastAsia="仿宋"/>
          <w:sz w:val="32"/>
          <w:szCs w:val="32"/>
        </w:rPr>
        <w:t xml:space="preserve">年部门预算公开如下： </w:t>
      </w:r>
    </w:p>
    <w:p>
      <w:pPr>
        <w:widowControl/>
        <w:autoSpaceDE w:val="0"/>
        <w:spacing w:line="560" w:lineRule="exact"/>
        <w:ind w:firstLine="643" w:firstLineChars="200"/>
        <w:rPr>
          <w:rFonts w:ascii="仿宋" w:hAnsi="仿宋" w:eastAsia="仿宋"/>
          <w:b/>
          <w:bCs/>
          <w:kern w:val="0"/>
          <w:sz w:val="32"/>
          <w:szCs w:val="32"/>
        </w:rPr>
      </w:pPr>
      <w:r>
        <w:rPr>
          <w:rFonts w:hint="eastAsia" w:ascii="仿宋" w:hAnsi="仿宋" w:eastAsia="仿宋"/>
          <w:b/>
          <w:bCs/>
          <w:kern w:val="0"/>
          <w:sz w:val="32"/>
          <w:szCs w:val="32"/>
        </w:rPr>
        <w:t>一、部门职责、机构设置等基本情况</w:t>
      </w:r>
    </w:p>
    <w:p>
      <w:pPr>
        <w:widowControl/>
        <w:autoSpaceDE w:val="0"/>
        <w:spacing w:line="560" w:lineRule="exact"/>
        <w:ind w:firstLine="640"/>
        <w:rPr>
          <w:rFonts w:ascii="仿宋" w:hAnsi="仿宋" w:eastAsia="仿宋"/>
          <w:kern w:val="0"/>
          <w:sz w:val="32"/>
          <w:szCs w:val="32"/>
        </w:rPr>
      </w:pPr>
      <w:r>
        <w:rPr>
          <w:rFonts w:hint="eastAsia" w:ascii="仿宋" w:hAnsi="仿宋" w:eastAsia="仿宋"/>
          <w:kern w:val="0"/>
          <w:sz w:val="32"/>
          <w:szCs w:val="32"/>
        </w:rPr>
        <w:t>1、部门职责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涞水县妇女联合会是党领导下的全县各族各界妇女的群众组织，是党和政府联系妇女群众的桥梁和纽带，其主要职责是：（1）团结、动员和组织</w:t>
      </w:r>
      <w:bookmarkStart w:id="7" w:name="_GoBack"/>
      <w:bookmarkEnd w:id="7"/>
      <w:r>
        <w:rPr>
          <w:rFonts w:hint="eastAsia" w:ascii="仿宋" w:hAnsi="仿宋" w:eastAsia="仿宋"/>
          <w:sz w:val="32"/>
          <w:szCs w:val="32"/>
        </w:rPr>
        <w:t>全县妇女群众投身改革开放和社会主义物质文明、精神文明的建设，为维护改革、发展、稳定的大局服务。（2）宣传马克思主义妇女观和男女平等基本国策教育、引导妇女树立正确的世界观、人生观、价值观，弘扬“自尊、自信、自立、自强”的精神，积极推动和开展妇女的科技文化及生产劳动技能教育，全面提高妇女素质。（3）坚持为妇女儿童服务、为基层服务，加强与社会各界的联系，协调推动全社会为妇女儿童办实事、办好事。（4）维护妇女、儿童的合法权益，向社会各界宣传妇女，反映妇女的意见、要求，代表妇女参加社会协商对话，参与民主管理与监督，参与有关妇女儿童的法律、法规、条例的制定。（5）加强妇联基层组织建设，提高专职妇联干部的政治素质和业务能力，加强妇女干部的培训工作，做好妇女人才的发现和推荐工作。（6）承办与妇联有关的外事活动。</w:t>
      </w:r>
    </w:p>
    <w:p>
      <w:pPr>
        <w:widowControl/>
        <w:autoSpaceDE w:val="0"/>
        <w:spacing w:line="560" w:lineRule="exact"/>
        <w:ind w:firstLine="640"/>
        <w:rPr>
          <w:rFonts w:ascii="仿宋" w:hAnsi="仿宋" w:eastAsia="仿宋"/>
          <w:kern w:val="0"/>
          <w:sz w:val="32"/>
          <w:szCs w:val="32"/>
        </w:rPr>
      </w:pPr>
    </w:p>
    <w:p>
      <w:pPr>
        <w:widowControl/>
        <w:autoSpaceDE w:val="0"/>
        <w:spacing w:line="560" w:lineRule="exact"/>
        <w:ind w:firstLine="640"/>
        <w:rPr>
          <w:rFonts w:ascii="仿宋" w:hAnsi="仿宋" w:eastAsia="仿宋"/>
          <w:kern w:val="0"/>
          <w:sz w:val="32"/>
          <w:szCs w:val="32"/>
        </w:rPr>
      </w:pPr>
    </w:p>
    <w:p>
      <w:pPr>
        <w:widowControl/>
        <w:autoSpaceDE w:val="0"/>
        <w:spacing w:line="560" w:lineRule="exact"/>
        <w:ind w:firstLine="640"/>
        <w:rPr>
          <w:rFonts w:ascii="仿宋" w:hAnsi="仿宋" w:eastAsia="仿宋"/>
          <w:kern w:val="0"/>
          <w:sz w:val="32"/>
          <w:szCs w:val="32"/>
        </w:rPr>
      </w:pPr>
      <w:r>
        <w:rPr>
          <w:rFonts w:hint="eastAsia" w:ascii="仿宋" w:hAnsi="仿宋" w:eastAsia="仿宋"/>
          <w:kern w:val="0"/>
          <w:sz w:val="32"/>
          <w:szCs w:val="32"/>
        </w:rPr>
        <w:t>2、机构设置</w:t>
      </w:r>
    </w:p>
    <w:tbl>
      <w:tblPr>
        <w:tblStyle w:val="5"/>
        <w:tblW w:w="8944" w:type="dxa"/>
        <w:tblInd w:w="-471" w:type="dxa"/>
        <w:tblLayout w:type="fixed"/>
        <w:tblCellMar>
          <w:top w:w="0" w:type="dxa"/>
          <w:left w:w="108" w:type="dxa"/>
          <w:bottom w:w="0" w:type="dxa"/>
          <w:right w:w="108" w:type="dxa"/>
        </w:tblCellMar>
      </w:tblPr>
      <w:tblGrid>
        <w:gridCol w:w="1050"/>
        <w:gridCol w:w="2559"/>
        <w:gridCol w:w="1678"/>
        <w:gridCol w:w="1625"/>
        <w:gridCol w:w="2032"/>
      </w:tblGrid>
      <w:tr>
        <w:tblPrEx>
          <w:tblCellMar>
            <w:top w:w="0" w:type="dxa"/>
            <w:left w:w="108" w:type="dxa"/>
            <w:bottom w:w="0" w:type="dxa"/>
            <w:right w:w="108" w:type="dxa"/>
          </w:tblCellMar>
        </w:tblPrEx>
        <w:trPr>
          <w:trHeight w:val="502" w:hRule="atLeast"/>
        </w:trPr>
        <w:tc>
          <w:tcPr>
            <w:tcW w:w="8944" w:type="dxa"/>
            <w:gridSpan w:val="5"/>
            <w:tcBorders>
              <w:top w:val="nil"/>
              <w:left w:val="nil"/>
              <w:bottom w:val="single" w:color="auto" w:sz="4" w:space="0"/>
              <w:right w:val="nil"/>
            </w:tcBorders>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部门机构设置情况</w:t>
            </w:r>
          </w:p>
        </w:tc>
      </w:tr>
      <w:tr>
        <w:tblPrEx>
          <w:tblCellMar>
            <w:top w:w="0" w:type="dxa"/>
            <w:left w:w="108" w:type="dxa"/>
            <w:bottom w:w="0" w:type="dxa"/>
            <w:right w:w="108" w:type="dxa"/>
          </w:tblCellMar>
        </w:tblPrEx>
        <w:trPr>
          <w:trHeight w:val="452" w:hRule="atLeast"/>
        </w:trPr>
        <w:tc>
          <w:tcPr>
            <w:tcW w:w="1050"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2559"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单位名称</w:t>
            </w:r>
          </w:p>
        </w:tc>
        <w:tc>
          <w:tcPr>
            <w:tcW w:w="1678"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单位性质</w:t>
            </w:r>
          </w:p>
        </w:tc>
        <w:tc>
          <w:tcPr>
            <w:tcW w:w="1625"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单位规格</w:t>
            </w:r>
          </w:p>
        </w:tc>
        <w:tc>
          <w:tcPr>
            <w:tcW w:w="2032"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经费保障形式</w:t>
            </w:r>
          </w:p>
        </w:tc>
      </w:tr>
      <w:tr>
        <w:tblPrEx>
          <w:tblCellMar>
            <w:top w:w="0" w:type="dxa"/>
            <w:left w:w="108" w:type="dxa"/>
            <w:bottom w:w="0" w:type="dxa"/>
            <w:right w:w="108" w:type="dxa"/>
          </w:tblCellMar>
        </w:tblPrEx>
        <w:trPr>
          <w:trHeight w:val="452" w:hRule="atLeast"/>
        </w:trPr>
        <w:tc>
          <w:tcPr>
            <w:tcW w:w="105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宋体" w:hAnsi="宋体" w:cs="宋体"/>
                <w:color w:val="000000"/>
                <w:kern w:val="0"/>
                <w:sz w:val="28"/>
                <w:szCs w:val="28"/>
              </w:rPr>
            </w:pPr>
          </w:p>
        </w:tc>
        <w:tc>
          <w:tcPr>
            <w:tcW w:w="2559"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宋体" w:hAnsi="宋体" w:cs="宋体"/>
                <w:color w:val="000000"/>
                <w:kern w:val="0"/>
                <w:sz w:val="28"/>
                <w:szCs w:val="28"/>
              </w:rPr>
            </w:pPr>
          </w:p>
        </w:tc>
        <w:tc>
          <w:tcPr>
            <w:tcW w:w="1678"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宋体" w:hAnsi="宋体" w:cs="宋体"/>
                <w:color w:val="000000"/>
                <w:kern w:val="0"/>
                <w:sz w:val="28"/>
                <w:szCs w:val="28"/>
              </w:rPr>
            </w:pPr>
          </w:p>
        </w:tc>
        <w:tc>
          <w:tcPr>
            <w:tcW w:w="1625"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宋体" w:hAnsi="宋体" w:cs="宋体"/>
                <w:color w:val="000000"/>
                <w:kern w:val="0"/>
                <w:sz w:val="28"/>
                <w:szCs w:val="28"/>
              </w:rPr>
            </w:pPr>
          </w:p>
        </w:tc>
        <w:tc>
          <w:tcPr>
            <w:tcW w:w="2032"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宋体" w:hAnsi="宋体" w:cs="宋体"/>
                <w:color w:val="000000"/>
                <w:kern w:val="0"/>
                <w:sz w:val="28"/>
                <w:szCs w:val="28"/>
              </w:rPr>
            </w:pPr>
          </w:p>
        </w:tc>
      </w:tr>
      <w:tr>
        <w:tblPrEx>
          <w:tblCellMar>
            <w:top w:w="0" w:type="dxa"/>
            <w:left w:w="108" w:type="dxa"/>
            <w:bottom w:w="0" w:type="dxa"/>
            <w:right w:w="108" w:type="dxa"/>
          </w:tblCellMar>
        </w:tblPrEx>
        <w:trPr>
          <w:trHeight w:val="1021" w:hRule="atLeast"/>
        </w:trPr>
        <w:tc>
          <w:tcPr>
            <w:tcW w:w="1050"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2559"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涞水县妇女联合会</w:t>
            </w:r>
          </w:p>
        </w:tc>
        <w:tc>
          <w:tcPr>
            <w:tcW w:w="1678"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行政</w:t>
            </w:r>
          </w:p>
        </w:tc>
        <w:tc>
          <w:tcPr>
            <w:tcW w:w="1625"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正科级</w:t>
            </w:r>
          </w:p>
        </w:tc>
        <w:tc>
          <w:tcPr>
            <w:tcW w:w="2032"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财政拨款</w:t>
            </w:r>
          </w:p>
        </w:tc>
      </w:tr>
    </w:tbl>
    <w:p>
      <w:pPr>
        <w:widowControl/>
        <w:autoSpaceDE w:val="0"/>
        <w:spacing w:line="560" w:lineRule="exact"/>
        <w:ind w:firstLine="800" w:firstLineChars="250"/>
        <w:rPr>
          <w:rFonts w:ascii="仿宋" w:hAnsi="仿宋" w:eastAsia="仿宋"/>
          <w:kern w:val="0"/>
          <w:sz w:val="32"/>
          <w:szCs w:val="32"/>
        </w:rPr>
      </w:pPr>
      <w:r>
        <w:rPr>
          <w:rFonts w:hint="eastAsia" w:ascii="仿宋" w:hAnsi="仿宋" w:eastAsia="仿宋"/>
          <w:kern w:val="0"/>
          <w:sz w:val="32"/>
          <w:szCs w:val="32"/>
        </w:rPr>
        <w:t>按照“三定方案”涞办字【2002】46号文件要求，县妇联设1个股室，即办公室。行政编制3名，其中主席1名，副主席1名，股级职数1名。</w:t>
      </w:r>
    </w:p>
    <w:p>
      <w:pPr>
        <w:widowControl/>
        <w:autoSpaceDE w:val="0"/>
        <w:spacing w:line="560" w:lineRule="exact"/>
        <w:ind w:firstLine="640"/>
        <w:rPr>
          <w:rFonts w:ascii="仿宋" w:hAnsi="仿宋" w:eastAsia="仿宋"/>
          <w:kern w:val="0"/>
          <w:sz w:val="32"/>
          <w:szCs w:val="32"/>
        </w:rPr>
      </w:pPr>
      <w:r>
        <w:rPr>
          <w:rFonts w:hint="eastAsia" w:ascii="仿宋" w:hAnsi="仿宋" w:eastAsia="仿宋"/>
          <w:kern w:val="0"/>
          <w:sz w:val="32"/>
          <w:szCs w:val="32"/>
        </w:rPr>
        <w:t>涞水县妇女儿童工作委员会办公室是县政府派出机构，办公室设在县妇联，专职人员编制1名。</w:t>
      </w:r>
    </w:p>
    <w:p>
      <w:pPr>
        <w:widowControl/>
        <w:autoSpaceDE w:val="0"/>
        <w:spacing w:line="560" w:lineRule="exact"/>
        <w:ind w:firstLine="643" w:firstLineChars="200"/>
        <w:rPr>
          <w:rFonts w:ascii="仿宋" w:hAnsi="仿宋" w:eastAsia="仿宋"/>
          <w:b/>
          <w:bCs/>
          <w:kern w:val="0"/>
          <w:sz w:val="32"/>
          <w:szCs w:val="32"/>
        </w:rPr>
      </w:pPr>
      <w:r>
        <w:rPr>
          <w:rFonts w:hint="eastAsia" w:ascii="仿宋" w:hAnsi="仿宋" w:eastAsia="仿宋"/>
          <w:b/>
          <w:bCs/>
          <w:kern w:val="0"/>
          <w:sz w:val="32"/>
          <w:szCs w:val="32"/>
        </w:rPr>
        <w:t>二、部门预算安排总体情况</w:t>
      </w:r>
    </w:p>
    <w:p>
      <w:pPr>
        <w:widowControl/>
        <w:autoSpaceDE w:val="0"/>
        <w:spacing w:line="560" w:lineRule="exact"/>
        <w:ind w:firstLine="64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1、收入情况</w:t>
      </w:r>
    </w:p>
    <w:p>
      <w:pPr>
        <w:widowControl/>
        <w:autoSpaceDE w:val="0"/>
        <w:spacing w:line="560" w:lineRule="exact"/>
        <w:ind w:firstLine="640"/>
        <w:rPr>
          <w:rFonts w:ascii="仿宋" w:hAnsi="仿宋" w:eastAsia="仿宋"/>
          <w:kern w:val="0"/>
          <w:sz w:val="32"/>
          <w:szCs w:val="32"/>
        </w:rPr>
      </w:pPr>
      <w:r>
        <w:rPr>
          <w:rFonts w:hint="eastAsia" w:ascii="仿宋" w:hAnsi="仿宋" w:eastAsia="仿宋"/>
          <w:kern w:val="0"/>
          <w:sz w:val="32"/>
          <w:szCs w:val="32"/>
        </w:rPr>
        <w:t>部门预算</w:t>
      </w:r>
      <w:r>
        <w:rPr>
          <w:rFonts w:hint="eastAsia" w:ascii="仿宋" w:hAnsi="仿宋" w:eastAsia="仿宋"/>
          <w:kern w:val="0"/>
          <w:sz w:val="32"/>
          <w:szCs w:val="32"/>
          <w:lang w:eastAsia="zh-CN"/>
        </w:rPr>
        <w:t>总</w:t>
      </w:r>
      <w:r>
        <w:rPr>
          <w:rFonts w:hint="eastAsia" w:ascii="仿宋" w:hAnsi="仿宋" w:eastAsia="仿宋"/>
          <w:kern w:val="0"/>
          <w:sz w:val="32"/>
          <w:szCs w:val="32"/>
        </w:rPr>
        <w:t>收入39.42万元，其中：一般公共预算拨款39.42万元</w:t>
      </w:r>
      <w:r>
        <w:rPr>
          <w:rFonts w:hint="eastAsia" w:ascii="仿宋" w:hAnsi="仿宋" w:eastAsia="仿宋"/>
          <w:kern w:val="0"/>
          <w:sz w:val="32"/>
          <w:szCs w:val="32"/>
          <w:lang w:eastAsia="zh-CN"/>
        </w:rPr>
        <w:t>，</w:t>
      </w:r>
      <w:r>
        <w:rPr>
          <w:rFonts w:hint="eastAsia" w:ascii="仿宋" w:hAnsi="仿宋" w:eastAsia="仿宋" w:cs="仿宋"/>
          <w:kern w:val="0"/>
          <w:sz w:val="32"/>
          <w:szCs w:val="32"/>
          <w:lang w:val="zh-CN"/>
        </w:rPr>
        <w:t>基金预算收入0 万元 ，财政专户核拨收入 0 万元，其他来源收入  0 万元</w:t>
      </w:r>
      <w:r>
        <w:rPr>
          <w:rFonts w:hint="eastAsia" w:ascii="仿宋" w:hAnsi="仿宋" w:eastAsia="仿宋"/>
          <w:kern w:val="0"/>
          <w:sz w:val="32"/>
          <w:szCs w:val="32"/>
        </w:rPr>
        <w:t>。</w:t>
      </w:r>
    </w:p>
    <w:p>
      <w:pPr>
        <w:widowControl/>
        <w:numPr>
          <w:ilvl w:val="0"/>
          <w:numId w:val="1"/>
        </w:numPr>
        <w:autoSpaceDE w:val="0"/>
        <w:spacing w:line="560" w:lineRule="exact"/>
        <w:ind w:firstLine="64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支出情况</w:t>
      </w:r>
    </w:p>
    <w:p>
      <w:pPr>
        <w:widowControl/>
        <w:numPr>
          <w:ilvl w:val="0"/>
          <w:numId w:val="0"/>
        </w:numPr>
        <w:autoSpaceDE w:val="0"/>
        <w:spacing w:line="560" w:lineRule="exact"/>
        <w:rPr>
          <w:rFonts w:ascii="仿宋" w:hAnsi="仿宋" w:eastAsia="仿宋"/>
          <w:kern w:val="0"/>
          <w:sz w:val="32"/>
          <w:szCs w:val="32"/>
        </w:rPr>
      </w:pP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部门预算支出39.42万元，其中：基本支出31.42万元，（其中人员经费27.13万元，日常公用费用4.29万元）；项目支出8万元。</w:t>
      </w:r>
    </w:p>
    <w:p>
      <w:pPr>
        <w:widowControl/>
        <w:numPr>
          <w:ilvl w:val="0"/>
          <w:numId w:val="1"/>
        </w:numPr>
        <w:autoSpaceDE w:val="0"/>
        <w:spacing w:line="560" w:lineRule="exact"/>
        <w:ind w:firstLine="640" w:firstLineChars="0"/>
        <w:rPr>
          <w:rFonts w:hint="eastAsia" w:ascii="仿宋" w:hAnsi="仿宋" w:eastAsia="仿宋"/>
          <w:kern w:val="0"/>
          <w:sz w:val="32"/>
          <w:szCs w:val="32"/>
        </w:rPr>
      </w:pPr>
      <w:r>
        <w:rPr>
          <w:rFonts w:hint="eastAsia" w:ascii="仿宋" w:hAnsi="仿宋" w:eastAsia="仿宋"/>
          <w:kern w:val="0"/>
          <w:sz w:val="32"/>
          <w:szCs w:val="32"/>
        </w:rPr>
        <w:t>比上年增减情况</w:t>
      </w:r>
    </w:p>
    <w:p>
      <w:pPr>
        <w:widowControl/>
        <w:numPr>
          <w:ilvl w:val="0"/>
          <w:numId w:val="0"/>
        </w:numPr>
        <w:autoSpaceDE w:val="0"/>
        <w:spacing w:line="560" w:lineRule="exact"/>
        <w:rPr>
          <w:rFonts w:ascii="仿宋" w:hAnsi="仿宋" w:eastAsia="仿宋"/>
          <w:b/>
          <w:bCs/>
          <w:kern w:val="0"/>
          <w:sz w:val="32"/>
          <w:szCs w:val="32"/>
        </w:rPr>
      </w:pP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本年度收支安排39.42万元，较上年减少3.23万元，减少原因为缩减项目支出预算。</w:t>
      </w:r>
    </w:p>
    <w:p>
      <w:pPr>
        <w:widowControl/>
        <w:autoSpaceDE w:val="0"/>
        <w:spacing w:line="560" w:lineRule="exact"/>
        <w:ind w:firstLine="643" w:firstLineChars="200"/>
        <w:rPr>
          <w:rFonts w:ascii="仿宋" w:hAnsi="仿宋" w:eastAsia="仿宋"/>
          <w:b/>
          <w:bCs/>
          <w:kern w:val="0"/>
          <w:sz w:val="32"/>
          <w:szCs w:val="32"/>
        </w:rPr>
      </w:pPr>
      <w:r>
        <w:rPr>
          <w:rFonts w:hint="eastAsia" w:ascii="仿宋" w:hAnsi="仿宋" w:eastAsia="仿宋"/>
          <w:b/>
          <w:bCs/>
          <w:kern w:val="0"/>
          <w:sz w:val="32"/>
          <w:szCs w:val="32"/>
        </w:rPr>
        <w:t>三、机关运行经费安排情况</w:t>
      </w:r>
    </w:p>
    <w:p>
      <w:pPr>
        <w:widowControl/>
        <w:autoSpaceDE w:val="0"/>
        <w:spacing w:line="560" w:lineRule="exact"/>
        <w:rPr>
          <w:rFonts w:ascii="仿宋" w:hAnsi="仿宋" w:eastAsia="仿宋"/>
          <w:kern w:val="0"/>
          <w:sz w:val="32"/>
          <w:szCs w:val="32"/>
        </w:rPr>
      </w:pPr>
      <w:r>
        <w:rPr>
          <w:rFonts w:hint="eastAsia" w:ascii="仿宋" w:hAnsi="仿宋" w:eastAsia="仿宋"/>
          <w:kern w:val="0"/>
          <w:sz w:val="32"/>
          <w:szCs w:val="32"/>
        </w:rPr>
        <w:t>机关运行经费4.29万元,其中：办公费0.66万元、邮</w:t>
      </w:r>
      <w:r>
        <w:rPr>
          <w:rFonts w:hint="eastAsia" w:ascii="仿宋" w:hAnsi="仿宋" w:eastAsia="仿宋"/>
          <w:spacing w:val="-20"/>
          <w:kern w:val="0"/>
          <w:sz w:val="32"/>
          <w:szCs w:val="32"/>
        </w:rPr>
        <w:t>电费0.36万</w:t>
      </w:r>
      <w:r>
        <w:rPr>
          <w:rFonts w:hint="eastAsia" w:ascii="仿宋" w:hAnsi="仿宋" w:eastAsia="仿宋"/>
          <w:kern w:val="0"/>
          <w:sz w:val="32"/>
          <w:szCs w:val="32"/>
        </w:rPr>
        <w:t>元、差旅费0.30万元、公务交通补贴1.86万元、工会经费0.2万元、职工福利费0.67万元、离退休人员公用经费0.24万元。</w:t>
      </w:r>
    </w:p>
    <w:p>
      <w:pPr>
        <w:widowControl/>
        <w:autoSpaceDE w:val="0"/>
        <w:spacing w:line="560" w:lineRule="exact"/>
        <w:ind w:firstLine="643" w:firstLineChars="200"/>
        <w:rPr>
          <w:rFonts w:ascii="仿宋" w:hAnsi="仿宋" w:eastAsia="仿宋"/>
          <w:kern w:val="0"/>
          <w:sz w:val="32"/>
          <w:szCs w:val="32"/>
        </w:rPr>
      </w:pPr>
      <w:r>
        <w:rPr>
          <w:rFonts w:hint="eastAsia" w:ascii="仿宋" w:hAnsi="仿宋" w:eastAsia="仿宋"/>
          <w:b/>
          <w:bCs/>
          <w:kern w:val="0"/>
          <w:sz w:val="32"/>
          <w:szCs w:val="32"/>
        </w:rPr>
        <w:t>四、财政拨款“三公”经费预算情况</w:t>
      </w:r>
    </w:p>
    <w:p>
      <w:pPr>
        <w:widowControl/>
        <w:autoSpaceDE w:val="0"/>
        <w:spacing w:line="560" w:lineRule="exact"/>
        <w:rPr>
          <w:rFonts w:ascii="仿宋" w:hAnsi="仿宋" w:eastAsia="仿宋"/>
          <w:kern w:val="0"/>
          <w:sz w:val="32"/>
          <w:szCs w:val="32"/>
        </w:rPr>
      </w:pPr>
      <w:r>
        <w:rPr>
          <w:rFonts w:hint="eastAsia" w:ascii="仿宋" w:hAnsi="仿宋" w:eastAsia="仿宋"/>
          <w:kern w:val="0"/>
          <w:sz w:val="32"/>
          <w:szCs w:val="32"/>
        </w:rPr>
        <w:t xml:space="preserve">   2019年我部门无“三公”经费支出，预算为0万元，与2018年一致，无增减变化。</w:t>
      </w:r>
    </w:p>
    <w:p>
      <w:pPr>
        <w:widowControl/>
        <w:autoSpaceDE w:val="0"/>
        <w:spacing w:line="560" w:lineRule="exact"/>
        <w:jc w:val="right"/>
        <w:rPr>
          <w:rFonts w:ascii="仿宋" w:hAnsi="仿宋" w:eastAsia="仿宋"/>
          <w:kern w:val="0"/>
          <w:sz w:val="32"/>
          <w:szCs w:val="32"/>
        </w:rPr>
      </w:pPr>
      <w:r>
        <w:rPr>
          <w:rFonts w:hint="eastAsia" w:ascii="仿宋" w:hAnsi="仿宋" w:eastAsia="仿宋"/>
          <w:kern w:val="0"/>
          <w:sz w:val="32"/>
          <w:szCs w:val="32"/>
        </w:rPr>
        <w:t xml:space="preserve">   单位：万元</w:t>
      </w:r>
    </w:p>
    <w:tbl>
      <w:tblPr>
        <w:tblStyle w:val="5"/>
        <w:tblW w:w="9765" w:type="dxa"/>
        <w:tblInd w:w="-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90"/>
        <w:gridCol w:w="1920"/>
        <w:gridCol w:w="2010"/>
        <w:gridCol w:w="1620"/>
        <w:gridCol w:w="2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90" w:type="dxa"/>
          </w:tcPr>
          <w:p>
            <w:pPr>
              <w:widowControl/>
              <w:autoSpaceDE w:val="0"/>
              <w:spacing w:line="560" w:lineRule="exact"/>
              <w:jc w:val="center"/>
              <w:rPr>
                <w:rFonts w:ascii="仿宋" w:hAnsi="仿宋" w:eastAsia="仿宋"/>
                <w:kern w:val="0"/>
                <w:sz w:val="32"/>
                <w:szCs w:val="32"/>
              </w:rPr>
            </w:pPr>
            <w:r>
              <w:rPr>
                <w:rFonts w:hint="eastAsia" w:ascii="仿宋" w:hAnsi="仿宋" w:eastAsia="仿宋"/>
                <w:kern w:val="0"/>
                <w:sz w:val="32"/>
                <w:szCs w:val="32"/>
              </w:rPr>
              <w:t>项目名称</w:t>
            </w:r>
          </w:p>
        </w:tc>
        <w:tc>
          <w:tcPr>
            <w:tcW w:w="1920" w:type="dxa"/>
          </w:tcPr>
          <w:p>
            <w:pPr>
              <w:widowControl/>
              <w:autoSpaceDE w:val="0"/>
              <w:spacing w:line="560" w:lineRule="exact"/>
              <w:jc w:val="center"/>
              <w:rPr>
                <w:rFonts w:ascii="仿宋" w:hAnsi="仿宋" w:eastAsia="仿宋"/>
                <w:kern w:val="0"/>
                <w:sz w:val="32"/>
                <w:szCs w:val="32"/>
              </w:rPr>
            </w:pPr>
            <w:r>
              <w:rPr>
                <w:rFonts w:hint="eastAsia" w:ascii="仿宋" w:hAnsi="仿宋" w:eastAsia="仿宋"/>
                <w:kern w:val="0"/>
                <w:sz w:val="32"/>
                <w:szCs w:val="32"/>
              </w:rPr>
              <w:t>2018年预算</w:t>
            </w:r>
          </w:p>
        </w:tc>
        <w:tc>
          <w:tcPr>
            <w:tcW w:w="2010" w:type="dxa"/>
          </w:tcPr>
          <w:p>
            <w:pPr>
              <w:widowControl/>
              <w:autoSpaceDE w:val="0"/>
              <w:spacing w:line="560" w:lineRule="exact"/>
              <w:jc w:val="center"/>
              <w:rPr>
                <w:rFonts w:ascii="仿宋" w:hAnsi="仿宋" w:eastAsia="仿宋"/>
                <w:kern w:val="0"/>
                <w:sz w:val="32"/>
                <w:szCs w:val="32"/>
              </w:rPr>
            </w:pPr>
            <w:r>
              <w:rPr>
                <w:rFonts w:hint="eastAsia" w:ascii="仿宋" w:hAnsi="仿宋" w:eastAsia="仿宋"/>
                <w:kern w:val="0"/>
                <w:sz w:val="32"/>
                <w:szCs w:val="32"/>
              </w:rPr>
              <w:t>2019年预算</w:t>
            </w:r>
          </w:p>
        </w:tc>
        <w:tc>
          <w:tcPr>
            <w:tcW w:w="1620" w:type="dxa"/>
          </w:tcPr>
          <w:p>
            <w:pPr>
              <w:widowControl/>
              <w:autoSpaceDE w:val="0"/>
              <w:spacing w:line="560" w:lineRule="exact"/>
              <w:jc w:val="center"/>
              <w:rPr>
                <w:rFonts w:ascii="仿宋" w:hAnsi="仿宋" w:eastAsia="仿宋"/>
                <w:kern w:val="0"/>
                <w:sz w:val="32"/>
                <w:szCs w:val="32"/>
              </w:rPr>
            </w:pPr>
            <w:r>
              <w:rPr>
                <w:rFonts w:hint="eastAsia" w:ascii="仿宋" w:hAnsi="仿宋" w:eastAsia="仿宋"/>
                <w:kern w:val="0"/>
                <w:sz w:val="32"/>
                <w:szCs w:val="32"/>
              </w:rPr>
              <w:t>增减金额</w:t>
            </w:r>
          </w:p>
        </w:tc>
        <w:tc>
          <w:tcPr>
            <w:tcW w:w="2025" w:type="dxa"/>
          </w:tcPr>
          <w:p>
            <w:pPr>
              <w:widowControl/>
              <w:autoSpaceDE w:val="0"/>
              <w:spacing w:line="560" w:lineRule="exact"/>
              <w:jc w:val="center"/>
              <w:rPr>
                <w:rFonts w:ascii="仿宋" w:hAnsi="仿宋" w:eastAsia="仿宋"/>
                <w:kern w:val="0"/>
                <w:sz w:val="32"/>
                <w:szCs w:val="32"/>
              </w:rPr>
            </w:pPr>
            <w:r>
              <w:rPr>
                <w:rFonts w:hint="eastAsia" w:ascii="仿宋" w:hAnsi="仿宋" w:eastAsia="仿宋"/>
                <w:kern w:val="0"/>
                <w:sz w:val="32"/>
                <w:szCs w:val="32"/>
              </w:rPr>
              <w:t>变化原因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90" w:type="dxa"/>
          </w:tcPr>
          <w:p>
            <w:pPr>
              <w:spacing w:line="560" w:lineRule="exact"/>
              <w:jc w:val="center"/>
              <w:rPr>
                <w:rFonts w:ascii="仿宋" w:hAnsi="仿宋" w:eastAsia="仿宋"/>
                <w:kern w:val="0"/>
              </w:rPr>
            </w:pPr>
            <w:r>
              <w:rPr>
                <w:rFonts w:hint="eastAsia" w:ascii="仿宋_GB2312" w:eastAsia="仿宋_GB2312"/>
              </w:rPr>
              <w:t>因公出国经费</w:t>
            </w:r>
          </w:p>
        </w:tc>
        <w:tc>
          <w:tcPr>
            <w:tcW w:w="192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201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162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2025" w:type="dxa"/>
          </w:tcPr>
          <w:p>
            <w:pPr>
              <w:spacing w:line="560" w:lineRule="exact"/>
              <w:jc w:val="center"/>
              <w:rPr>
                <w:rFonts w:ascii="仿宋" w:hAnsi="仿宋" w:eastAsia="仿宋"/>
                <w:kern w:val="0"/>
                <w:sz w:val="32"/>
                <w:szCs w:val="32"/>
              </w:rPr>
            </w:pPr>
            <w:r>
              <w:rPr>
                <w:rFonts w:hint="eastAsia" w:ascii="仿宋_GB2312" w:eastAsia="仿宋_GB2312"/>
                <w:sz w:val="24"/>
              </w:rPr>
              <w:t>无增减变化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90" w:type="dxa"/>
          </w:tcPr>
          <w:p>
            <w:pPr>
              <w:spacing w:line="560" w:lineRule="exact"/>
              <w:jc w:val="left"/>
              <w:rPr>
                <w:rFonts w:ascii="仿宋" w:hAnsi="仿宋" w:eastAsia="仿宋"/>
                <w:kern w:val="0"/>
              </w:rPr>
            </w:pPr>
            <w:r>
              <w:rPr>
                <w:rFonts w:hint="eastAsia" w:ascii="仿宋_GB2312" w:eastAsia="仿宋_GB2312"/>
              </w:rPr>
              <w:t>公务用车购置经费</w:t>
            </w:r>
          </w:p>
        </w:tc>
        <w:tc>
          <w:tcPr>
            <w:tcW w:w="192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201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162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2025" w:type="dxa"/>
          </w:tcPr>
          <w:p>
            <w:pPr>
              <w:spacing w:line="560" w:lineRule="exact"/>
              <w:jc w:val="center"/>
              <w:rPr>
                <w:rFonts w:ascii="仿宋" w:hAnsi="仿宋" w:eastAsia="仿宋"/>
                <w:kern w:val="0"/>
                <w:sz w:val="32"/>
                <w:szCs w:val="32"/>
              </w:rPr>
            </w:pPr>
            <w:r>
              <w:rPr>
                <w:rFonts w:hint="eastAsia" w:ascii="仿宋_GB2312" w:eastAsia="仿宋_GB2312"/>
                <w:sz w:val="24"/>
              </w:rPr>
              <w:t>无增减变化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90" w:type="dxa"/>
          </w:tcPr>
          <w:p>
            <w:pPr>
              <w:spacing w:line="560" w:lineRule="exact"/>
              <w:jc w:val="left"/>
              <w:rPr>
                <w:rFonts w:ascii="仿宋" w:hAnsi="仿宋" w:eastAsia="仿宋"/>
                <w:kern w:val="0"/>
              </w:rPr>
            </w:pPr>
            <w:r>
              <w:rPr>
                <w:rFonts w:hint="eastAsia" w:ascii="仿宋_GB2312" w:eastAsia="仿宋_GB2312"/>
              </w:rPr>
              <w:t>公务用车运行经费</w:t>
            </w:r>
          </w:p>
        </w:tc>
        <w:tc>
          <w:tcPr>
            <w:tcW w:w="192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201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162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2025" w:type="dxa"/>
          </w:tcPr>
          <w:p>
            <w:pPr>
              <w:spacing w:line="560" w:lineRule="exact"/>
              <w:jc w:val="left"/>
              <w:rPr>
                <w:rFonts w:ascii="仿宋" w:hAnsi="仿宋" w:eastAsia="仿宋"/>
                <w:kern w:val="0"/>
                <w:sz w:val="32"/>
                <w:szCs w:val="32"/>
              </w:rPr>
            </w:pPr>
            <w:r>
              <w:rPr>
                <w:rFonts w:hint="eastAsia" w:ascii="仿宋_GB2312" w:eastAsia="仿宋_GB2312"/>
                <w:sz w:val="24"/>
              </w:rPr>
              <w:t xml:space="preserve">   无增减变化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90" w:type="dxa"/>
          </w:tcPr>
          <w:p>
            <w:pPr>
              <w:spacing w:line="560" w:lineRule="exact"/>
              <w:jc w:val="left"/>
              <w:rPr>
                <w:rFonts w:ascii="仿宋" w:hAnsi="仿宋" w:eastAsia="仿宋"/>
                <w:kern w:val="0"/>
              </w:rPr>
            </w:pPr>
            <w:r>
              <w:rPr>
                <w:rFonts w:hint="eastAsia" w:ascii="仿宋_GB2312" w:eastAsia="仿宋_GB2312"/>
              </w:rPr>
              <w:t>公务接待费支出</w:t>
            </w:r>
          </w:p>
        </w:tc>
        <w:tc>
          <w:tcPr>
            <w:tcW w:w="192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201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162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2025" w:type="dxa"/>
          </w:tcPr>
          <w:p>
            <w:pPr>
              <w:spacing w:line="560" w:lineRule="exact"/>
              <w:jc w:val="center"/>
              <w:rPr>
                <w:rFonts w:ascii="仿宋" w:hAnsi="仿宋" w:eastAsia="仿宋"/>
                <w:kern w:val="0"/>
                <w:sz w:val="32"/>
                <w:szCs w:val="32"/>
              </w:rPr>
            </w:pPr>
            <w:r>
              <w:rPr>
                <w:rFonts w:hint="eastAsia" w:ascii="仿宋_GB2312" w:eastAsia="仿宋_GB2312"/>
                <w:sz w:val="24"/>
              </w:rPr>
              <w:t>无增减变化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90" w:type="dxa"/>
          </w:tcPr>
          <w:p>
            <w:pPr>
              <w:spacing w:line="560" w:lineRule="exact"/>
              <w:jc w:val="center"/>
              <w:rPr>
                <w:rFonts w:ascii="仿宋" w:hAnsi="仿宋" w:eastAsia="仿宋"/>
                <w:kern w:val="0"/>
              </w:rPr>
            </w:pPr>
            <w:r>
              <w:rPr>
                <w:rFonts w:hint="eastAsia" w:ascii="仿宋_GB2312" w:eastAsia="仿宋_GB2312"/>
              </w:rPr>
              <w:t>因公出国经费</w:t>
            </w:r>
          </w:p>
        </w:tc>
        <w:tc>
          <w:tcPr>
            <w:tcW w:w="192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201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1620" w:type="dxa"/>
          </w:tcPr>
          <w:p>
            <w:pPr>
              <w:spacing w:line="560" w:lineRule="exact"/>
              <w:jc w:val="center"/>
              <w:rPr>
                <w:rFonts w:ascii="仿宋" w:hAnsi="仿宋" w:eastAsia="仿宋"/>
                <w:kern w:val="0"/>
                <w:sz w:val="32"/>
                <w:szCs w:val="32"/>
              </w:rPr>
            </w:pPr>
            <w:r>
              <w:rPr>
                <w:rFonts w:hint="eastAsia" w:ascii="仿宋_GB2312" w:eastAsia="仿宋_GB2312"/>
                <w:sz w:val="24"/>
              </w:rPr>
              <w:t>0</w:t>
            </w:r>
          </w:p>
        </w:tc>
        <w:tc>
          <w:tcPr>
            <w:tcW w:w="2025" w:type="dxa"/>
          </w:tcPr>
          <w:p>
            <w:pPr>
              <w:spacing w:line="560" w:lineRule="exact"/>
              <w:jc w:val="center"/>
              <w:rPr>
                <w:rFonts w:ascii="仿宋" w:hAnsi="仿宋" w:eastAsia="仿宋"/>
                <w:kern w:val="0"/>
                <w:sz w:val="32"/>
                <w:szCs w:val="32"/>
              </w:rPr>
            </w:pPr>
            <w:r>
              <w:rPr>
                <w:rFonts w:hint="eastAsia" w:ascii="仿宋_GB2312" w:eastAsia="仿宋_GB2312"/>
                <w:sz w:val="24"/>
              </w:rPr>
              <w:t>无增减变化</w:t>
            </w:r>
          </w:p>
        </w:tc>
      </w:tr>
    </w:tbl>
    <w:p>
      <w:pPr>
        <w:widowControl/>
        <w:autoSpaceDE w:val="0"/>
        <w:spacing w:line="500" w:lineRule="exact"/>
        <w:ind w:firstLine="630" w:firstLineChars="196"/>
        <w:rPr>
          <w:rFonts w:ascii="仿宋" w:hAnsi="仿宋" w:eastAsia="仿宋"/>
          <w:b/>
          <w:bCs/>
          <w:kern w:val="0"/>
          <w:sz w:val="32"/>
          <w:szCs w:val="32"/>
        </w:rPr>
      </w:pPr>
      <w:r>
        <w:rPr>
          <w:rFonts w:hint="eastAsia" w:ascii="仿宋" w:hAnsi="仿宋" w:eastAsia="仿宋"/>
          <w:b/>
          <w:bCs/>
          <w:kern w:val="0"/>
          <w:sz w:val="32"/>
          <w:szCs w:val="32"/>
        </w:rPr>
        <w:t>五、绩效预算信息情况</w:t>
      </w:r>
    </w:p>
    <w:p>
      <w:pPr>
        <w:ind w:firstLine="640" w:firstLineChars="200"/>
        <w:rPr>
          <w:rFonts w:ascii="仿宋" w:hAnsi="仿宋" w:eastAsia="仿宋"/>
          <w:sz w:val="32"/>
          <w:szCs w:val="32"/>
        </w:rPr>
      </w:pPr>
      <w:r>
        <w:rPr>
          <w:rFonts w:hint="eastAsia" w:ascii="仿宋" w:hAnsi="仿宋" w:eastAsia="仿宋"/>
          <w:sz w:val="32"/>
          <w:szCs w:val="32"/>
        </w:rPr>
        <w:t>第一部分  部门整体绩效目标</w:t>
      </w:r>
    </w:p>
    <w:p>
      <w:pPr>
        <w:ind w:firstLine="640" w:firstLineChars="200"/>
        <w:jc w:val="left"/>
        <w:outlineLvl w:val="1"/>
        <w:rPr>
          <w:rFonts w:ascii="仿宋" w:hAnsi="仿宋" w:eastAsia="仿宋"/>
          <w:sz w:val="32"/>
          <w:szCs w:val="32"/>
        </w:rPr>
      </w:pPr>
      <w:r>
        <w:rPr>
          <w:rFonts w:hint="eastAsia" w:ascii="仿宋" w:hAnsi="仿宋" w:eastAsia="仿宋"/>
          <w:sz w:val="32"/>
          <w:szCs w:val="32"/>
        </w:rPr>
        <w:t>一、总体绩效目标</w:t>
      </w:r>
      <w:r>
        <w:rPr>
          <w:rFonts w:hint="eastAsia" w:ascii="仿宋" w:hAnsi="仿宋" w:eastAsia="仿宋"/>
          <w:sz w:val="32"/>
          <w:szCs w:val="32"/>
        </w:rPr>
        <w:fldChar w:fldCharType="begin"/>
      </w:r>
      <w:r>
        <w:rPr>
          <w:rFonts w:hint="eastAsia" w:ascii="仿宋" w:hAnsi="仿宋" w:eastAsia="仿宋"/>
          <w:sz w:val="32"/>
          <w:szCs w:val="32"/>
        </w:rPr>
        <w:instrText xml:space="preserve"> TC </w:instrText>
      </w:r>
      <w:bookmarkStart w:id="0" w:name="_Toc30000173"/>
      <w:r>
        <w:rPr>
          <w:rFonts w:hint="eastAsia" w:ascii="仿宋" w:hAnsi="仿宋" w:eastAsia="仿宋"/>
          <w:sz w:val="32"/>
          <w:szCs w:val="32"/>
        </w:rPr>
        <w:instrText xml:space="preserve">总体绩效目标</w:instrText>
      </w:r>
      <w:bookmarkEnd w:id="0"/>
      <w:r>
        <w:rPr>
          <w:rFonts w:hint="eastAsia" w:ascii="仿宋" w:hAnsi="仿宋" w:eastAsia="仿宋"/>
          <w:sz w:val="32"/>
          <w:szCs w:val="32"/>
        </w:rPr>
        <w:instrText xml:space="preserve"> \f A \l 1 </w:instrText>
      </w:r>
      <w:r>
        <w:rPr>
          <w:rFonts w:hint="eastAsia" w:ascii="仿宋" w:hAnsi="仿宋" w:eastAsia="仿宋"/>
          <w:sz w:val="32"/>
          <w:szCs w:val="32"/>
        </w:rPr>
        <w:fldChar w:fldCharType="end"/>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坚持以习近平新时代中国特色社会主义思想为主线，始终围绕</w:t>
      </w:r>
      <w:r>
        <w:rPr>
          <w:rFonts w:ascii="仿宋" w:hAnsi="仿宋" w:eastAsia="仿宋"/>
          <w:sz w:val="32"/>
          <w:szCs w:val="32"/>
        </w:rPr>
        <w:t>“</w:t>
      </w:r>
      <w:r>
        <w:rPr>
          <w:rFonts w:hint="eastAsia" w:ascii="仿宋" w:hAnsi="仿宋" w:eastAsia="仿宋"/>
          <w:sz w:val="32"/>
          <w:szCs w:val="32"/>
        </w:rPr>
        <w:t>党政所需、妇儿所盼、妇联所能</w:t>
      </w:r>
      <w:r>
        <w:rPr>
          <w:rFonts w:ascii="仿宋" w:hAnsi="仿宋" w:eastAsia="仿宋"/>
          <w:sz w:val="32"/>
          <w:szCs w:val="32"/>
        </w:rPr>
        <w:t>”</w:t>
      </w:r>
      <w:r>
        <w:rPr>
          <w:rFonts w:hint="eastAsia" w:ascii="仿宋" w:hAnsi="仿宋" w:eastAsia="仿宋"/>
          <w:sz w:val="32"/>
          <w:szCs w:val="32"/>
        </w:rPr>
        <w:t>之根本，与时俱进、不断创新，打造妇字品牌，为推动涞水经济社会各项事业发展，奉献巾帼之力，彰显巾帼之美。按照</w:t>
      </w:r>
      <w:r>
        <w:rPr>
          <w:rFonts w:ascii="仿宋" w:hAnsi="仿宋" w:eastAsia="仿宋"/>
          <w:sz w:val="32"/>
          <w:szCs w:val="32"/>
        </w:rPr>
        <w:t>“</w:t>
      </w:r>
      <w:r>
        <w:rPr>
          <w:rFonts w:hint="eastAsia" w:ascii="仿宋" w:hAnsi="仿宋" w:eastAsia="仿宋"/>
          <w:sz w:val="32"/>
          <w:szCs w:val="32"/>
        </w:rPr>
        <w:t>三定方案</w:t>
      </w:r>
      <w:r>
        <w:rPr>
          <w:rFonts w:ascii="仿宋" w:hAnsi="仿宋" w:eastAsia="仿宋"/>
          <w:sz w:val="32"/>
          <w:szCs w:val="32"/>
        </w:rPr>
        <w:t>”</w:t>
      </w:r>
      <w:r>
        <w:rPr>
          <w:rFonts w:hint="eastAsia" w:ascii="仿宋" w:hAnsi="仿宋" w:eastAsia="仿宋"/>
          <w:sz w:val="32"/>
          <w:szCs w:val="32"/>
        </w:rPr>
        <w:t>要求，结合县委、</w:t>
      </w:r>
      <w:r>
        <w:rPr>
          <w:rFonts w:hint="eastAsia" w:ascii="仿宋" w:hAnsi="仿宋" w:eastAsia="仿宋"/>
          <w:sz w:val="32"/>
          <w:szCs w:val="32"/>
          <w:lang w:val="en-US" w:eastAsia="zh-CN"/>
        </w:rPr>
        <w:t>县</w:t>
      </w:r>
      <w:r>
        <w:rPr>
          <w:rFonts w:hint="eastAsia" w:ascii="仿宋" w:hAnsi="仿宋" w:eastAsia="仿宋"/>
          <w:sz w:val="32"/>
          <w:szCs w:val="32"/>
        </w:rPr>
        <w:t>政府中心工作以及上级妇联主题活动，预计本年度我部门重点推进以下工作：一是组织开展三八纪念活动、六一庆祝活动，配合政府完成精准扶贫工作帮扶任务、创建文明县城等中心工作，扎实推进基层妇联组织建设、妇女之家阵地建设、妇女儿童两个规划实施、维护妇女儿童合法权益等综合业务工作；二是加大普法力度，营造男女平等的良好社会氛围，举办法律宣传活动和培训班，教育广大妇女自觉守法、学法、用法，依法维护自身的合法权益，切实将法制宣传与维权服务送到广大妇女身边；三是按照实施乡村振兴战略和农村人居环境整治三年行动的部署，引领妇女和家庭建立科学文明生活方式，在庭院整洁有序、绿化美化的基础上，突出特色品牌，打造示范典型，全面升级</w:t>
      </w:r>
      <w:r>
        <w:rPr>
          <w:rFonts w:ascii="仿宋" w:hAnsi="仿宋" w:eastAsia="仿宋"/>
          <w:sz w:val="32"/>
          <w:szCs w:val="32"/>
        </w:rPr>
        <w:t>“</w:t>
      </w:r>
      <w:r>
        <w:rPr>
          <w:rFonts w:hint="eastAsia" w:ascii="仿宋" w:hAnsi="仿宋" w:eastAsia="仿宋"/>
          <w:sz w:val="32"/>
          <w:szCs w:val="32"/>
        </w:rPr>
        <w:t>美丽庭院</w:t>
      </w:r>
      <w:r>
        <w:rPr>
          <w:rFonts w:ascii="仿宋" w:hAnsi="仿宋" w:eastAsia="仿宋"/>
          <w:sz w:val="32"/>
          <w:szCs w:val="32"/>
        </w:rPr>
        <w:t>”</w:t>
      </w:r>
      <w:r>
        <w:rPr>
          <w:rFonts w:hint="eastAsia" w:ascii="仿宋" w:hAnsi="仿宋" w:eastAsia="仿宋"/>
          <w:sz w:val="32"/>
          <w:szCs w:val="32"/>
        </w:rPr>
        <w:t>创建工作。</w:t>
      </w:r>
    </w:p>
    <w:p>
      <w:pPr>
        <w:spacing w:line="500" w:lineRule="exact"/>
        <w:ind w:firstLine="640" w:firstLineChars="200"/>
        <w:jc w:val="left"/>
        <w:outlineLvl w:val="1"/>
        <w:rPr>
          <w:rFonts w:ascii="仿宋" w:hAnsi="仿宋" w:eastAsia="仿宋"/>
          <w:sz w:val="32"/>
          <w:szCs w:val="32"/>
        </w:rPr>
      </w:pPr>
      <w:r>
        <w:rPr>
          <w:rFonts w:hint="eastAsia" w:ascii="仿宋" w:hAnsi="仿宋" w:eastAsia="仿宋"/>
          <w:sz w:val="32"/>
          <w:szCs w:val="32"/>
        </w:rPr>
        <w:t>二、分项绩效目标</w:t>
      </w:r>
      <w:r>
        <w:rPr>
          <w:rFonts w:hint="eastAsia" w:ascii="仿宋" w:hAnsi="仿宋" w:eastAsia="仿宋"/>
          <w:sz w:val="32"/>
          <w:szCs w:val="32"/>
        </w:rPr>
        <w:fldChar w:fldCharType="begin"/>
      </w:r>
      <w:r>
        <w:rPr>
          <w:rFonts w:hint="eastAsia" w:ascii="仿宋" w:hAnsi="仿宋" w:eastAsia="仿宋"/>
          <w:sz w:val="32"/>
          <w:szCs w:val="32"/>
        </w:rPr>
        <w:instrText xml:space="preserve"> TC </w:instrText>
      </w:r>
      <w:bookmarkStart w:id="1" w:name="_Toc30000174"/>
      <w:r>
        <w:rPr>
          <w:rFonts w:hint="eastAsia" w:ascii="仿宋" w:hAnsi="仿宋" w:eastAsia="仿宋"/>
          <w:sz w:val="32"/>
          <w:szCs w:val="32"/>
        </w:rPr>
        <w:instrText xml:space="preserve">分项绩效目标</w:instrText>
      </w:r>
      <w:bookmarkEnd w:id="1"/>
      <w:r>
        <w:rPr>
          <w:rFonts w:hint="eastAsia" w:ascii="仿宋" w:hAnsi="仿宋" w:eastAsia="仿宋"/>
          <w:sz w:val="32"/>
          <w:szCs w:val="32"/>
        </w:rPr>
        <w:instrText xml:space="preserve"> \f A \l 1 </w:instrText>
      </w:r>
      <w:r>
        <w:rPr>
          <w:rFonts w:hint="eastAsia" w:ascii="仿宋" w:hAnsi="仿宋" w:eastAsia="仿宋"/>
          <w:sz w:val="32"/>
          <w:szCs w:val="32"/>
        </w:rPr>
        <w:fldChar w:fldCharType="end"/>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（一）妇联综合业务</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通过开展三八、六一活动，在全社会营造妇女优先、儿童优先的深厚氛围，助推妇女儿童两个规划实施。完善妇联三级组织，对妇联干部队伍进行业务培训，努力打造一支学习型、创新型、高素质的妇联干部队伍。</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绩效指标：组织三八、六一纪念活动等</w:t>
      </w:r>
      <w:r>
        <w:rPr>
          <w:rFonts w:ascii="仿宋" w:hAnsi="仿宋" w:eastAsia="仿宋"/>
          <w:sz w:val="32"/>
          <w:szCs w:val="32"/>
        </w:rPr>
        <w:t>10</w:t>
      </w:r>
      <w:r>
        <w:rPr>
          <w:rFonts w:hint="eastAsia" w:ascii="仿宋" w:hAnsi="仿宋" w:eastAsia="仿宋"/>
          <w:sz w:val="32"/>
          <w:szCs w:val="32"/>
        </w:rPr>
        <w:t>场；培训妇联干部</w:t>
      </w:r>
      <w:r>
        <w:rPr>
          <w:rFonts w:ascii="仿宋" w:hAnsi="仿宋" w:eastAsia="仿宋"/>
          <w:sz w:val="32"/>
          <w:szCs w:val="32"/>
        </w:rPr>
        <w:t>300</w:t>
      </w:r>
      <w:r>
        <w:rPr>
          <w:rFonts w:hint="eastAsia" w:ascii="仿宋" w:hAnsi="仿宋" w:eastAsia="仿宋"/>
          <w:sz w:val="32"/>
          <w:szCs w:val="32"/>
        </w:rPr>
        <w:t>人次。</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（二）妇女儿童维权服务</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绩效目标：开展三八维权周、宪法宣传日活动，发放普法宣传资料。组织法律知识宣讲、培训，向权益受到侵害的妇女提供法律援助。</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绩效指标：制作并发放法律宣传品</w:t>
      </w:r>
      <w:r>
        <w:rPr>
          <w:rFonts w:ascii="仿宋" w:hAnsi="仿宋" w:eastAsia="仿宋"/>
          <w:sz w:val="32"/>
          <w:szCs w:val="32"/>
        </w:rPr>
        <w:t>10000</w:t>
      </w:r>
      <w:r>
        <w:rPr>
          <w:rFonts w:hint="eastAsia" w:ascii="仿宋" w:hAnsi="仿宋" w:eastAsia="仿宋"/>
          <w:sz w:val="32"/>
          <w:szCs w:val="32"/>
        </w:rPr>
        <w:t>份；开展维权知识培训，受训人员达到</w:t>
      </w:r>
      <w:r>
        <w:rPr>
          <w:rFonts w:ascii="仿宋" w:hAnsi="仿宋" w:eastAsia="仿宋"/>
          <w:sz w:val="32"/>
          <w:szCs w:val="32"/>
        </w:rPr>
        <w:t>2000</w:t>
      </w:r>
      <w:r>
        <w:rPr>
          <w:rFonts w:hint="eastAsia" w:ascii="仿宋" w:hAnsi="仿宋" w:eastAsia="仿宋"/>
          <w:sz w:val="32"/>
          <w:szCs w:val="32"/>
        </w:rPr>
        <w:t>人次。</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（三）美丽庭院创建工作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绩效目标：提高妇女素质，弘扬良好家风，提高农民生活品质，庭院达到</w:t>
      </w:r>
      <w:r>
        <w:rPr>
          <w:rFonts w:ascii="仿宋" w:hAnsi="仿宋" w:eastAsia="仿宋"/>
          <w:sz w:val="32"/>
          <w:szCs w:val="32"/>
        </w:rPr>
        <w:t>“</w:t>
      </w:r>
      <w:r>
        <w:rPr>
          <w:rFonts w:hint="eastAsia" w:ascii="仿宋" w:hAnsi="仿宋" w:eastAsia="仿宋"/>
          <w:sz w:val="32"/>
          <w:szCs w:val="32"/>
        </w:rPr>
        <w:t>五美</w:t>
      </w:r>
      <w:r>
        <w:rPr>
          <w:rFonts w:ascii="仿宋" w:hAnsi="仿宋" w:eastAsia="仿宋"/>
          <w:sz w:val="32"/>
          <w:szCs w:val="32"/>
        </w:rPr>
        <w:t>”</w:t>
      </w:r>
      <w:r>
        <w:rPr>
          <w:rFonts w:hint="eastAsia" w:ascii="仿宋" w:hAnsi="仿宋" w:eastAsia="仿宋"/>
          <w:sz w:val="32"/>
          <w:szCs w:val="32"/>
        </w:rPr>
        <w:t>标准；建设</w:t>
      </w:r>
      <w:r>
        <w:rPr>
          <w:rFonts w:ascii="仿宋" w:hAnsi="仿宋" w:eastAsia="仿宋"/>
          <w:sz w:val="32"/>
          <w:szCs w:val="32"/>
        </w:rPr>
        <w:t>“</w:t>
      </w:r>
      <w:r>
        <w:rPr>
          <w:rFonts w:hint="eastAsia" w:ascii="仿宋" w:hAnsi="仿宋" w:eastAsia="仿宋"/>
          <w:sz w:val="32"/>
          <w:szCs w:val="32"/>
        </w:rPr>
        <w:t>美丽庭院</w:t>
      </w:r>
      <w:r>
        <w:rPr>
          <w:rFonts w:ascii="仿宋" w:hAnsi="仿宋" w:eastAsia="仿宋"/>
          <w:sz w:val="32"/>
          <w:szCs w:val="32"/>
        </w:rPr>
        <w:t>”16300</w:t>
      </w:r>
      <w:r>
        <w:rPr>
          <w:rFonts w:hint="eastAsia" w:ascii="仿宋" w:hAnsi="仿宋" w:eastAsia="仿宋"/>
          <w:sz w:val="32"/>
          <w:szCs w:val="32"/>
        </w:rPr>
        <w:t>个，建设</w:t>
      </w:r>
      <w:r>
        <w:rPr>
          <w:rFonts w:ascii="仿宋" w:hAnsi="仿宋" w:eastAsia="仿宋"/>
          <w:sz w:val="32"/>
          <w:szCs w:val="32"/>
        </w:rPr>
        <w:t>“</w:t>
      </w:r>
      <w:r>
        <w:rPr>
          <w:rFonts w:hint="eastAsia" w:ascii="仿宋" w:hAnsi="仿宋" w:eastAsia="仿宋"/>
          <w:sz w:val="32"/>
          <w:szCs w:val="32"/>
        </w:rPr>
        <w:t>精品庭院</w:t>
      </w:r>
      <w:r>
        <w:rPr>
          <w:rFonts w:ascii="仿宋" w:hAnsi="仿宋" w:eastAsia="仿宋"/>
          <w:sz w:val="32"/>
          <w:szCs w:val="32"/>
        </w:rPr>
        <w:t>”3700</w:t>
      </w:r>
      <w:r>
        <w:rPr>
          <w:rFonts w:hint="eastAsia" w:ascii="仿宋" w:hAnsi="仿宋" w:eastAsia="仿宋"/>
          <w:sz w:val="32"/>
          <w:szCs w:val="32"/>
        </w:rPr>
        <w:t>个。</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绩效指标：组织美丽庭院标准培训班</w:t>
      </w:r>
      <w:r>
        <w:rPr>
          <w:rFonts w:ascii="仿宋" w:hAnsi="仿宋" w:eastAsia="仿宋"/>
          <w:sz w:val="32"/>
          <w:szCs w:val="32"/>
        </w:rPr>
        <w:t>30</w:t>
      </w:r>
      <w:r>
        <w:rPr>
          <w:rFonts w:hint="eastAsia" w:ascii="仿宋" w:hAnsi="仿宋" w:eastAsia="仿宋"/>
          <w:sz w:val="32"/>
          <w:szCs w:val="32"/>
        </w:rPr>
        <w:t>场；评选美丽庭院</w:t>
      </w:r>
      <w:r>
        <w:rPr>
          <w:rFonts w:ascii="仿宋" w:hAnsi="仿宋" w:eastAsia="仿宋"/>
          <w:sz w:val="32"/>
          <w:szCs w:val="32"/>
        </w:rPr>
        <w:t>20000</w:t>
      </w:r>
      <w:r>
        <w:rPr>
          <w:rFonts w:hint="eastAsia" w:ascii="仿宋" w:hAnsi="仿宋" w:eastAsia="仿宋"/>
          <w:sz w:val="32"/>
          <w:szCs w:val="32"/>
        </w:rPr>
        <w:t>户。</w:t>
      </w:r>
    </w:p>
    <w:p>
      <w:pPr>
        <w:spacing w:line="500" w:lineRule="exact"/>
        <w:ind w:firstLine="640" w:firstLineChars="200"/>
        <w:jc w:val="left"/>
        <w:outlineLvl w:val="1"/>
        <w:rPr>
          <w:rFonts w:ascii="仿宋" w:hAnsi="仿宋" w:eastAsia="仿宋"/>
          <w:sz w:val="32"/>
          <w:szCs w:val="32"/>
        </w:rPr>
      </w:pPr>
      <w:r>
        <w:rPr>
          <w:rFonts w:hint="eastAsia" w:ascii="仿宋" w:hAnsi="仿宋" w:eastAsia="仿宋"/>
          <w:sz w:val="32"/>
          <w:szCs w:val="32"/>
        </w:rPr>
        <w:t>三、工作保障措施</w:t>
      </w:r>
      <w:r>
        <w:rPr>
          <w:rFonts w:hint="eastAsia" w:ascii="仿宋" w:hAnsi="仿宋" w:eastAsia="仿宋"/>
          <w:sz w:val="32"/>
          <w:szCs w:val="32"/>
        </w:rPr>
        <w:fldChar w:fldCharType="begin"/>
      </w:r>
      <w:r>
        <w:rPr>
          <w:rFonts w:hint="eastAsia" w:ascii="仿宋" w:hAnsi="仿宋" w:eastAsia="仿宋"/>
          <w:sz w:val="32"/>
          <w:szCs w:val="32"/>
        </w:rPr>
        <w:instrText xml:space="preserve"> TC </w:instrText>
      </w:r>
      <w:bookmarkStart w:id="2" w:name="_Toc30000175"/>
      <w:r>
        <w:rPr>
          <w:rFonts w:hint="eastAsia" w:ascii="仿宋" w:hAnsi="仿宋" w:eastAsia="仿宋"/>
          <w:sz w:val="32"/>
          <w:szCs w:val="32"/>
        </w:rPr>
        <w:instrText xml:space="preserve">工作保障措施</w:instrText>
      </w:r>
      <w:bookmarkEnd w:id="2"/>
      <w:r>
        <w:rPr>
          <w:rFonts w:hint="eastAsia" w:ascii="仿宋" w:hAnsi="仿宋" w:eastAsia="仿宋"/>
          <w:sz w:val="32"/>
          <w:szCs w:val="32"/>
        </w:rPr>
        <w:instrText xml:space="preserve"> \f A \l 1 </w:instrText>
      </w:r>
      <w:r>
        <w:rPr>
          <w:rFonts w:hint="eastAsia" w:ascii="仿宋" w:hAnsi="仿宋" w:eastAsia="仿宋"/>
          <w:sz w:val="32"/>
          <w:szCs w:val="32"/>
        </w:rPr>
        <w:fldChar w:fldCharType="end"/>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为保障年度工作计划顺利推行，我部门制定完善了预算绩效管理制度、资金管理办法、工作保障制度等，为全年预算绩效目标的实现奠定制度基础。</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加强宣传培训调研。加强人员培训，提高本部门职工业务素质；加强调研，提出优化财政资金配置、提高资金使用效益的意见；加大宣传力度，强化预算绩效管理意识，促进预算绩效管理水平进一步提升。</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加强支出管理。通过优化支出结构、编细编实预算、加快履行政府采购手续、尽快启动项目、及时支付资金、</w:t>
      </w:r>
      <w:r>
        <w:rPr>
          <w:rFonts w:ascii="仿宋" w:hAnsi="仿宋" w:eastAsia="仿宋"/>
          <w:sz w:val="32"/>
          <w:szCs w:val="32"/>
        </w:rPr>
        <w:t>6</w:t>
      </w:r>
      <w:r>
        <w:rPr>
          <w:rFonts w:hint="eastAsia" w:ascii="仿宋" w:hAnsi="仿宋" w:eastAsia="仿宋"/>
          <w:sz w:val="32"/>
          <w:szCs w:val="32"/>
        </w:rPr>
        <w:t>月底前细化代编预算、按规定及时下达资金等多种措施，确保支出进度达标。</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480" w:firstLineChars="150"/>
        <w:jc w:val="left"/>
        <w:rPr>
          <w:rFonts w:ascii="仿宋" w:hAnsi="仿宋" w:eastAsia="仿宋"/>
          <w:sz w:val="32"/>
          <w:szCs w:val="32"/>
        </w:rPr>
      </w:pPr>
      <w:r>
        <w:rPr>
          <w:rFonts w:hint="eastAsia" w:ascii="仿宋" w:hAnsi="仿宋" w:eastAsia="仿宋"/>
          <w:sz w:val="32"/>
          <w:szCs w:val="32"/>
        </w:rPr>
        <w:t>第二部分 专项资金绩效目标</w:t>
      </w:r>
    </w:p>
    <w:p>
      <w:pPr>
        <w:jc w:val="center"/>
        <w:rPr>
          <w:rFonts w:ascii="Calibri" w:hAnsi="Calibri"/>
        </w:rPr>
      </w:pPr>
    </w:p>
    <w:p>
      <w:pPr>
        <w:ind w:firstLine="562" w:firstLineChars="200"/>
        <w:jc w:val="left"/>
        <w:outlineLvl w:val="1"/>
        <w:rPr>
          <w:rFonts w:ascii="Times New Roman" w:hAnsi="宋体"/>
          <w:b/>
          <w:sz w:val="28"/>
        </w:rPr>
      </w:pPr>
      <w:r>
        <w:rPr>
          <w:rFonts w:hint="eastAsia" w:ascii="方正仿宋_GBK" w:eastAsia="方正仿宋_GBK"/>
          <w:b/>
          <w:sz w:val="28"/>
        </w:rPr>
        <w:t>1、美丽庭院创建经费绩效目标表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3" w:name="_Toc30000176"/>
      <w:r>
        <w:rPr>
          <w:rFonts w:hint="eastAsia" w:ascii="方正仿宋_GBK" w:eastAsia="方正仿宋_GBK"/>
          <w:b/>
          <w:sz w:val="28"/>
        </w:rPr>
        <w:instrText xml:space="preserve">1、美丽庭院创建经费绩效目标表</w:instrText>
      </w:r>
      <w:bookmarkEnd w:id="3"/>
      <w:r>
        <w:rPr>
          <w:rFonts w:hint="eastAsia" w:ascii="方正仿宋_GBK" w:eastAsia="方正仿宋_GBK"/>
          <w:b/>
          <w:sz w:val="28"/>
        </w:rPr>
        <w:instrText xml:space="preserve"> \f B \l 1 </w:instrText>
      </w:r>
      <w:r>
        <w:rPr>
          <w:rFonts w:hint="eastAsia" w:ascii="方正仿宋_GBK" w:eastAsia="方正仿宋_GBK"/>
          <w:b/>
          <w:sz w:val="28"/>
        </w:rPr>
        <w:fldChar w:fldCharType="end"/>
      </w:r>
    </w:p>
    <w:tbl>
      <w:tblPr>
        <w:tblStyle w:val="5"/>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5"/>
        <w:gridCol w:w="1586"/>
        <w:gridCol w:w="1303"/>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05" w:type="dxa"/>
            <w:gridSpan w:val="6"/>
            <w:tcBorders>
              <w:top w:val="single" w:color="FFFFFF" w:sz="6" w:space="0"/>
              <w:left w:val="single" w:color="FFFFFF" w:sz="6" w:space="0"/>
              <w:bottom w:val="single" w:color="000000" w:sz="6" w:space="0"/>
              <w:right w:val="single" w:color="FFFFFF" w:sz="6" w:space="0"/>
            </w:tcBorders>
            <w:vAlign w:val="center"/>
          </w:tcPr>
          <w:p>
            <w:pPr>
              <w:spacing w:line="300" w:lineRule="exact"/>
              <w:jc w:val="left"/>
              <w:rPr>
                <w:rFonts w:ascii="方正书宋_GBK" w:eastAsia="方正书宋_GBK" w:cs="Times New Roman"/>
                <w:b/>
                <w:szCs w:val="22"/>
              </w:rPr>
            </w:pPr>
          </w:p>
        </w:tc>
        <w:tc>
          <w:tcPr>
            <w:tcW w:w="1700" w:type="dxa"/>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方正书宋_GBK" w:eastAsia="方正书宋_GBK" w:cs="Times New Roman"/>
                <w:szCs w:val="22"/>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项目编码</w:t>
            </w:r>
          </w:p>
        </w:tc>
        <w:tc>
          <w:tcPr>
            <w:tcW w:w="240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000-9999-JSN-00VB</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专项资金名称</w:t>
            </w:r>
          </w:p>
        </w:tc>
        <w:tc>
          <w:tcPr>
            <w:tcW w:w="4278"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美丽庭院创建经费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预算规模及资金用途</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预算数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3.00</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其中：财政资金</w:t>
            </w:r>
          </w:p>
        </w:tc>
        <w:tc>
          <w:tcPr>
            <w:tcW w:w="13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3.00</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其他资金</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b/>
                <w:szCs w:val="22"/>
              </w:rPr>
            </w:pPr>
          </w:p>
        </w:tc>
        <w:tc>
          <w:tcPr>
            <w:tcW w:w="8272" w:type="dxa"/>
            <w:gridSpan w:val="6"/>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1.办好妇女讲习所。2.宣传。3.挂牌表彰。4.组织观摩。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资金支出计划（%）</w:t>
            </w:r>
          </w:p>
        </w:tc>
        <w:tc>
          <w:tcPr>
            <w:tcW w:w="240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3月底</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6月底</w:t>
            </w:r>
          </w:p>
        </w:tc>
        <w:tc>
          <w:tcPr>
            <w:tcW w:w="13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10月底</w:t>
            </w:r>
          </w:p>
        </w:tc>
        <w:tc>
          <w:tcPr>
            <w:tcW w:w="297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b/>
                <w:szCs w:val="22"/>
              </w:rPr>
            </w:pPr>
          </w:p>
        </w:tc>
        <w:tc>
          <w:tcPr>
            <w:tcW w:w="240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50.00</w:t>
            </w:r>
          </w:p>
        </w:tc>
        <w:tc>
          <w:tcPr>
            <w:tcW w:w="13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50.00</w:t>
            </w:r>
          </w:p>
        </w:tc>
        <w:tc>
          <w:tcPr>
            <w:tcW w:w="297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绩效目标</w:t>
            </w:r>
          </w:p>
        </w:tc>
        <w:tc>
          <w:tcPr>
            <w:tcW w:w="8272" w:type="dxa"/>
            <w:gridSpan w:val="6"/>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szCs w:val="22"/>
              </w:rPr>
            </w:pPr>
            <w:r>
              <w:rPr>
                <w:rFonts w:hint="eastAsia" w:ascii="方正书宋_GBK" w:eastAsia="方正书宋_GBK"/>
              </w:rPr>
              <w:t>1、提高妇女素质，弘扬良好家风，提高农民生活品质，庭院达到</w:t>
            </w:r>
            <w:r>
              <w:rPr>
                <w:rFonts w:ascii="方正书宋_GBK" w:eastAsia="方正书宋_GBK"/>
              </w:rPr>
              <w:t>“</w:t>
            </w:r>
            <w:r>
              <w:rPr>
                <w:rFonts w:hint="eastAsia" w:ascii="方正书宋_GBK" w:eastAsia="方正书宋_GBK"/>
              </w:rPr>
              <w:t>五美</w:t>
            </w:r>
            <w:r>
              <w:rPr>
                <w:rFonts w:ascii="方正书宋_GBK" w:eastAsia="方正书宋_GBK"/>
              </w:rPr>
              <w:t>”</w:t>
            </w:r>
            <w:r>
              <w:rPr>
                <w:rFonts w:hint="eastAsia" w:ascii="方正书宋_GBK" w:eastAsia="方正书宋_GBK"/>
              </w:rPr>
              <w:t>标准。</w:t>
            </w:r>
          </w:p>
          <w:p>
            <w:pPr>
              <w:spacing w:line="300" w:lineRule="exact"/>
              <w:jc w:val="left"/>
              <w:rPr>
                <w:rFonts w:ascii="方正书宋_GBK" w:eastAsia="方正书宋_GBK" w:cs="Times New Roman"/>
                <w:szCs w:val="22"/>
              </w:rPr>
            </w:pPr>
            <w:r>
              <w:rPr>
                <w:rFonts w:hint="eastAsia" w:ascii="方正书宋_GBK" w:eastAsia="方正书宋_GBK"/>
              </w:rPr>
              <w:t>2、建设</w:t>
            </w:r>
            <w:r>
              <w:rPr>
                <w:rFonts w:ascii="方正书宋_GBK" w:eastAsia="方正书宋_GBK"/>
              </w:rPr>
              <w:t>“</w:t>
            </w:r>
            <w:r>
              <w:rPr>
                <w:rFonts w:hint="eastAsia" w:ascii="方正书宋_GBK" w:eastAsia="方正书宋_GBK"/>
              </w:rPr>
              <w:t>美丽庭院</w:t>
            </w:r>
            <w:r>
              <w:rPr>
                <w:rFonts w:ascii="方正书宋_GBK" w:eastAsia="方正书宋_GBK"/>
              </w:rPr>
              <w:t>”</w:t>
            </w:r>
            <w:r>
              <w:rPr>
                <w:rFonts w:hint="eastAsia" w:ascii="方正书宋_GBK" w:eastAsia="方正书宋_GBK"/>
              </w:rPr>
              <w:t>16300个，建设</w:t>
            </w:r>
            <w:r>
              <w:rPr>
                <w:rFonts w:ascii="方正书宋_GBK" w:eastAsia="方正书宋_GBK"/>
              </w:rPr>
              <w:t>“</w:t>
            </w:r>
            <w:r>
              <w:rPr>
                <w:rFonts w:hint="eastAsia" w:ascii="方正书宋_GBK" w:eastAsia="方正书宋_GBK"/>
              </w:rPr>
              <w:t>精品庭院</w:t>
            </w:r>
            <w:r>
              <w:rPr>
                <w:rFonts w:ascii="方正书宋_GBK" w:eastAsia="方正书宋_GBK"/>
              </w:rPr>
              <w:t>”</w:t>
            </w:r>
            <w:r>
              <w:rPr>
                <w:rFonts w:hint="eastAsia" w:ascii="方正书宋_GBK" w:eastAsia="方正书宋_GBK"/>
              </w:rPr>
              <w:t>3700个</w:t>
            </w:r>
          </w:p>
        </w:tc>
      </w:tr>
    </w:tbl>
    <w:p>
      <w:pPr>
        <w:spacing w:line="14" w:lineRule="exact"/>
        <w:ind w:firstLine="420" w:firstLineChars="200"/>
        <w:jc w:val="center"/>
        <w:rPr>
          <w:rFonts w:ascii="Times New Roman" w:hAnsi="宋体" w:cs="Times New Roman"/>
          <w:szCs w:val="22"/>
        </w:rPr>
      </w:pPr>
      <w:r>
        <w:rPr>
          <w:rFonts w:hint="eastAsia" w:ascii="方正书宋_GBK" w:eastAsia="方正书宋_GBK"/>
        </w:rPr>
        <w:t xml:space="preserve"> </w:t>
      </w:r>
    </w:p>
    <w:tbl>
      <w:tblPr>
        <w:tblStyle w:val="5"/>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组织美丽庭院标准培训班次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组织培训的班次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≥30场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评选美丽庭院户数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评选美丽庭院户数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≥20000户</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受训学员满意度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调查中满意和较满意的受训人员</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≥60百分比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创建活动参与率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参与创建活动的户数占全县总户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≥50百分比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农村妇女满意度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参与创建活动满意的农村妇女占活动妇女总数的百分比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≥30百分比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bl>
    <w:p>
      <w:pPr>
        <w:spacing w:line="300" w:lineRule="exact"/>
        <w:ind w:firstLine="420" w:firstLineChars="200"/>
        <w:jc w:val="left"/>
        <w:rPr>
          <w:rFonts w:ascii="Calibri" w:hAnsi="Calibri" w:cs="Times New Roman"/>
          <w:szCs w:val="22"/>
        </w:rPr>
      </w:pPr>
    </w:p>
    <w:p>
      <w:pPr>
        <w:ind w:firstLine="562" w:firstLineChars="200"/>
        <w:jc w:val="left"/>
        <w:outlineLvl w:val="1"/>
        <w:rPr>
          <w:rFonts w:ascii="Times New Roman" w:hAnsi="宋体"/>
          <w:b/>
          <w:sz w:val="28"/>
        </w:rPr>
      </w:pPr>
      <w:r>
        <w:rPr>
          <w:rFonts w:hint="eastAsia" w:ascii="方正仿宋_GBK" w:eastAsia="方正仿宋_GBK"/>
          <w:b/>
          <w:sz w:val="28"/>
        </w:rPr>
        <w:t>2、维权服务经费绩效目标表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4" w:name="_Toc30000177"/>
      <w:r>
        <w:rPr>
          <w:rFonts w:hint="eastAsia" w:ascii="方正仿宋_GBK" w:eastAsia="方正仿宋_GBK"/>
          <w:b/>
          <w:sz w:val="28"/>
        </w:rPr>
        <w:instrText xml:space="preserve">2、维权服务经费绩效目标表</w:instrText>
      </w:r>
      <w:bookmarkEnd w:id="4"/>
      <w:r>
        <w:rPr>
          <w:rFonts w:hint="eastAsia" w:ascii="方正仿宋_GBK" w:eastAsia="方正仿宋_GBK"/>
          <w:b/>
          <w:sz w:val="28"/>
        </w:rPr>
        <w:instrText xml:space="preserve"> \f B \l 1 </w:instrText>
      </w:r>
      <w:r>
        <w:rPr>
          <w:rFonts w:hint="eastAsia" w:ascii="方正仿宋_GBK" w:eastAsia="方正仿宋_GBK"/>
          <w:b/>
          <w:sz w:val="28"/>
        </w:rPr>
        <w:fldChar w:fldCharType="end"/>
      </w:r>
    </w:p>
    <w:tbl>
      <w:tblPr>
        <w:tblStyle w:val="5"/>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5"/>
        <w:gridCol w:w="1586"/>
        <w:gridCol w:w="1303"/>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05" w:type="dxa"/>
            <w:gridSpan w:val="6"/>
            <w:tcBorders>
              <w:top w:val="single" w:color="FFFFFF" w:sz="6" w:space="0"/>
              <w:left w:val="single" w:color="FFFFFF" w:sz="6" w:space="0"/>
              <w:bottom w:val="single" w:color="000000" w:sz="6" w:space="0"/>
              <w:right w:val="single" w:color="FFFFFF" w:sz="6" w:space="0"/>
            </w:tcBorders>
            <w:vAlign w:val="center"/>
          </w:tcPr>
          <w:p>
            <w:pPr>
              <w:spacing w:line="300" w:lineRule="exact"/>
              <w:jc w:val="left"/>
              <w:rPr>
                <w:rFonts w:ascii="方正书宋_GBK" w:eastAsia="方正书宋_GBK" w:cs="Times New Roman"/>
                <w:b/>
                <w:szCs w:val="22"/>
              </w:rPr>
            </w:pPr>
          </w:p>
        </w:tc>
        <w:tc>
          <w:tcPr>
            <w:tcW w:w="1700" w:type="dxa"/>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方正书宋_GBK" w:eastAsia="方正书宋_GBK" w:cs="Times New Roman"/>
                <w:szCs w:val="22"/>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项目编码</w:t>
            </w:r>
          </w:p>
        </w:tc>
        <w:tc>
          <w:tcPr>
            <w:tcW w:w="240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000-9999-JSN-XP84</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专项资金名称</w:t>
            </w:r>
          </w:p>
        </w:tc>
        <w:tc>
          <w:tcPr>
            <w:tcW w:w="4278"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维权服务经费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预算规模及资金用途</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预算数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1.00</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其中：财政资金</w:t>
            </w:r>
          </w:p>
        </w:tc>
        <w:tc>
          <w:tcPr>
            <w:tcW w:w="13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1.00</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其他资金</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b/>
                <w:szCs w:val="22"/>
              </w:rPr>
            </w:pPr>
          </w:p>
        </w:tc>
        <w:tc>
          <w:tcPr>
            <w:tcW w:w="8272" w:type="dxa"/>
            <w:gridSpan w:val="6"/>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1.开展三八维权周、宪法宣传日法律宣传活动。2.向权益受到侵害的妇女提供法律援助等方面的简易帮助。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资金支出计划（%）</w:t>
            </w:r>
          </w:p>
        </w:tc>
        <w:tc>
          <w:tcPr>
            <w:tcW w:w="240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3月底</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6月底</w:t>
            </w:r>
          </w:p>
        </w:tc>
        <w:tc>
          <w:tcPr>
            <w:tcW w:w="13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10月底</w:t>
            </w:r>
          </w:p>
        </w:tc>
        <w:tc>
          <w:tcPr>
            <w:tcW w:w="297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b/>
                <w:szCs w:val="22"/>
              </w:rPr>
            </w:pPr>
          </w:p>
        </w:tc>
        <w:tc>
          <w:tcPr>
            <w:tcW w:w="240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50.00</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50.00</w:t>
            </w:r>
          </w:p>
        </w:tc>
        <w:tc>
          <w:tcPr>
            <w:tcW w:w="13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50.00</w:t>
            </w:r>
          </w:p>
        </w:tc>
        <w:tc>
          <w:tcPr>
            <w:tcW w:w="297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绩效目标</w:t>
            </w:r>
          </w:p>
        </w:tc>
        <w:tc>
          <w:tcPr>
            <w:tcW w:w="8272" w:type="dxa"/>
            <w:gridSpan w:val="6"/>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szCs w:val="22"/>
              </w:rPr>
            </w:pPr>
            <w:r>
              <w:rPr>
                <w:rFonts w:hint="eastAsia" w:ascii="方正书宋_GBK" w:eastAsia="方正书宋_GBK"/>
              </w:rPr>
              <w:t>1、开展三八维权周、宪法宣传日活动，发放普法宣传品。</w:t>
            </w:r>
          </w:p>
          <w:p>
            <w:pPr>
              <w:spacing w:line="300" w:lineRule="exact"/>
              <w:jc w:val="left"/>
              <w:rPr>
                <w:rFonts w:ascii="方正书宋_GBK" w:eastAsia="方正书宋_GBK" w:cs="Times New Roman"/>
                <w:szCs w:val="22"/>
              </w:rPr>
            </w:pPr>
            <w:r>
              <w:rPr>
                <w:rFonts w:hint="eastAsia" w:ascii="方正书宋_GBK" w:eastAsia="方正书宋_GBK"/>
              </w:rPr>
              <w:t>2、组织法律知识宣讲、培训，向权益受到侵害的妇女提供法律援助。</w:t>
            </w:r>
          </w:p>
        </w:tc>
      </w:tr>
    </w:tbl>
    <w:p>
      <w:pPr>
        <w:spacing w:line="14" w:lineRule="exact"/>
        <w:ind w:firstLine="420" w:firstLineChars="200"/>
        <w:jc w:val="center"/>
        <w:rPr>
          <w:rFonts w:ascii="Times New Roman" w:hAnsi="宋体" w:cs="Times New Roman"/>
          <w:szCs w:val="22"/>
        </w:rPr>
      </w:pPr>
      <w:r>
        <w:rPr>
          <w:rFonts w:hint="eastAsia" w:ascii="方正书宋_GBK" w:eastAsia="方正书宋_GBK"/>
        </w:rPr>
        <w:t xml:space="preserve"> </w:t>
      </w:r>
    </w:p>
    <w:tbl>
      <w:tblPr>
        <w:tblStyle w:val="5"/>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制作法律宣传品数量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制作宣传的数量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≥10000份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参加维权知识培训人次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参加培训的人次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≥2000人次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妇女权益法律知识知晓率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调查中法律知识知晓的人数占调查总人数的百分比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≥50百分比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维权知识知晓率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调查中受训人员知晓数量点调查总受训人员的百分比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≥80百分比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调查中满意和较满意的人数占调查总人数的百分比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bl>
    <w:p>
      <w:pPr>
        <w:spacing w:line="300" w:lineRule="exact"/>
        <w:ind w:firstLine="420" w:firstLineChars="200"/>
        <w:jc w:val="left"/>
        <w:rPr>
          <w:rFonts w:ascii="Calibri" w:hAnsi="Calibri" w:cs="Times New Roman"/>
          <w:szCs w:val="22"/>
        </w:rPr>
      </w:pPr>
    </w:p>
    <w:p>
      <w:pPr>
        <w:ind w:firstLine="562" w:firstLineChars="200"/>
        <w:jc w:val="left"/>
        <w:outlineLvl w:val="1"/>
        <w:rPr>
          <w:rFonts w:ascii="Times New Roman" w:hAnsi="宋体"/>
          <w:b/>
          <w:sz w:val="28"/>
        </w:rPr>
      </w:pPr>
      <w:r>
        <w:rPr>
          <w:rFonts w:hint="eastAsia" w:ascii="方正仿宋_GBK" w:eastAsia="方正仿宋_GBK"/>
          <w:b/>
          <w:sz w:val="28"/>
        </w:rPr>
        <w:t>3、综合业务经费绩效目标表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5" w:name="_Toc30000178"/>
      <w:r>
        <w:rPr>
          <w:rFonts w:hint="eastAsia" w:ascii="方正仿宋_GBK" w:eastAsia="方正仿宋_GBK"/>
          <w:b/>
          <w:sz w:val="28"/>
        </w:rPr>
        <w:instrText xml:space="preserve">3、综合业务经费绩效目标表</w:instrText>
      </w:r>
      <w:bookmarkEnd w:id="5"/>
      <w:r>
        <w:rPr>
          <w:rFonts w:hint="eastAsia" w:ascii="方正仿宋_GBK" w:eastAsia="方正仿宋_GBK"/>
          <w:b/>
          <w:sz w:val="28"/>
        </w:rPr>
        <w:instrText xml:space="preserve"> \f B \l 1 </w:instrText>
      </w:r>
      <w:r>
        <w:rPr>
          <w:rFonts w:hint="eastAsia" w:ascii="方正仿宋_GBK" w:eastAsia="方正仿宋_GBK"/>
          <w:b/>
          <w:sz w:val="28"/>
        </w:rPr>
        <w:fldChar w:fldCharType="end"/>
      </w:r>
    </w:p>
    <w:tbl>
      <w:tblPr>
        <w:tblStyle w:val="5"/>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5"/>
        <w:gridCol w:w="1586"/>
        <w:gridCol w:w="1303"/>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05" w:type="dxa"/>
            <w:gridSpan w:val="6"/>
            <w:tcBorders>
              <w:top w:val="single" w:color="FFFFFF" w:sz="6" w:space="0"/>
              <w:left w:val="single" w:color="FFFFFF" w:sz="6" w:space="0"/>
              <w:bottom w:val="single" w:color="000000" w:sz="6" w:space="0"/>
              <w:right w:val="single" w:color="FFFFFF" w:sz="6" w:space="0"/>
            </w:tcBorders>
            <w:vAlign w:val="center"/>
          </w:tcPr>
          <w:p>
            <w:pPr>
              <w:spacing w:line="300" w:lineRule="exact"/>
              <w:jc w:val="left"/>
              <w:rPr>
                <w:rFonts w:ascii="方正书宋_GBK" w:eastAsia="方正书宋_GBK" w:cs="Times New Roman"/>
                <w:b/>
                <w:szCs w:val="22"/>
              </w:rPr>
            </w:pPr>
          </w:p>
        </w:tc>
        <w:tc>
          <w:tcPr>
            <w:tcW w:w="1700" w:type="dxa"/>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方正书宋_GBK" w:eastAsia="方正书宋_GBK" w:cs="Times New Roman"/>
                <w:szCs w:val="22"/>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项目编码</w:t>
            </w:r>
          </w:p>
        </w:tc>
        <w:tc>
          <w:tcPr>
            <w:tcW w:w="240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000-9999-JSN-F862</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专项资金名称</w:t>
            </w:r>
          </w:p>
        </w:tc>
        <w:tc>
          <w:tcPr>
            <w:tcW w:w="4278"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综合业务经费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预算规模及资金用途</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预算数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4.00</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其中：财政资金</w:t>
            </w:r>
          </w:p>
        </w:tc>
        <w:tc>
          <w:tcPr>
            <w:tcW w:w="13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4.00</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其他资金</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b/>
                <w:szCs w:val="22"/>
              </w:rPr>
            </w:pPr>
          </w:p>
        </w:tc>
        <w:tc>
          <w:tcPr>
            <w:tcW w:w="8272" w:type="dxa"/>
            <w:gridSpan w:val="6"/>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1.开展三八纪念活动。2.组织六一庆祝活动。3.完善妇联基层组织建设。4.推进妇女儿童两个规划实施。5.完成其它本职工作。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资金支出计划（%）</w:t>
            </w:r>
          </w:p>
        </w:tc>
        <w:tc>
          <w:tcPr>
            <w:tcW w:w="240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3月底</w:t>
            </w: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6月底</w:t>
            </w:r>
          </w:p>
        </w:tc>
        <w:tc>
          <w:tcPr>
            <w:tcW w:w="13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10月底</w:t>
            </w:r>
          </w:p>
        </w:tc>
        <w:tc>
          <w:tcPr>
            <w:tcW w:w="297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b/>
                <w:szCs w:val="22"/>
              </w:rPr>
            </w:pPr>
          </w:p>
        </w:tc>
        <w:tc>
          <w:tcPr>
            <w:tcW w:w="240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p>
        </w:tc>
        <w:tc>
          <w:tcPr>
            <w:tcW w:w="15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p>
        </w:tc>
        <w:tc>
          <w:tcPr>
            <w:tcW w:w="13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p>
        </w:tc>
        <w:tc>
          <w:tcPr>
            <w:tcW w:w="297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绩效目标</w:t>
            </w:r>
          </w:p>
        </w:tc>
        <w:tc>
          <w:tcPr>
            <w:tcW w:w="8272" w:type="dxa"/>
            <w:gridSpan w:val="6"/>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szCs w:val="22"/>
              </w:rPr>
            </w:pPr>
            <w:r>
              <w:rPr>
                <w:rFonts w:hint="eastAsia" w:ascii="方正书宋_GBK" w:eastAsia="方正书宋_GBK"/>
              </w:rPr>
              <w:t>1、通过开展三八、六一活动，在全社会营造妇女优先、儿童优先的深厚氛围，助推妇女儿童两个规划实施。</w:t>
            </w:r>
          </w:p>
          <w:p>
            <w:pPr>
              <w:spacing w:line="300" w:lineRule="exact"/>
              <w:jc w:val="left"/>
              <w:rPr>
                <w:rFonts w:ascii="方正书宋_GBK" w:eastAsia="方正书宋_GBK" w:cs="Times New Roman"/>
                <w:szCs w:val="22"/>
              </w:rPr>
            </w:pPr>
            <w:r>
              <w:rPr>
                <w:rFonts w:hint="eastAsia" w:ascii="方正书宋_GBK" w:eastAsia="方正书宋_GBK"/>
              </w:rPr>
              <w:t>2、完善妇联三级组织，对妇联干部队伍进行业务培训，努力打造一支学习型、创新型、高素质的妇联干部队伍。</w:t>
            </w:r>
          </w:p>
        </w:tc>
      </w:tr>
    </w:tbl>
    <w:p>
      <w:pPr>
        <w:spacing w:line="14" w:lineRule="exact"/>
        <w:ind w:firstLine="420" w:firstLineChars="200"/>
        <w:jc w:val="center"/>
        <w:rPr>
          <w:rFonts w:ascii="Times New Roman" w:hAnsi="宋体" w:cs="Times New Roman"/>
          <w:szCs w:val="22"/>
        </w:rPr>
      </w:pPr>
      <w:r>
        <w:rPr>
          <w:rFonts w:hint="eastAsia" w:ascii="方正书宋_GBK" w:eastAsia="方正书宋_GBK"/>
        </w:rPr>
        <w:t xml:space="preserve"> </w:t>
      </w:r>
    </w:p>
    <w:tbl>
      <w:tblPr>
        <w:tblStyle w:val="5"/>
        <w:tblW w:w="94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b/>
                <w:szCs w:val="22"/>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组织妇女儿童相关活动次数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组织活动场次数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≥10场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培训妇联干部人次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参加培训的人次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≥300人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群众对妇联工作的知晓率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调查群众中对妇联工作知晓的人员占总人数的百分比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≥60百分比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s="Times New Roman"/>
                <w:szCs w:val="22"/>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受训妇联干部满意度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受训妇联干部满意和较满意的人数占培训总的百分比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≥60百分比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szCs w:val="22"/>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调查中满意和较满意的人数占总调查人员的百分比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≥60百分比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szCs w:val="22"/>
              </w:rPr>
            </w:pPr>
            <w:r>
              <w:rPr>
                <w:rFonts w:hint="eastAsia" w:ascii="方正书宋_GBK" w:eastAsia="方正书宋_GBK"/>
              </w:rPr>
              <w:t>依据领导批示</w:t>
            </w:r>
          </w:p>
        </w:tc>
      </w:tr>
    </w:tbl>
    <w:p>
      <w:pPr>
        <w:widowControl/>
        <w:autoSpaceDE w:val="0"/>
        <w:spacing w:line="500" w:lineRule="exact"/>
        <w:ind w:firstLine="630" w:firstLineChars="196"/>
        <w:rPr>
          <w:rFonts w:ascii="仿宋" w:hAnsi="仿宋" w:eastAsia="仿宋"/>
          <w:b/>
          <w:bCs/>
          <w:kern w:val="0"/>
          <w:sz w:val="32"/>
          <w:szCs w:val="32"/>
        </w:rPr>
      </w:pPr>
    </w:p>
    <w:p>
      <w:pPr>
        <w:widowControl/>
        <w:autoSpaceDE w:val="0"/>
        <w:spacing w:line="500" w:lineRule="exact"/>
        <w:ind w:firstLine="630" w:firstLineChars="196"/>
        <w:rPr>
          <w:rFonts w:ascii="仿宋" w:hAnsi="仿宋" w:eastAsia="仿宋"/>
          <w:b/>
          <w:bCs/>
          <w:kern w:val="0"/>
          <w:sz w:val="32"/>
          <w:szCs w:val="32"/>
        </w:rPr>
      </w:pPr>
    </w:p>
    <w:p>
      <w:pPr>
        <w:widowControl/>
        <w:autoSpaceDE w:val="0"/>
        <w:spacing w:line="500" w:lineRule="exact"/>
        <w:ind w:firstLine="630" w:firstLineChars="196"/>
        <w:rPr>
          <w:rFonts w:ascii="仿宋" w:hAnsi="仿宋" w:eastAsia="仿宋"/>
          <w:b/>
          <w:bCs/>
          <w:kern w:val="0"/>
          <w:sz w:val="32"/>
          <w:szCs w:val="32"/>
        </w:rPr>
      </w:pPr>
    </w:p>
    <w:p>
      <w:pPr>
        <w:widowControl/>
        <w:autoSpaceDE w:val="0"/>
        <w:spacing w:line="500" w:lineRule="exact"/>
        <w:ind w:firstLine="630" w:firstLineChars="196"/>
        <w:rPr>
          <w:rFonts w:ascii="仿宋" w:hAnsi="仿宋" w:eastAsia="仿宋"/>
          <w:b/>
          <w:bCs/>
          <w:kern w:val="0"/>
          <w:sz w:val="32"/>
          <w:szCs w:val="32"/>
        </w:rPr>
      </w:pPr>
    </w:p>
    <w:p>
      <w:pPr>
        <w:widowControl/>
        <w:autoSpaceDE w:val="0"/>
        <w:spacing w:line="500" w:lineRule="exact"/>
        <w:ind w:firstLine="630" w:firstLineChars="196"/>
        <w:rPr>
          <w:rFonts w:ascii="仿宋" w:hAnsi="仿宋" w:eastAsia="仿宋"/>
          <w:b/>
          <w:bCs/>
          <w:kern w:val="0"/>
          <w:sz w:val="32"/>
          <w:szCs w:val="32"/>
        </w:rPr>
      </w:pPr>
    </w:p>
    <w:p>
      <w:pPr>
        <w:widowControl/>
        <w:autoSpaceDE w:val="0"/>
        <w:spacing w:line="500" w:lineRule="exact"/>
        <w:ind w:firstLine="630" w:firstLineChars="196"/>
        <w:rPr>
          <w:rFonts w:ascii="仿宋" w:hAnsi="仿宋" w:eastAsia="仿宋"/>
          <w:b/>
          <w:bCs/>
          <w:kern w:val="0"/>
          <w:sz w:val="32"/>
          <w:szCs w:val="32"/>
        </w:rPr>
      </w:pPr>
    </w:p>
    <w:p>
      <w:pPr>
        <w:widowControl/>
        <w:autoSpaceDE w:val="0"/>
        <w:spacing w:line="500" w:lineRule="exact"/>
        <w:ind w:firstLine="630" w:firstLineChars="196"/>
        <w:rPr>
          <w:rFonts w:ascii="仿宋" w:hAnsi="仿宋" w:eastAsia="仿宋"/>
          <w:b/>
          <w:bCs/>
          <w:kern w:val="0"/>
          <w:sz w:val="32"/>
          <w:szCs w:val="32"/>
        </w:rPr>
      </w:pPr>
    </w:p>
    <w:p>
      <w:pPr>
        <w:widowControl/>
        <w:autoSpaceDE w:val="0"/>
        <w:spacing w:line="500" w:lineRule="exact"/>
        <w:ind w:firstLine="630" w:firstLineChars="196"/>
        <w:rPr>
          <w:rFonts w:ascii="仿宋" w:hAnsi="仿宋" w:eastAsia="仿宋"/>
          <w:b/>
          <w:bCs/>
          <w:kern w:val="0"/>
          <w:sz w:val="32"/>
          <w:szCs w:val="32"/>
        </w:rPr>
      </w:pPr>
    </w:p>
    <w:p>
      <w:pPr>
        <w:widowControl/>
        <w:autoSpaceDE w:val="0"/>
        <w:spacing w:line="500" w:lineRule="exact"/>
        <w:ind w:firstLine="630" w:firstLineChars="196"/>
        <w:rPr>
          <w:rFonts w:ascii="仿宋" w:hAnsi="仿宋" w:eastAsia="仿宋"/>
          <w:b/>
          <w:bCs/>
          <w:kern w:val="0"/>
          <w:sz w:val="32"/>
          <w:szCs w:val="32"/>
        </w:rPr>
      </w:pPr>
    </w:p>
    <w:p>
      <w:pPr>
        <w:widowControl/>
        <w:autoSpaceDE w:val="0"/>
        <w:spacing w:line="500" w:lineRule="exact"/>
        <w:ind w:firstLine="630" w:firstLineChars="196"/>
        <w:rPr>
          <w:rFonts w:ascii="仿宋" w:hAnsi="仿宋" w:eastAsia="仿宋"/>
          <w:kern w:val="0"/>
          <w:sz w:val="32"/>
          <w:szCs w:val="32"/>
        </w:rPr>
      </w:pPr>
      <w:r>
        <w:rPr>
          <w:rFonts w:hint="eastAsia" w:ascii="仿宋" w:hAnsi="仿宋" w:eastAsia="仿宋"/>
          <w:b/>
          <w:bCs/>
          <w:kern w:val="0"/>
          <w:sz w:val="32"/>
          <w:szCs w:val="32"/>
        </w:rPr>
        <w:t>六、政府采购预算情况</w:t>
      </w:r>
    </w:p>
    <w:p>
      <w:pPr>
        <w:widowControl/>
        <w:autoSpaceDE w:val="0"/>
        <w:spacing w:line="500" w:lineRule="exact"/>
        <w:ind w:firstLine="645"/>
        <w:rPr>
          <w:rFonts w:ascii="仿宋" w:hAnsi="仿宋" w:eastAsia="仿宋"/>
          <w:kern w:val="0"/>
          <w:sz w:val="32"/>
          <w:szCs w:val="32"/>
        </w:rPr>
      </w:pPr>
      <w:r>
        <w:rPr>
          <w:rFonts w:hint="eastAsia" w:ascii="仿宋" w:hAnsi="仿宋" w:eastAsia="仿宋"/>
          <w:kern w:val="0"/>
          <w:sz w:val="32"/>
          <w:szCs w:val="32"/>
        </w:rPr>
        <w:t>2020年我部门无政府采购预算，空表列示。</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6" w:name="_Toc30009658"/>
      <w:r>
        <w:rPr>
          <w:rFonts w:hint="eastAsia" w:ascii="方正小标宋_GBK" w:eastAsia="方正小标宋_GBK"/>
          <w:sz w:val="18"/>
          <w:szCs w:val="18"/>
        </w:rPr>
        <w:instrText xml:space="preserve">部门政府采购预算</w:instrText>
      </w:r>
      <w:bookmarkEnd w:id="6"/>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5"/>
        <w:tblW w:w="88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cstheme="minorEastAsia"/>
                <w:sz w:val="18"/>
                <w:szCs w:val="18"/>
              </w:rPr>
            </w:pPr>
          </w:p>
        </w:tc>
        <w:tc>
          <w:tcPr>
            <w:tcW w:w="4869"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cstheme="minorEastAsia"/>
                <w:sz w:val="18"/>
                <w:szCs w:val="18"/>
              </w:rPr>
            </w:pPr>
            <w:r>
              <w:rPr>
                <w:rFonts w:hint="eastAsia" w:asciiTheme="minorEastAsia" w:hAnsi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政府采购项目来源</w:t>
            </w:r>
          </w:p>
        </w:tc>
        <w:tc>
          <w:tcPr>
            <w:tcW w:w="596"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物品</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97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目录序号</w:t>
            </w:r>
          </w:p>
        </w:tc>
        <w:tc>
          <w:tcPr>
            <w:tcW w:w="480"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计量  单位</w:t>
            </w:r>
          </w:p>
        </w:tc>
        <w:tc>
          <w:tcPr>
            <w:tcW w:w="322"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数量</w:t>
            </w:r>
          </w:p>
        </w:tc>
        <w:tc>
          <w:tcPr>
            <w:tcW w:w="41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单价</w:t>
            </w:r>
          </w:p>
        </w:tc>
        <w:tc>
          <w:tcPr>
            <w:tcW w:w="4869" w:type="dxa"/>
            <w:gridSpan w:val="6"/>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项目</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687"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预算</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资金</w:t>
            </w:r>
          </w:p>
        </w:tc>
        <w:tc>
          <w:tcPr>
            <w:tcW w:w="596"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97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80"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322"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1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54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合计</w:t>
            </w:r>
          </w:p>
        </w:tc>
        <w:tc>
          <w:tcPr>
            <w:tcW w:w="82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一般公共预算拨款</w:t>
            </w:r>
          </w:p>
        </w:tc>
        <w:tc>
          <w:tcPr>
            <w:tcW w:w="679"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基金预算拨款</w:t>
            </w:r>
          </w:p>
        </w:tc>
        <w:tc>
          <w:tcPr>
            <w:tcW w:w="640"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国有资本经营预算拨款</w:t>
            </w:r>
          </w:p>
        </w:tc>
        <w:tc>
          <w:tcPr>
            <w:tcW w:w="1080"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财政专户核拨</w:t>
            </w:r>
          </w:p>
        </w:tc>
        <w:tc>
          <w:tcPr>
            <w:tcW w:w="1106"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shd w:val="clear" w:color="auto" w:fill="auto"/>
            <w:vAlign w:val="center"/>
          </w:tcPr>
          <w:p>
            <w:pPr>
              <w:spacing w:line="400" w:lineRule="exact"/>
              <w:jc w:val="center"/>
              <w:rPr>
                <w:rFonts w:asciiTheme="minorEastAsia" w:hAnsi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cstheme="minorEastAsia"/>
                <w:b/>
                <w:sz w:val="18"/>
                <w:szCs w:val="18"/>
              </w:rPr>
            </w:pPr>
          </w:p>
        </w:tc>
        <w:tc>
          <w:tcPr>
            <w:tcW w:w="596" w:type="dxa"/>
            <w:shd w:val="clear" w:color="auto" w:fill="auto"/>
            <w:vAlign w:val="center"/>
          </w:tcPr>
          <w:p>
            <w:pPr>
              <w:spacing w:line="400" w:lineRule="exact"/>
              <w:jc w:val="left"/>
              <w:rPr>
                <w:rFonts w:asciiTheme="minorEastAsia" w:hAnsiTheme="minorEastAsia" w:cstheme="minorEastAsia"/>
                <w:b/>
                <w:sz w:val="18"/>
                <w:szCs w:val="18"/>
              </w:rPr>
            </w:pPr>
          </w:p>
        </w:tc>
        <w:tc>
          <w:tcPr>
            <w:tcW w:w="979" w:type="dxa"/>
            <w:shd w:val="clear" w:color="auto" w:fill="auto"/>
            <w:vAlign w:val="center"/>
          </w:tcPr>
          <w:p>
            <w:pPr>
              <w:spacing w:line="400" w:lineRule="exact"/>
              <w:jc w:val="left"/>
              <w:rPr>
                <w:rFonts w:asciiTheme="minorEastAsia" w:hAnsiTheme="minorEastAsia" w:cstheme="minorEastAsia"/>
                <w:b/>
                <w:sz w:val="18"/>
                <w:szCs w:val="18"/>
              </w:rPr>
            </w:pPr>
          </w:p>
        </w:tc>
        <w:tc>
          <w:tcPr>
            <w:tcW w:w="480" w:type="dxa"/>
            <w:shd w:val="clear" w:color="auto" w:fill="auto"/>
            <w:vAlign w:val="center"/>
          </w:tcPr>
          <w:p>
            <w:pPr>
              <w:spacing w:line="400" w:lineRule="exact"/>
              <w:jc w:val="center"/>
              <w:rPr>
                <w:rFonts w:asciiTheme="minorEastAsia" w:hAnsiTheme="minorEastAsia" w:cstheme="minorEastAsia"/>
                <w:b/>
                <w:sz w:val="18"/>
                <w:szCs w:val="18"/>
              </w:rPr>
            </w:pPr>
          </w:p>
        </w:tc>
        <w:tc>
          <w:tcPr>
            <w:tcW w:w="322" w:type="dxa"/>
            <w:shd w:val="clear" w:color="auto" w:fill="auto"/>
            <w:vAlign w:val="center"/>
          </w:tcPr>
          <w:p>
            <w:pPr>
              <w:spacing w:line="400" w:lineRule="exact"/>
              <w:jc w:val="right"/>
              <w:rPr>
                <w:rFonts w:asciiTheme="minorEastAsia" w:hAnsiTheme="minorEastAsia" w:cstheme="minorEastAsia"/>
                <w:b/>
                <w:sz w:val="18"/>
                <w:szCs w:val="18"/>
              </w:rPr>
            </w:pPr>
          </w:p>
        </w:tc>
        <w:tc>
          <w:tcPr>
            <w:tcW w:w="419" w:type="dxa"/>
            <w:shd w:val="clear" w:color="auto" w:fill="auto"/>
            <w:vAlign w:val="center"/>
          </w:tcPr>
          <w:p>
            <w:pPr>
              <w:spacing w:line="400" w:lineRule="exact"/>
              <w:jc w:val="right"/>
              <w:rPr>
                <w:rFonts w:asciiTheme="minorEastAsia" w:hAnsiTheme="minorEastAsia" w:cstheme="minorEastAsia"/>
                <w:b/>
                <w:sz w:val="18"/>
                <w:szCs w:val="18"/>
              </w:rPr>
            </w:pPr>
          </w:p>
        </w:tc>
        <w:tc>
          <w:tcPr>
            <w:tcW w:w="542" w:type="dxa"/>
            <w:shd w:val="clear" w:color="auto" w:fill="auto"/>
            <w:vAlign w:val="center"/>
          </w:tcPr>
          <w:p>
            <w:pPr>
              <w:spacing w:line="400" w:lineRule="exact"/>
              <w:jc w:val="right"/>
              <w:rPr>
                <w:rFonts w:asciiTheme="minorEastAsia" w:hAnsiTheme="minorEastAsia" w:cstheme="minorEastAsia"/>
                <w:b/>
                <w:sz w:val="18"/>
                <w:szCs w:val="18"/>
              </w:rPr>
            </w:pPr>
          </w:p>
        </w:tc>
        <w:tc>
          <w:tcPr>
            <w:tcW w:w="822" w:type="dxa"/>
            <w:shd w:val="clear" w:color="auto" w:fill="auto"/>
            <w:vAlign w:val="center"/>
          </w:tcPr>
          <w:p>
            <w:pPr>
              <w:spacing w:line="400" w:lineRule="exact"/>
              <w:rPr>
                <w:rFonts w:asciiTheme="minorEastAsia" w:hAnsiTheme="minorEastAsia" w:cstheme="minorEastAsia"/>
                <w:b/>
                <w:sz w:val="18"/>
                <w:szCs w:val="18"/>
              </w:rPr>
            </w:pPr>
          </w:p>
        </w:tc>
        <w:tc>
          <w:tcPr>
            <w:tcW w:w="679" w:type="dxa"/>
            <w:shd w:val="clear" w:color="auto" w:fill="auto"/>
            <w:vAlign w:val="center"/>
          </w:tcPr>
          <w:p>
            <w:pPr>
              <w:spacing w:line="400" w:lineRule="exact"/>
              <w:jc w:val="right"/>
              <w:rPr>
                <w:rFonts w:asciiTheme="minorEastAsia" w:hAnsiTheme="minorEastAsia" w:cstheme="minorEastAsia"/>
                <w:b/>
                <w:sz w:val="18"/>
                <w:szCs w:val="18"/>
              </w:rPr>
            </w:pPr>
          </w:p>
        </w:tc>
        <w:tc>
          <w:tcPr>
            <w:tcW w:w="640" w:type="dxa"/>
            <w:shd w:val="clear" w:color="auto" w:fill="auto"/>
            <w:vAlign w:val="center"/>
          </w:tcPr>
          <w:p>
            <w:pPr>
              <w:spacing w:line="400" w:lineRule="exact"/>
              <w:jc w:val="right"/>
              <w:rPr>
                <w:rFonts w:asciiTheme="minorEastAsia" w:hAnsiTheme="minorEastAsia" w:cstheme="minorEastAsia"/>
                <w:b/>
                <w:sz w:val="18"/>
                <w:szCs w:val="18"/>
              </w:rPr>
            </w:pPr>
          </w:p>
        </w:tc>
        <w:tc>
          <w:tcPr>
            <w:tcW w:w="1080" w:type="dxa"/>
            <w:shd w:val="clear" w:color="auto" w:fill="auto"/>
            <w:vAlign w:val="center"/>
          </w:tcPr>
          <w:p>
            <w:pPr>
              <w:spacing w:line="400" w:lineRule="exact"/>
              <w:jc w:val="right"/>
              <w:rPr>
                <w:rFonts w:asciiTheme="minorEastAsia" w:hAnsiTheme="minorEastAsia" w:cstheme="minorEastAsia"/>
                <w:b/>
                <w:sz w:val="18"/>
                <w:szCs w:val="18"/>
              </w:rPr>
            </w:pPr>
          </w:p>
        </w:tc>
        <w:tc>
          <w:tcPr>
            <w:tcW w:w="1106" w:type="dxa"/>
            <w:shd w:val="clear" w:color="auto" w:fill="auto"/>
            <w:vAlign w:val="center"/>
          </w:tcPr>
          <w:p>
            <w:pPr>
              <w:spacing w:line="400" w:lineRule="exact"/>
              <w:jc w:val="right"/>
              <w:rPr>
                <w:rFonts w:asciiTheme="minorEastAsia" w:hAnsi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shd w:val="clear" w:color="auto" w:fill="auto"/>
            <w:vAlign w:val="center"/>
          </w:tcPr>
          <w:p>
            <w:pPr>
              <w:spacing w:line="400" w:lineRule="exact"/>
              <w:jc w:val="left"/>
              <w:rPr>
                <w:rFonts w:asciiTheme="minorEastAsia" w:hAnsiTheme="minorEastAsia" w:cstheme="minorEastAsia"/>
                <w:sz w:val="18"/>
                <w:szCs w:val="18"/>
              </w:rPr>
            </w:pPr>
          </w:p>
        </w:tc>
        <w:tc>
          <w:tcPr>
            <w:tcW w:w="687" w:type="dxa"/>
            <w:shd w:val="clear" w:color="auto" w:fill="auto"/>
            <w:vAlign w:val="center"/>
          </w:tcPr>
          <w:p>
            <w:pPr>
              <w:spacing w:line="400" w:lineRule="exact"/>
              <w:jc w:val="right"/>
              <w:rPr>
                <w:rFonts w:asciiTheme="minorEastAsia" w:hAnsiTheme="minorEastAsia" w:cstheme="minorEastAsia"/>
                <w:sz w:val="18"/>
                <w:szCs w:val="18"/>
              </w:rPr>
            </w:pPr>
          </w:p>
        </w:tc>
        <w:tc>
          <w:tcPr>
            <w:tcW w:w="596" w:type="dxa"/>
            <w:shd w:val="clear" w:color="auto" w:fill="auto"/>
            <w:vAlign w:val="center"/>
          </w:tcPr>
          <w:p>
            <w:pPr>
              <w:spacing w:line="400" w:lineRule="exact"/>
              <w:jc w:val="left"/>
              <w:rPr>
                <w:rFonts w:asciiTheme="minorEastAsia" w:hAnsiTheme="minorEastAsia" w:cstheme="minorEastAsia"/>
                <w:sz w:val="18"/>
                <w:szCs w:val="18"/>
              </w:rPr>
            </w:pPr>
          </w:p>
        </w:tc>
        <w:tc>
          <w:tcPr>
            <w:tcW w:w="979" w:type="dxa"/>
            <w:shd w:val="clear" w:color="auto" w:fill="auto"/>
            <w:vAlign w:val="center"/>
          </w:tcPr>
          <w:p>
            <w:pPr>
              <w:spacing w:line="400" w:lineRule="exact"/>
              <w:jc w:val="left"/>
              <w:rPr>
                <w:rFonts w:asciiTheme="minorEastAsia" w:hAnsiTheme="minorEastAsia" w:cstheme="minorEastAsia"/>
                <w:sz w:val="18"/>
                <w:szCs w:val="18"/>
              </w:rPr>
            </w:pPr>
          </w:p>
        </w:tc>
        <w:tc>
          <w:tcPr>
            <w:tcW w:w="480" w:type="dxa"/>
            <w:shd w:val="clear" w:color="auto" w:fill="auto"/>
            <w:vAlign w:val="center"/>
          </w:tcPr>
          <w:p>
            <w:pPr>
              <w:spacing w:line="400" w:lineRule="exact"/>
              <w:jc w:val="center"/>
              <w:rPr>
                <w:rFonts w:asciiTheme="minorEastAsia" w:hAnsiTheme="minorEastAsia" w:cstheme="minorEastAsia"/>
                <w:sz w:val="18"/>
                <w:szCs w:val="18"/>
              </w:rPr>
            </w:pPr>
          </w:p>
        </w:tc>
        <w:tc>
          <w:tcPr>
            <w:tcW w:w="322" w:type="dxa"/>
            <w:shd w:val="clear" w:color="auto" w:fill="auto"/>
            <w:vAlign w:val="center"/>
          </w:tcPr>
          <w:p>
            <w:pPr>
              <w:spacing w:line="400" w:lineRule="exact"/>
              <w:jc w:val="right"/>
              <w:rPr>
                <w:rFonts w:asciiTheme="minorEastAsia" w:hAnsiTheme="minorEastAsia" w:cstheme="minorEastAsia"/>
                <w:sz w:val="18"/>
                <w:szCs w:val="18"/>
              </w:rPr>
            </w:pPr>
          </w:p>
        </w:tc>
        <w:tc>
          <w:tcPr>
            <w:tcW w:w="419" w:type="dxa"/>
            <w:shd w:val="clear" w:color="auto" w:fill="auto"/>
            <w:vAlign w:val="center"/>
          </w:tcPr>
          <w:p>
            <w:pPr>
              <w:spacing w:line="400" w:lineRule="exact"/>
              <w:jc w:val="right"/>
              <w:rPr>
                <w:rFonts w:asciiTheme="minorEastAsia" w:hAnsiTheme="minorEastAsia" w:cstheme="minorEastAsia"/>
                <w:sz w:val="18"/>
                <w:szCs w:val="18"/>
              </w:rPr>
            </w:pPr>
          </w:p>
        </w:tc>
        <w:tc>
          <w:tcPr>
            <w:tcW w:w="542" w:type="dxa"/>
            <w:shd w:val="clear" w:color="auto" w:fill="auto"/>
            <w:vAlign w:val="center"/>
          </w:tcPr>
          <w:p>
            <w:pPr>
              <w:spacing w:line="400" w:lineRule="exact"/>
              <w:jc w:val="right"/>
              <w:rPr>
                <w:rFonts w:asciiTheme="minorEastAsia" w:hAnsiTheme="minorEastAsia" w:cstheme="minorEastAsia"/>
                <w:sz w:val="18"/>
                <w:szCs w:val="18"/>
              </w:rPr>
            </w:pPr>
          </w:p>
        </w:tc>
        <w:tc>
          <w:tcPr>
            <w:tcW w:w="822" w:type="dxa"/>
            <w:shd w:val="clear" w:color="auto" w:fill="auto"/>
            <w:vAlign w:val="center"/>
          </w:tcPr>
          <w:p>
            <w:pPr>
              <w:spacing w:line="400" w:lineRule="exact"/>
              <w:jc w:val="right"/>
              <w:rPr>
                <w:rFonts w:asciiTheme="minorEastAsia" w:hAnsiTheme="minorEastAsia" w:cstheme="minorEastAsia"/>
                <w:sz w:val="18"/>
                <w:szCs w:val="18"/>
              </w:rPr>
            </w:pPr>
          </w:p>
        </w:tc>
        <w:tc>
          <w:tcPr>
            <w:tcW w:w="679" w:type="dxa"/>
            <w:shd w:val="clear" w:color="auto" w:fill="auto"/>
            <w:vAlign w:val="center"/>
          </w:tcPr>
          <w:p>
            <w:pPr>
              <w:spacing w:line="400" w:lineRule="exact"/>
              <w:jc w:val="right"/>
              <w:rPr>
                <w:rFonts w:asciiTheme="minorEastAsia" w:hAnsiTheme="minorEastAsia" w:cstheme="minorEastAsia"/>
                <w:sz w:val="18"/>
                <w:szCs w:val="18"/>
              </w:rPr>
            </w:pPr>
          </w:p>
        </w:tc>
        <w:tc>
          <w:tcPr>
            <w:tcW w:w="640" w:type="dxa"/>
            <w:shd w:val="clear" w:color="auto" w:fill="auto"/>
            <w:vAlign w:val="center"/>
          </w:tcPr>
          <w:p>
            <w:pPr>
              <w:spacing w:line="400" w:lineRule="exact"/>
              <w:jc w:val="right"/>
              <w:rPr>
                <w:rFonts w:asciiTheme="minorEastAsia" w:hAnsiTheme="minorEastAsia" w:cstheme="minorEastAsia"/>
                <w:sz w:val="18"/>
                <w:szCs w:val="18"/>
              </w:rPr>
            </w:pPr>
          </w:p>
        </w:tc>
        <w:tc>
          <w:tcPr>
            <w:tcW w:w="1080" w:type="dxa"/>
            <w:shd w:val="clear" w:color="auto" w:fill="auto"/>
            <w:vAlign w:val="center"/>
          </w:tcPr>
          <w:p>
            <w:pPr>
              <w:spacing w:line="400" w:lineRule="exact"/>
              <w:jc w:val="right"/>
              <w:rPr>
                <w:rFonts w:asciiTheme="minorEastAsia" w:hAnsiTheme="minorEastAsia" w:cstheme="minorEastAsia"/>
                <w:sz w:val="18"/>
                <w:szCs w:val="18"/>
              </w:rPr>
            </w:pPr>
          </w:p>
        </w:tc>
        <w:tc>
          <w:tcPr>
            <w:tcW w:w="1106" w:type="dxa"/>
            <w:shd w:val="clear" w:color="auto" w:fill="auto"/>
            <w:vAlign w:val="center"/>
          </w:tcPr>
          <w:p>
            <w:pPr>
              <w:spacing w:line="400" w:lineRule="exact"/>
              <w:jc w:val="right"/>
              <w:rPr>
                <w:rFonts w:asciiTheme="minorEastAsia" w:hAnsiTheme="minorEastAsia" w:cstheme="minorEastAsia"/>
                <w:sz w:val="18"/>
                <w:szCs w:val="18"/>
              </w:rPr>
            </w:pPr>
          </w:p>
        </w:tc>
      </w:tr>
    </w:tbl>
    <w:p>
      <w:pPr>
        <w:spacing w:line="40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widowControl/>
        <w:autoSpaceDE w:val="0"/>
        <w:spacing w:line="500" w:lineRule="exact"/>
        <w:ind w:firstLine="645"/>
        <w:rPr>
          <w:rFonts w:ascii="仿宋" w:hAnsi="仿宋" w:eastAsia="仿宋"/>
          <w:kern w:val="0"/>
          <w:sz w:val="32"/>
          <w:szCs w:val="32"/>
        </w:rPr>
      </w:pPr>
    </w:p>
    <w:p>
      <w:pPr>
        <w:widowControl/>
        <w:autoSpaceDE w:val="0"/>
        <w:spacing w:line="500" w:lineRule="exact"/>
        <w:ind w:firstLine="640"/>
        <w:rPr>
          <w:rFonts w:ascii="仿宋" w:hAnsi="仿宋" w:eastAsia="仿宋"/>
          <w:b/>
          <w:bCs/>
          <w:kern w:val="0"/>
          <w:sz w:val="32"/>
          <w:szCs w:val="32"/>
        </w:rPr>
      </w:pPr>
      <w:r>
        <w:rPr>
          <w:rFonts w:hint="eastAsia" w:ascii="仿宋" w:hAnsi="仿宋" w:eastAsia="仿宋"/>
          <w:b/>
          <w:bCs/>
          <w:kern w:val="0"/>
          <w:sz w:val="32"/>
          <w:szCs w:val="32"/>
        </w:rPr>
        <w:t>七、国有资产信息情况</w:t>
      </w:r>
    </w:p>
    <w:p>
      <w:pPr>
        <w:widowControl/>
        <w:spacing w:line="500" w:lineRule="exact"/>
        <w:ind w:firstLine="627" w:firstLineChars="196"/>
        <w:rPr>
          <w:rFonts w:ascii="仿宋" w:hAnsi="仿宋" w:eastAsia="仿宋" w:cs="仿宋"/>
          <w:bCs/>
          <w:kern w:val="0"/>
          <w:sz w:val="28"/>
          <w:szCs w:val="28"/>
        </w:rPr>
      </w:pPr>
      <w:r>
        <w:rPr>
          <w:rFonts w:hint="eastAsia" w:ascii="仿宋" w:hAnsi="仿宋" w:eastAsia="仿宋" w:cs="仿宋"/>
          <w:bCs/>
          <w:kern w:val="0"/>
          <w:sz w:val="32"/>
          <w:szCs w:val="32"/>
        </w:rPr>
        <w:t>涞水县妇联2019年末固定资产总金额11.19万元（详见下表）。 2020年拟购置固定资产为0万元</w:t>
      </w:r>
      <w:r>
        <w:rPr>
          <w:rFonts w:hint="eastAsia" w:ascii="仿宋" w:hAnsi="仿宋" w:eastAsia="仿宋" w:cs="仿宋"/>
          <w:bCs/>
          <w:kern w:val="0"/>
          <w:sz w:val="28"/>
          <w:szCs w:val="28"/>
        </w:rPr>
        <w:t>。</w:t>
      </w:r>
    </w:p>
    <w:tbl>
      <w:tblPr>
        <w:tblStyle w:val="5"/>
        <w:tblW w:w="8804" w:type="dxa"/>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widowControl/>
              <w:spacing w:line="500" w:lineRule="exact"/>
              <w:jc w:val="center"/>
              <w:rPr>
                <w:rFonts w:ascii="仿宋" w:hAnsi="仿宋" w:eastAsia="仿宋" w:cs="仿宋"/>
                <w:color w:val="000000"/>
                <w:kern w:val="0"/>
                <w:sz w:val="28"/>
                <w:szCs w:val="28"/>
              </w:rPr>
            </w:pPr>
            <w:r>
              <w:rPr>
                <w:rFonts w:hint="eastAsia" w:ascii="仿宋" w:hAnsi="仿宋" w:eastAsia="仿宋" w:cs="仿宋"/>
                <w:bCs/>
                <w:color w:val="000000"/>
                <w:kern w:val="0"/>
                <w:sz w:val="28"/>
                <w:szCs w:val="28"/>
              </w:rPr>
              <w:t>截止时间：2019年12月31日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项　　目</w:t>
            </w:r>
          </w:p>
        </w:tc>
        <w:tc>
          <w:tcPr>
            <w:tcW w:w="1591"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数量</w:t>
            </w:r>
          </w:p>
        </w:tc>
        <w:tc>
          <w:tcPr>
            <w:tcW w:w="340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固定资产总额</w:t>
            </w:r>
          </w:p>
        </w:tc>
        <w:tc>
          <w:tcPr>
            <w:tcW w:w="1591"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40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11.19</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1、房屋（平方米）</w:t>
            </w:r>
          </w:p>
        </w:tc>
        <w:tc>
          <w:tcPr>
            <w:tcW w:w="1591"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p>
        </w:tc>
        <w:tc>
          <w:tcPr>
            <w:tcW w:w="340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其中：办公用房（平方米）</w:t>
            </w:r>
          </w:p>
        </w:tc>
        <w:tc>
          <w:tcPr>
            <w:tcW w:w="1591"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cs="仿宋"/>
                <w:color w:val="000000"/>
                <w:kern w:val="0"/>
                <w:sz w:val="28"/>
                <w:szCs w:val="28"/>
              </w:rPr>
            </w:pPr>
          </w:p>
        </w:tc>
        <w:tc>
          <w:tcPr>
            <w:tcW w:w="3402"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spacing w:line="500" w:lineRule="exact"/>
              <w:ind w:firstLine="280" w:firstLineChars="100"/>
              <w:rPr>
                <w:rFonts w:ascii="仿宋" w:hAnsi="仿宋" w:eastAsia="仿宋" w:cs="仿宋"/>
                <w:color w:val="000000"/>
                <w:kern w:val="0"/>
                <w:sz w:val="28"/>
                <w:szCs w:val="28"/>
              </w:rPr>
            </w:pPr>
            <w:r>
              <w:rPr>
                <w:rFonts w:hint="eastAsia" w:ascii="仿宋" w:hAnsi="仿宋" w:eastAsia="仿宋" w:cs="仿宋"/>
                <w:color w:val="000000"/>
                <w:kern w:val="0"/>
                <w:sz w:val="28"/>
                <w:szCs w:val="28"/>
              </w:rPr>
              <w:t>2、车辆（台、辆）</w:t>
            </w:r>
          </w:p>
        </w:tc>
        <w:tc>
          <w:tcPr>
            <w:tcW w:w="1591"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40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40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3402" w:type="dxa"/>
            <w:tcBorders>
              <w:top w:val="single" w:color="auto" w:sz="4" w:space="0"/>
              <w:left w:val="nil"/>
              <w:bottom w:val="single" w:color="auto" w:sz="4" w:space="0"/>
              <w:right w:val="single" w:color="auto" w:sz="4" w:space="0"/>
            </w:tcBorders>
            <w:vAlign w:val="center"/>
          </w:tcPr>
          <w:p>
            <w:pPr>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11.19</w:t>
            </w:r>
          </w:p>
        </w:tc>
      </w:tr>
    </w:tbl>
    <w:p>
      <w:pPr>
        <w:spacing w:line="500" w:lineRule="exact"/>
        <w:ind w:firstLine="630" w:firstLineChars="196"/>
        <w:rPr>
          <w:rFonts w:ascii="仿宋" w:hAnsi="仿宋" w:eastAsia="仿宋" w:cs="仿宋"/>
          <w:b/>
          <w:sz w:val="32"/>
          <w:szCs w:val="32"/>
        </w:rPr>
      </w:pPr>
      <w:r>
        <w:rPr>
          <w:rFonts w:hint="eastAsia" w:ascii="仿宋" w:hAnsi="仿宋" w:eastAsia="仿宋" w:cs="仿宋"/>
          <w:b/>
          <w:sz w:val="32"/>
          <w:szCs w:val="32"/>
        </w:rPr>
        <w:t>八、专业名词解释</w:t>
      </w:r>
    </w:p>
    <w:p>
      <w:pPr>
        <w:spacing w:line="500" w:lineRule="exact"/>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4"/>
        <w:widowControl/>
        <w:spacing w:line="500" w:lineRule="exact"/>
        <w:ind w:firstLine="578" w:firstLineChars="180"/>
        <w:rPr>
          <w:rFonts w:ascii="仿宋_GB2312" w:hAnsi="仿宋_GB2312" w:eastAsia="仿宋_GB2312" w:cs="仿宋_GB2312"/>
          <w:sz w:val="32"/>
          <w:szCs w:val="32"/>
        </w:rPr>
      </w:pPr>
      <w:r>
        <w:rPr>
          <w:rStyle w:val="7"/>
          <w:rFonts w:ascii="仿宋_GB2312" w:hAnsi="仿宋_GB2312" w:eastAsia="仿宋_GB2312" w:cs="仿宋_GB2312"/>
          <w:sz w:val="32"/>
          <w:szCs w:val="32"/>
          <w:shd w:val="clear" w:color="auto" w:fill="FFFFFF"/>
        </w:rPr>
        <w:t>2</w:t>
      </w:r>
      <w:r>
        <w:rPr>
          <w:rStyle w:val="7"/>
          <w:rFonts w:hint="eastAsia" w:ascii="仿宋_GB2312" w:hAnsi="仿宋_GB2312" w:eastAsia="仿宋_GB2312" w:cs="仿宋_GB2312"/>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4"/>
        <w:widowControl/>
        <w:spacing w:line="500" w:lineRule="exact"/>
        <w:ind w:firstLine="578" w:firstLineChars="180"/>
        <w:rPr>
          <w:rFonts w:ascii="仿宋_GB2312" w:hAnsi="宋体" w:eastAsia="仿宋_GB2312"/>
          <w:sz w:val="32"/>
          <w:szCs w:val="32"/>
        </w:rPr>
      </w:pPr>
      <w:r>
        <w:rPr>
          <w:rStyle w:val="7"/>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4"/>
        <w:widowControl/>
        <w:spacing w:line="500" w:lineRule="exact"/>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4"/>
        <w:widowControl/>
        <w:spacing w:line="500" w:lineRule="exact"/>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spacing w:line="500" w:lineRule="exact"/>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630" w:firstLineChars="196"/>
        <w:rPr>
          <w:rFonts w:ascii="黑体" w:hAnsi="黑体" w:eastAsia="黑体" w:cs="黑体"/>
          <w:sz w:val="32"/>
          <w:szCs w:val="32"/>
        </w:rPr>
      </w:pPr>
      <w:r>
        <w:rPr>
          <w:rFonts w:hint="eastAsia" w:ascii="仿宋" w:hAnsi="仿宋" w:eastAsia="仿宋" w:cs="仿宋"/>
          <w:b/>
          <w:bCs/>
          <w:sz w:val="32"/>
          <w:szCs w:val="32"/>
        </w:rPr>
        <w:t>九、其他需要说明的事项</w:t>
      </w:r>
    </w:p>
    <w:p>
      <w:pPr>
        <w:spacing w:line="500" w:lineRule="exact"/>
        <w:ind w:firstLine="640" w:firstLineChars="200"/>
      </w:pPr>
      <w:r>
        <w:rPr>
          <w:rFonts w:hint="eastAsia" w:ascii="仿宋" w:hAnsi="仿宋" w:eastAsia="仿宋" w:cs="仿宋"/>
          <w:sz w:val="32"/>
          <w:szCs w:val="32"/>
        </w:rPr>
        <w:t>我部门无政府性基金预算及国有资本经营预算。</w:t>
      </w:r>
    </w:p>
    <w:p/>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0DD2"/>
    <w:multiLevelType w:val="singleLevel"/>
    <w:tmpl w:val="60B50DD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cyMTllMzBmMzU4ZDI3YzhhMDgwYWNlNTQyYzlmN2QifQ=="/>
    <w:docVar w:name="KSO_WPS_MARK_KEY" w:val="1d3cdea1-06ad-4fa8-92bc-4479dc2966d4"/>
  </w:docVars>
  <w:rsids>
    <w:rsidRoot w:val="61097A83"/>
    <w:rsid w:val="00107F00"/>
    <w:rsid w:val="00120196"/>
    <w:rsid w:val="00713F7F"/>
    <w:rsid w:val="00891F3B"/>
    <w:rsid w:val="008A5B11"/>
    <w:rsid w:val="009337D6"/>
    <w:rsid w:val="00B0562D"/>
    <w:rsid w:val="00C977AD"/>
    <w:rsid w:val="00DA5A44"/>
    <w:rsid w:val="00DC754F"/>
    <w:rsid w:val="00DD746F"/>
    <w:rsid w:val="0BF404AE"/>
    <w:rsid w:val="0BFE2E36"/>
    <w:rsid w:val="19E30BDD"/>
    <w:rsid w:val="1D6142D5"/>
    <w:rsid w:val="2EA90322"/>
    <w:rsid w:val="394A4A1D"/>
    <w:rsid w:val="3D9A7E8A"/>
    <w:rsid w:val="5A810197"/>
    <w:rsid w:val="61097A83"/>
    <w:rsid w:val="646C6849"/>
    <w:rsid w:val="648F3EC4"/>
    <w:rsid w:val="656537B9"/>
    <w:rsid w:val="68271369"/>
    <w:rsid w:val="7877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7">
    <w:name w:val="Strong"/>
    <w:qFormat/>
    <w:uiPriority w:val="0"/>
    <w:rPr>
      <w:b/>
    </w:rPr>
  </w:style>
  <w:style w:type="character" w:styleId="8">
    <w:name w:val="page number"/>
    <w:basedOn w:val="6"/>
    <w:unhideWhenUsed/>
    <w:qFormat/>
    <w:uiPriority w:val="99"/>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4552</Words>
  <Characters>4826</Characters>
  <Lines>38</Lines>
  <Paragraphs>10</Paragraphs>
  <TotalTime>0</TotalTime>
  <ScaleCrop>false</ScaleCrop>
  <LinksUpToDate>false</LinksUpToDate>
  <CharactersWithSpaces>4871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2020-02-11T09:21:00Z</dcterms:created>
  <dc:creator>小龙嘟嘟</dc:creator>
  <cp:lastModifiedBy>不周</cp:lastModifiedBy>
  <dcterms:modified xsi:type="dcterms:W3CDTF">2023-12-29T07:13:45Z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2D907565ABEF493D8B48DBF98487CB72</vt:lpwstr>
  </property>
</Properties>
</file>