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60" w:lineRule="exact"/>
        <w:jc w:val="center"/>
        <w:rPr>
          <w:rFonts w:ascii="仿宋" w:hAnsi="仿宋" w:eastAsia="仿宋"/>
          <w:kern w:val="0"/>
          <w:sz w:val="32"/>
          <w:szCs w:val="32"/>
        </w:rPr>
      </w:pPr>
      <w:r>
        <w:rPr>
          <w:rFonts w:hint="eastAsia" w:ascii="宋体" w:hAnsi="宋体"/>
          <w:b/>
          <w:bCs/>
          <w:kern w:val="0"/>
          <w:sz w:val="36"/>
          <w:szCs w:val="36"/>
        </w:rPr>
        <w:t>部门预算公开有关事项的说明</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textAlignment w:val="auto"/>
        <w:rPr>
          <w:rFonts w:hint="eastAsia" w:ascii="仿宋" w:hAnsi="仿宋" w:eastAsia="仿宋"/>
          <w:kern w:val="0"/>
          <w:sz w:val="32"/>
          <w:szCs w:val="32"/>
        </w:rPr>
      </w:pPr>
      <w:r>
        <w:rPr>
          <w:rFonts w:hint="eastAsia" w:ascii="仿宋" w:hAnsi="仿宋" w:eastAsia="仿宋"/>
          <w:kern w:val="0"/>
          <w:sz w:val="32"/>
          <w:szCs w:val="32"/>
        </w:rPr>
        <w:t xml:space="preserve">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textAlignment w:val="auto"/>
        <w:rPr>
          <w:rFonts w:hint="eastAsia" w:ascii="仿宋" w:hAnsi="仿宋" w:eastAsia="仿宋"/>
          <w:b/>
          <w:bCs/>
          <w:kern w:val="0"/>
          <w:sz w:val="32"/>
          <w:szCs w:val="32"/>
        </w:rPr>
      </w:pPr>
      <w:r>
        <w:rPr>
          <w:rFonts w:hint="eastAsia" w:ascii="仿宋" w:hAnsi="仿宋" w:eastAsia="仿宋"/>
          <w:kern w:val="0"/>
          <w:sz w:val="32"/>
          <w:szCs w:val="32"/>
        </w:rPr>
        <w:t xml:space="preserve">   </w:t>
      </w:r>
      <w:r>
        <w:rPr>
          <w:rFonts w:hint="eastAsia" w:ascii="仿宋" w:hAnsi="仿宋" w:eastAsia="仿宋"/>
          <w:b/>
          <w:bCs/>
          <w:kern w:val="0"/>
          <w:sz w:val="32"/>
          <w:szCs w:val="32"/>
        </w:rPr>
        <w:t xml:space="preserve"> 一、部门职责、机构设置等基本情况</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textAlignment w:val="auto"/>
        <w:rPr>
          <w:rFonts w:hint="eastAsia" w:ascii="仿宋" w:hAnsi="仿宋" w:eastAsia="仿宋"/>
          <w:kern w:val="0"/>
          <w:sz w:val="32"/>
          <w:szCs w:val="32"/>
        </w:rPr>
      </w:pPr>
      <w:r>
        <w:rPr>
          <w:rFonts w:hint="eastAsia" w:ascii="仿宋" w:hAnsi="仿宋" w:eastAsia="仿宋"/>
          <w:kern w:val="0"/>
          <w:sz w:val="32"/>
          <w:szCs w:val="32"/>
        </w:rPr>
        <w:t>1、部门职责</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 w:hAnsi="仿宋" w:eastAsia="仿宋"/>
          <w:sz w:val="32"/>
          <w:szCs w:val="32"/>
        </w:rPr>
      </w:pPr>
      <w:r>
        <w:rPr>
          <w:rFonts w:hint="eastAsia" w:ascii="仿宋" w:hAnsi="仿宋" w:eastAsia="仿宋"/>
          <w:sz w:val="32"/>
          <w:szCs w:val="32"/>
        </w:rPr>
        <w:t>涞水县妇女联合会是党领导下的全县各族各界妇女的群众组织，是党和政府联系妇女群众的桥梁和纽带，其主要职责是：（1）团结、动员和组织全县妇女群众投身改革开放和社会主义物质文明、精神文明的建设，为维护改革、发展、稳定的大局服务。（2）宣传马克思主义妇女观和男女平等基本国策教育、引导妇女树立正确的世界观、人生观、价值观，弘扬“自尊、自信、自立、自强”的精神，积极推动和开展妇女的科技文化及生产劳动技能教育，全面提高妇女素质。（3）坚持为妇女儿童服务、为基层服务，加强与社会各界的联系，协调推动全社会为妇女儿童办实事、办好事。（4）维护妇女、儿童的合法权益，向社会各界宣传妇女，反映妇女的意见、要求，代表妇女参加社会协商对话，参与民主管理与监督，参与有关妇女儿童的法律、法规、条例的制定。（5）加强妇联基层组织建设，提高专职妇联干部的政治素质和业务能力，加强妇女干部的培训工作，做好妇女人才的发现和推荐工作。（6）承办与妇联有关的外事活动。</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textAlignment w:val="auto"/>
        <w:rPr>
          <w:rFonts w:hint="eastAsia" w:ascii="仿宋" w:hAnsi="仿宋" w:eastAsia="仿宋"/>
          <w:kern w:val="0"/>
          <w:sz w:val="32"/>
          <w:szCs w:val="32"/>
        </w:rPr>
      </w:pPr>
      <w:r>
        <w:rPr>
          <w:rFonts w:hint="eastAsia" w:ascii="仿宋" w:hAnsi="仿宋" w:eastAsia="仿宋"/>
          <w:kern w:val="0"/>
          <w:sz w:val="32"/>
          <w:szCs w:val="32"/>
        </w:rPr>
        <w:t>2、机构设置</w:t>
      </w:r>
    </w:p>
    <w:tbl>
      <w:tblPr>
        <w:tblStyle w:val="5"/>
        <w:tblW w:w="9780" w:type="dxa"/>
        <w:tblInd w:w="93" w:type="dxa"/>
        <w:tblLayout w:type="fixed"/>
        <w:tblCellMar>
          <w:top w:w="0" w:type="dxa"/>
          <w:left w:w="108" w:type="dxa"/>
          <w:bottom w:w="0" w:type="dxa"/>
          <w:right w:w="108" w:type="dxa"/>
        </w:tblCellMar>
      </w:tblPr>
      <w:tblGrid>
        <w:gridCol w:w="1077"/>
        <w:gridCol w:w="2476"/>
        <w:gridCol w:w="1958"/>
        <w:gridCol w:w="1897"/>
        <w:gridCol w:w="2372"/>
      </w:tblGrid>
      <w:tr>
        <w:tblPrEx>
          <w:tblLayout w:type="fixed"/>
        </w:tblPrEx>
        <w:trPr>
          <w:trHeight w:val="631" w:hRule="atLeast"/>
        </w:trPr>
        <w:tc>
          <w:tcPr>
            <w:tcW w:w="9780" w:type="dxa"/>
            <w:gridSpan w:val="5"/>
            <w:tcBorders>
              <w:top w:val="nil"/>
              <w:left w:val="nil"/>
              <w:bottom w:val="single" w:color="auto" w:sz="4" w:space="0"/>
              <w:right w:val="nil"/>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部门机构设置情况</w:t>
            </w:r>
          </w:p>
        </w:tc>
      </w:tr>
      <w:tr>
        <w:tblPrEx>
          <w:tblLayout w:type="fixed"/>
        </w:tblPrEx>
        <w:trPr>
          <w:trHeight w:val="573" w:hRule="atLeast"/>
        </w:trPr>
        <w:tc>
          <w:tcPr>
            <w:tcW w:w="107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序号</w:t>
            </w:r>
          </w:p>
        </w:tc>
        <w:tc>
          <w:tcPr>
            <w:tcW w:w="247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单位名称</w:t>
            </w:r>
          </w:p>
        </w:tc>
        <w:tc>
          <w:tcPr>
            <w:tcW w:w="195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单位性质</w:t>
            </w:r>
          </w:p>
        </w:tc>
        <w:tc>
          <w:tcPr>
            <w:tcW w:w="189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单位规格</w:t>
            </w:r>
          </w:p>
        </w:tc>
        <w:tc>
          <w:tcPr>
            <w:tcW w:w="2372"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经费保障形式</w:t>
            </w:r>
          </w:p>
        </w:tc>
      </w:tr>
      <w:tr>
        <w:tblPrEx>
          <w:tblLayout w:type="fixed"/>
          <w:tblCellMar>
            <w:top w:w="0" w:type="dxa"/>
            <w:left w:w="108" w:type="dxa"/>
            <w:bottom w:w="0" w:type="dxa"/>
            <w:right w:w="108" w:type="dxa"/>
          </w:tblCellMar>
        </w:tblPrEx>
        <w:trPr>
          <w:trHeight w:val="573" w:hRule="atLeast"/>
        </w:trPr>
        <w:tc>
          <w:tcPr>
            <w:tcW w:w="107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rPr>
                <w:rFonts w:ascii="宋体" w:hAnsi="宋体" w:cs="宋体"/>
                <w:color w:val="000000"/>
                <w:kern w:val="0"/>
                <w:sz w:val="28"/>
                <w:szCs w:val="28"/>
              </w:rPr>
            </w:pPr>
          </w:p>
        </w:tc>
        <w:tc>
          <w:tcPr>
            <w:tcW w:w="247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rPr>
                <w:rFonts w:ascii="宋体" w:hAnsi="宋体" w:cs="宋体"/>
                <w:color w:val="000000"/>
                <w:kern w:val="0"/>
                <w:sz w:val="28"/>
                <w:szCs w:val="28"/>
              </w:rPr>
            </w:pPr>
          </w:p>
        </w:tc>
        <w:tc>
          <w:tcPr>
            <w:tcW w:w="195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rPr>
                <w:rFonts w:ascii="宋体" w:hAnsi="宋体" w:cs="宋体"/>
                <w:color w:val="000000"/>
                <w:kern w:val="0"/>
                <w:sz w:val="28"/>
                <w:szCs w:val="28"/>
              </w:rPr>
            </w:pPr>
          </w:p>
        </w:tc>
        <w:tc>
          <w:tcPr>
            <w:tcW w:w="18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rPr>
                <w:rFonts w:ascii="宋体" w:hAnsi="宋体" w:cs="宋体"/>
                <w:color w:val="000000"/>
                <w:kern w:val="0"/>
                <w:sz w:val="28"/>
                <w:szCs w:val="28"/>
              </w:rPr>
            </w:pPr>
          </w:p>
        </w:tc>
        <w:tc>
          <w:tcPr>
            <w:tcW w:w="237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652" w:hRule="atLeast"/>
        </w:trPr>
        <w:tc>
          <w:tcPr>
            <w:tcW w:w="10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1</w:t>
            </w:r>
          </w:p>
        </w:tc>
        <w:tc>
          <w:tcPr>
            <w:tcW w:w="24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涞水县妇女联合会</w:t>
            </w:r>
          </w:p>
        </w:tc>
        <w:tc>
          <w:tcPr>
            <w:tcW w:w="19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行政</w:t>
            </w:r>
          </w:p>
        </w:tc>
        <w:tc>
          <w:tcPr>
            <w:tcW w:w="18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正科级</w:t>
            </w:r>
          </w:p>
        </w:tc>
        <w:tc>
          <w:tcPr>
            <w:tcW w:w="237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财政拨款</w:t>
            </w:r>
          </w:p>
        </w:tc>
      </w:tr>
    </w:tbl>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800" w:firstLineChars="250"/>
        <w:textAlignment w:val="auto"/>
        <w:rPr>
          <w:rFonts w:hint="eastAsia" w:ascii="仿宋" w:hAnsi="仿宋" w:eastAsia="仿宋"/>
          <w:kern w:val="0"/>
          <w:sz w:val="32"/>
          <w:szCs w:val="32"/>
        </w:rPr>
      </w:pPr>
      <w:r>
        <w:rPr>
          <w:rFonts w:hint="eastAsia" w:ascii="仿宋" w:hAnsi="仿宋" w:eastAsia="仿宋"/>
          <w:kern w:val="0"/>
          <w:sz w:val="32"/>
          <w:szCs w:val="32"/>
        </w:rPr>
        <w:t>按照“三定方案”涞办字【2002】46号文件要求，县妇联设1个股室，即办公室。行政编制3名，其中主席1名，副主席1名，股级职数1名。</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textAlignment w:val="auto"/>
        <w:rPr>
          <w:rFonts w:hint="eastAsia" w:ascii="仿宋" w:hAnsi="仿宋" w:eastAsia="仿宋"/>
          <w:kern w:val="0"/>
          <w:sz w:val="32"/>
          <w:szCs w:val="32"/>
        </w:rPr>
      </w:pPr>
      <w:r>
        <w:rPr>
          <w:rFonts w:hint="eastAsia" w:ascii="仿宋" w:hAnsi="仿宋" w:eastAsia="仿宋"/>
          <w:kern w:val="0"/>
          <w:sz w:val="32"/>
          <w:szCs w:val="32"/>
        </w:rPr>
        <w:t>涞水县妇女儿童工作委员会办公室是县政府派出机构，办公室设在县妇联，专职人员编制1名。</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textAlignment w:val="auto"/>
        <w:rPr>
          <w:rFonts w:hint="eastAsia" w:ascii="仿宋" w:hAnsi="仿宋" w:eastAsia="仿宋"/>
          <w:b/>
          <w:bCs/>
          <w:kern w:val="0"/>
          <w:sz w:val="32"/>
          <w:szCs w:val="32"/>
        </w:rPr>
      </w:pPr>
      <w:r>
        <w:rPr>
          <w:rFonts w:hint="eastAsia" w:ascii="仿宋" w:hAnsi="仿宋" w:eastAsia="仿宋"/>
          <w:kern w:val="0"/>
          <w:sz w:val="32"/>
          <w:szCs w:val="32"/>
        </w:rPr>
        <w:t xml:space="preserve">    </w:t>
      </w:r>
      <w:r>
        <w:rPr>
          <w:rFonts w:hint="eastAsia" w:ascii="仿宋" w:hAnsi="仿宋" w:eastAsia="仿宋"/>
          <w:b/>
          <w:bCs/>
          <w:kern w:val="0"/>
          <w:sz w:val="32"/>
          <w:szCs w:val="32"/>
        </w:rPr>
        <w:t>二、部门预算安排总体情况</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textAlignment w:val="auto"/>
        <w:rPr>
          <w:rFonts w:hint="eastAsia" w:ascii="仿宋" w:hAnsi="仿宋" w:eastAsia="仿宋"/>
          <w:kern w:val="0"/>
          <w:sz w:val="32"/>
          <w:szCs w:val="32"/>
        </w:rPr>
      </w:pPr>
      <w:r>
        <w:rPr>
          <w:rFonts w:hint="eastAsia" w:ascii="仿宋" w:hAnsi="仿宋" w:eastAsia="仿宋"/>
          <w:kern w:val="0"/>
          <w:sz w:val="32"/>
          <w:szCs w:val="32"/>
        </w:rPr>
        <w:t>部门预算收入</w:t>
      </w:r>
      <w:r>
        <w:rPr>
          <w:rFonts w:hint="eastAsia" w:ascii="仿宋" w:hAnsi="仿宋" w:eastAsia="仿宋"/>
          <w:kern w:val="0"/>
          <w:sz w:val="32"/>
          <w:szCs w:val="32"/>
          <w:lang w:val="en-US" w:eastAsia="zh-CN"/>
        </w:rPr>
        <w:t>37.20</w:t>
      </w:r>
      <w:r>
        <w:rPr>
          <w:rFonts w:hint="eastAsia" w:ascii="仿宋" w:hAnsi="仿宋" w:eastAsia="仿宋"/>
          <w:kern w:val="0"/>
          <w:sz w:val="32"/>
          <w:szCs w:val="32"/>
        </w:rPr>
        <w:t>万元，其中：一般公共预算拨款</w:t>
      </w:r>
      <w:r>
        <w:rPr>
          <w:rFonts w:hint="eastAsia" w:ascii="仿宋" w:hAnsi="仿宋" w:eastAsia="仿宋"/>
          <w:kern w:val="0"/>
          <w:sz w:val="32"/>
          <w:szCs w:val="32"/>
          <w:lang w:val="en-US" w:eastAsia="zh-CN"/>
        </w:rPr>
        <w:t>37.20</w:t>
      </w:r>
      <w:r>
        <w:rPr>
          <w:rFonts w:hint="eastAsia" w:ascii="仿宋" w:hAnsi="仿宋" w:eastAsia="仿宋"/>
          <w:kern w:val="0"/>
          <w:sz w:val="32"/>
          <w:szCs w:val="32"/>
        </w:rPr>
        <w:t>万元。</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textAlignment w:val="auto"/>
        <w:rPr>
          <w:rFonts w:hint="eastAsia" w:ascii="仿宋" w:hAnsi="仿宋" w:eastAsia="仿宋"/>
          <w:kern w:val="0"/>
          <w:sz w:val="32"/>
          <w:szCs w:val="32"/>
        </w:rPr>
      </w:pPr>
      <w:r>
        <w:rPr>
          <w:rFonts w:hint="eastAsia" w:ascii="仿宋" w:hAnsi="仿宋" w:eastAsia="仿宋"/>
          <w:kern w:val="0"/>
          <w:sz w:val="32"/>
          <w:szCs w:val="32"/>
        </w:rPr>
        <w:t>部门预算支出</w:t>
      </w:r>
      <w:r>
        <w:rPr>
          <w:rFonts w:hint="eastAsia" w:ascii="仿宋" w:hAnsi="仿宋" w:eastAsia="仿宋"/>
          <w:kern w:val="0"/>
          <w:sz w:val="32"/>
          <w:szCs w:val="32"/>
          <w:lang w:val="en-US" w:eastAsia="zh-CN"/>
        </w:rPr>
        <w:t>37.20</w:t>
      </w:r>
      <w:r>
        <w:rPr>
          <w:rFonts w:hint="eastAsia" w:ascii="仿宋" w:hAnsi="仿宋" w:eastAsia="仿宋"/>
          <w:kern w:val="0"/>
          <w:sz w:val="32"/>
          <w:szCs w:val="32"/>
        </w:rPr>
        <w:t>万元</w:t>
      </w:r>
      <w:r>
        <w:rPr>
          <w:rFonts w:hint="eastAsia" w:ascii="仿宋" w:hAnsi="仿宋" w:eastAsia="仿宋"/>
          <w:kern w:val="0"/>
          <w:sz w:val="32"/>
          <w:szCs w:val="32"/>
          <w:lang w:eastAsia="zh-CN"/>
        </w:rPr>
        <w:t>，</w:t>
      </w:r>
      <w:r>
        <w:rPr>
          <w:rFonts w:hint="eastAsia" w:ascii="仿宋" w:hAnsi="仿宋" w:eastAsia="仿宋"/>
          <w:kern w:val="0"/>
          <w:sz w:val="32"/>
          <w:szCs w:val="32"/>
        </w:rPr>
        <w:t>其中：基本支出</w:t>
      </w:r>
      <w:r>
        <w:rPr>
          <w:rFonts w:hint="eastAsia" w:ascii="仿宋" w:hAnsi="仿宋" w:eastAsia="仿宋"/>
          <w:kern w:val="0"/>
          <w:sz w:val="32"/>
          <w:szCs w:val="32"/>
          <w:lang w:val="en-US" w:eastAsia="zh-CN"/>
        </w:rPr>
        <w:t>28.96</w:t>
      </w:r>
      <w:r>
        <w:rPr>
          <w:rFonts w:hint="eastAsia" w:ascii="仿宋" w:hAnsi="仿宋" w:eastAsia="仿宋"/>
          <w:kern w:val="0"/>
          <w:sz w:val="32"/>
          <w:szCs w:val="32"/>
        </w:rPr>
        <w:t>万元，（其中人员经费</w:t>
      </w:r>
      <w:r>
        <w:rPr>
          <w:rFonts w:hint="eastAsia" w:ascii="仿宋" w:hAnsi="仿宋" w:eastAsia="仿宋"/>
          <w:kern w:val="0"/>
          <w:sz w:val="32"/>
          <w:szCs w:val="32"/>
          <w:lang w:val="en-US" w:eastAsia="zh-CN"/>
        </w:rPr>
        <w:t>24.91</w:t>
      </w:r>
      <w:r>
        <w:rPr>
          <w:rFonts w:hint="eastAsia" w:ascii="仿宋" w:hAnsi="仿宋" w:eastAsia="仿宋"/>
          <w:kern w:val="0"/>
          <w:sz w:val="32"/>
          <w:szCs w:val="32"/>
        </w:rPr>
        <w:t>万元，日常公用费用</w:t>
      </w:r>
      <w:r>
        <w:rPr>
          <w:rFonts w:hint="eastAsia" w:ascii="仿宋" w:hAnsi="仿宋" w:eastAsia="仿宋"/>
          <w:kern w:val="0"/>
          <w:sz w:val="32"/>
          <w:szCs w:val="32"/>
          <w:lang w:val="en-US" w:eastAsia="zh-CN"/>
        </w:rPr>
        <w:t>4.05</w:t>
      </w:r>
      <w:r>
        <w:rPr>
          <w:rFonts w:hint="eastAsia" w:ascii="仿宋" w:hAnsi="仿宋" w:eastAsia="仿宋"/>
          <w:kern w:val="0"/>
          <w:sz w:val="32"/>
          <w:szCs w:val="32"/>
        </w:rPr>
        <w:t>万元）；项目支出</w:t>
      </w:r>
      <w:r>
        <w:rPr>
          <w:rFonts w:hint="eastAsia" w:ascii="仿宋" w:hAnsi="仿宋" w:eastAsia="仿宋"/>
          <w:kern w:val="0"/>
          <w:sz w:val="32"/>
          <w:szCs w:val="32"/>
          <w:lang w:val="en-US" w:eastAsia="zh-CN"/>
        </w:rPr>
        <w:t>8.24</w:t>
      </w:r>
      <w:r>
        <w:rPr>
          <w:rFonts w:hint="eastAsia" w:ascii="仿宋" w:hAnsi="仿宋" w:eastAsia="仿宋"/>
          <w:kern w:val="0"/>
          <w:sz w:val="32"/>
          <w:szCs w:val="32"/>
        </w:rPr>
        <w:t>万元。</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textAlignment w:val="auto"/>
        <w:rPr>
          <w:rFonts w:hint="eastAsia" w:ascii="仿宋" w:hAnsi="仿宋" w:eastAsia="仿宋"/>
          <w:b/>
          <w:bCs/>
          <w:kern w:val="0"/>
          <w:sz w:val="32"/>
          <w:szCs w:val="32"/>
        </w:rPr>
      </w:pPr>
      <w:r>
        <w:rPr>
          <w:rFonts w:hint="eastAsia" w:ascii="仿宋" w:hAnsi="仿宋" w:eastAsia="仿宋"/>
          <w:kern w:val="0"/>
          <w:sz w:val="32"/>
          <w:szCs w:val="32"/>
        </w:rPr>
        <w:t>比上年增减情况：本年度收支安排</w:t>
      </w:r>
      <w:r>
        <w:rPr>
          <w:rFonts w:hint="eastAsia" w:ascii="仿宋" w:hAnsi="仿宋" w:eastAsia="仿宋"/>
          <w:kern w:val="0"/>
          <w:sz w:val="32"/>
          <w:szCs w:val="32"/>
          <w:lang w:val="en-US" w:eastAsia="zh-CN"/>
        </w:rPr>
        <w:t>37.20</w:t>
      </w:r>
      <w:r>
        <w:rPr>
          <w:rFonts w:hint="eastAsia" w:ascii="仿宋" w:hAnsi="仿宋" w:eastAsia="仿宋"/>
          <w:kern w:val="0"/>
          <w:sz w:val="32"/>
          <w:szCs w:val="32"/>
        </w:rPr>
        <w:t>万元，较上年减少</w:t>
      </w:r>
      <w:r>
        <w:rPr>
          <w:rFonts w:hint="eastAsia" w:ascii="仿宋" w:hAnsi="仿宋" w:eastAsia="仿宋"/>
          <w:kern w:val="0"/>
          <w:sz w:val="32"/>
          <w:szCs w:val="32"/>
          <w:lang w:val="en-US" w:eastAsia="zh-CN"/>
        </w:rPr>
        <w:t>31.40</w:t>
      </w:r>
      <w:r>
        <w:rPr>
          <w:rFonts w:hint="eastAsia" w:ascii="仿宋" w:hAnsi="仿宋" w:eastAsia="仿宋"/>
          <w:kern w:val="0"/>
          <w:sz w:val="32"/>
          <w:szCs w:val="32"/>
        </w:rPr>
        <w:t>万元。其中，基本支出减少</w:t>
      </w:r>
      <w:r>
        <w:rPr>
          <w:rFonts w:hint="eastAsia" w:ascii="仿宋" w:hAnsi="仿宋" w:eastAsia="仿宋"/>
          <w:kern w:val="0"/>
          <w:sz w:val="32"/>
          <w:szCs w:val="32"/>
          <w:lang w:val="en-US" w:eastAsia="zh-CN"/>
        </w:rPr>
        <w:t>32.64</w:t>
      </w:r>
      <w:r>
        <w:rPr>
          <w:rFonts w:hint="eastAsia" w:ascii="仿宋" w:hAnsi="仿宋" w:eastAsia="仿宋"/>
          <w:kern w:val="0"/>
          <w:sz w:val="32"/>
          <w:szCs w:val="32"/>
        </w:rPr>
        <w:t>万元，减少原因为</w:t>
      </w:r>
      <w:r>
        <w:rPr>
          <w:rFonts w:hint="eastAsia" w:ascii="仿宋" w:hAnsi="仿宋" w:eastAsia="仿宋"/>
          <w:kern w:val="0"/>
          <w:sz w:val="32"/>
          <w:szCs w:val="32"/>
          <w:lang w:eastAsia="zh-CN"/>
        </w:rPr>
        <w:t>退休人员经费由财政统一安排，不在我单位预算安排</w:t>
      </w:r>
      <w:r>
        <w:rPr>
          <w:rFonts w:hint="eastAsia" w:ascii="仿宋" w:hAnsi="仿宋" w:eastAsia="仿宋"/>
          <w:kern w:val="0"/>
          <w:sz w:val="32"/>
          <w:szCs w:val="32"/>
        </w:rPr>
        <w:t>；项目支出</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1.24</w:t>
      </w:r>
      <w:r>
        <w:rPr>
          <w:rFonts w:hint="eastAsia" w:ascii="仿宋" w:hAnsi="仿宋" w:eastAsia="仿宋"/>
          <w:kern w:val="0"/>
          <w:sz w:val="32"/>
          <w:szCs w:val="32"/>
        </w:rPr>
        <w:t>万元，</w:t>
      </w:r>
      <w:r>
        <w:rPr>
          <w:rFonts w:hint="eastAsia" w:ascii="仿宋" w:hAnsi="仿宋" w:eastAsia="仿宋"/>
          <w:kern w:val="0"/>
          <w:sz w:val="32"/>
          <w:szCs w:val="32"/>
          <w:lang w:eastAsia="zh-CN"/>
        </w:rPr>
        <w:t>增加</w:t>
      </w:r>
      <w:r>
        <w:rPr>
          <w:rFonts w:hint="eastAsia" w:ascii="仿宋" w:hAnsi="仿宋" w:eastAsia="仿宋"/>
          <w:kern w:val="0"/>
          <w:sz w:val="32"/>
          <w:szCs w:val="32"/>
        </w:rPr>
        <w:t>原因为</w:t>
      </w:r>
      <w:r>
        <w:rPr>
          <w:rFonts w:hint="eastAsia" w:ascii="仿宋" w:hAnsi="仿宋" w:eastAsia="仿宋"/>
          <w:kern w:val="0"/>
          <w:sz w:val="32"/>
          <w:szCs w:val="32"/>
          <w:lang w:eastAsia="zh-CN"/>
        </w:rPr>
        <w:t>增加财政专线网络及普法宣传</w:t>
      </w:r>
      <w:r>
        <w:rPr>
          <w:rFonts w:hint="eastAsia" w:ascii="仿宋" w:hAnsi="仿宋" w:eastAsia="仿宋"/>
          <w:kern w:val="0"/>
          <w:sz w:val="32"/>
          <w:szCs w:val="32"/>
        </w:rPr>
        <w:t>经费。</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textAlignment w:val="auto"/>
        <w:rPr>
          <w:rFonts w:hint="eastAsia" w:ascii="仿宋" w:hAnsi="仿宋" w:eastAsia="仿宋"/>
          <w:b/>
          <w:bCs/>
          <w:kern w:val="0"/>
          <w:sz w:val="32"/>
          <w:szCs w:val="32"/>
        </w:rPr>
      </w:pPr>
      <w:r>
        <w:rPr>
          <w:rFonts w:hint="eastAsia" w:ascii="仿宋" w:hAnsi="仿宋" w:eastAsia="仿宋"/>
          <w:kern w:val="0"/>
          <w:sz w:val="32"/>
          <w:szCs w:val="32"/>
        </w:rPr>
        <w:t xml:space="preserve">    </w:t>
      </w:r>
      <w:r>
        <w:rPr>
          <w:rFonts w:hint="eastAsia" w:ascii="仿宋" w:hAnsi="仿宋" w:eastAsia="仿宋"/>
          <w:b/>
          <w:bCs/>
          <w:kern w:val="0"/>
          <w:sz w:val="32"/>
          <w:szCs w:val="32"/>
        </w:rPr>
        <w:t>三、机关运行经费安排情况</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textAlignment w:val="auto"/>
        <w:rPr>
          <w:rFonts w:hint="eastAsia" w:ascii="仿宋" w:hAnsi="仿宋" w:eastAsia="仿宋"/>
          <w:spacing w:val="0"/>
          <w:kern w:val="0"/>
          <w:sz w:val="32"/>
          <w:szCs w:val="32"/>
        </w:rPr>
      </w:pPr>
      <w:r>
        <w:rPr>
          <w:rFonts w:hint="eastAsia" w:ascii="仿宋" w:hAnsi="仿宋" w:eastAsia="仿宋"/>
          <w:kern w:val="0"/>
          <w:sz w:val="32"/>
          <w:szCs w:val="32"/>
        </w:rPr>
        <w:t xml:space="preserve">    机关运行经费</w:t>
      </w:r>
      <w:r>
        <w:rPr>
          <w:rFonts w:hint="eastAsia" w:ascii="仿宋" w:hAnsi="仿宋" w:eastAsia="仿宋"/>
          <w:kern w:val="0"/>
          <w:sz w:val="32"/>
          <w:szCs w:val="32"/>
          <w:lang w:val="en-US" w:eastAsia="zh-CN"/>
        </w:rPr>
        <w:t>4.05</w:t>
      </w:r>
      <w:r>
        <w:rPr>
          <w:rFonts w:hint="eastAsia" w:ascii="仿宋" w:hAnsi="仿宋" w:eastAsia="仿宋"/>
          <w:kern w:val="0"/>
          <w:sz w:val="32"/>
          <w:szCs w:val="32"/>
        </w:rPr>
        <w:t>万元,其中：办公费0.</w:t>
      </w:r>
      <w:r>
        <w:rPr>
          <w:rFonts w:hint="eastAsia" w:ascii="仿宋" w:hAnsi="仿宋" w:eastAsia="仿宋"/>
          <w:kern w:val="0"/>
          <w:sz w:val="32"/>
          <w:szCs w:val="32"/>
          <w:lang w:val="en-US" w:eastAsia="zh-CN"/>
        </w:rPr>
        <w:t>66</w:t>
      </w:r>
      <w:r>
        <w:rPr>
          <w:rFonts w:hint="eastAsia" w:ascii="仿宋" w:hAnsi="仿宋" w:eastAsia="仿宋"/>
          <w:kern w:val="0"/>
          <w:sz w:val="32"/>
          <w:szCs w:val="32"/>
        </w:rPr>
        <w:t>万元、邮</w:t>
      </w:r>
      <w:r>
        <w:rPr>
          <w:rFonts w:hint="eastAsia" w:ascii="仿宋" w:hAnsi="仿宋" w:eastAsia="仿宋"/>
          <w:spacing w:val="-20"/>
          <w:kern w:val="0"/>
          <w:sz w:val="32"/>
          <w:szCs w:val="32"/>
        </w:rPr>
        <w:t>电费0.</w:t>
      </w:r>
      <w:r>
        <w:rPr>
          <w:rFonts w:hint="eastAsia" w:ascii="仿宋" w:hAnsi="仿宋" w:eastAsia="仿宋"/>
          <w:spacing w:val="-20"/>
          <w:kern w:val="0"/>
          <w:sz w:val="32"/>
          <w:szCs w:val="32"/>
          <w:lang w:val="en-US" w:eastAsia="zh-CN"/>
        </w:rPr>
        <w:t>36</w:t>
      </w:r>
      <w:r>
        <w:rPr>
          <w:rFonts w:hint="eastAsia" w:ascii="仿宋" w:hAnsi="仿宋" w:eastAsia="仿宋"/>
          <w:spacing w:val="-20"/>
          <w:kern w:val="0"/>
          <w:sz w:val="32"/>
          <w:szCs w:val="32"/>
        </w:rPr>
        <w:t>万</w:t>
      </w:r>
      <w:r>
        <w:rPr>
          <w:rFonts w:hint="eastAsia" w:ascii="仿宋" w:hAnsi="仿宋" w:eastAsia="仿宋"/>
          <w:spacing w:val="0"/>
          <w:kern w:val="0"/>
          <w:sz w:val="32"/>
          <w:szCs w:val="32"/>
        </w:rPr>
        <w:t>元、</w:t>
      </w:r>
      <w:r>
        <w:rPr>
          <w:rFonts w:hint="eastAsia" w:ascii="仿宋" w:hAnsi="仿宋" w:eastAsia="仿宋"/>
          <w:spacing w:val="0"/>
          <w:kern w:val="0"/>
          <w:sz w:val="32"/>
          <w:szCs w:val="32"/>
          <w:lang w:eastAsia="zh-CN"/>
        </w:rPr>
        <w:t>差旅费</w:t>
      </w:r>
      <w:r>
        <w:rPr>
          <w:rFonts w:hint="eastAsia" w:ascii="仿宋" w:hAnsi="仿宋" w:eastAsia="仿宋"/>
          <w:spacing w:val="0"/>
          <w:kern w:val="0"/>
          <w:sz w:val="32"/>
          <w:szCs w:val="32"/>
          <w:lang w:val="en-US" w:eastAsia="zh-CN"/>
        </w:rPr>
        <w:t>0.30万元、公务交通补贴1.86万元、</w:t>
      </w:r>
      <w:r>
        <w:rPr>
          <w:rFonts w:hint="eastAsia" w:ascii="仿宋" w:hAnsi="仿宋" w:eastAsia="仿宋"/>
          <w:spacing w:val="0"/>
          <w:kern w:val="0"/>
          <w:sz w:val="32"/>
          <w:szCs w:val="32"/>
        </w:rPr>
        <w:t>工会经费0.</w:t>
      </w:r>
      <w:r>
        <w:rPr>
          <w:rFonts w:hint="eastAsia" w:ascii="仿宋" w:hAnsi="仿宋" w:eastAsia="仿宋"/>
          <w:spacing w:val="0"/>
          <w:kern w:val="0"/>
          <w:sz w:val="32"/>
          <w:szCs w:val="32"/>
          <w:lang w:val="en-US" w:eastAsia="zh-CN"/>
        </w:rPr>
        <w:t>18</w:t>
      </w:r>
      <w:r>
        <w:rPr>
          <w:rFonts w:hint="eastAsia" w:ascii="仿宋" w:hAnsi="仿宋" w:eastAsia="仿宋"/>
          <w:spacing w:val="0"/>
          <w:kern w:val="0"/>
          <w:sz w:val="32"/>
          <w:szCs w:val="32"/>
        </w:rPr>
        <w:t>万元、职工福利费0.</w:t>
      </w:r>
      <w:r>
        <w:rPr>
          <w:rFonts w:hint="eastAsia" w:ascii="仿宋" w:hAnsi="仿宋" w:eastAsia="仿宋"/>
          <w:spacing w:val="0"/>
          <w:kern w:val="0"/>
          <w:sz w:val="32"/>
          <w:szCs w:val="32"/>
          <w:lang w:val="en-US" w:eastAsia="zh-CN"/>
        </w:rPr>
        <w:t>69</w:t>
      </w:r>
      <w:r>
        <w:rPr>
          <w:rFonts w:hint="eastAsia" w:ascii="仿宋" w:hAnsi="仿宋" w:eastAsia="仿宋"/>
          <w:spacing w:val="0"/>
          <w:kern w:val="0"/>
          <w:sz w:val="32"/>
          <w:szCs w:val="32"/>
        </w:rPr>
        <w:t>万元。</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textAlignment w:val="auto"/>
        <w:rPr>
          <w:rFonts w:hint="eastAsia" w:ascii="仿宋" w:hAnsi="仿宋" w:eastAsia="仿宋"/>
          <w:kern w:val="0"/>
          <w:sz w:val="32"/>
          <w:szCs w:val="32"/>
        </w:rPr>
      </w:pPr>
      <w:r>
        <w:rPr>
          <w:rFonts w:hint="eastAsia" w:ascii="仿宋" w:hAnsi="仿宋" w:eastAsia="仿宋"/>
          <w:kern w:val="0"/>
          <w:sz w:val="32"/>
          <w:szCs w:val="32"/>
        </w:rPr>
        <w:t xml:space="preserve">    </w:t>
      </w:r>
      <w:r>
        <w:rPr>
          <w:rFonts w:hint="eastAsia" w:ascii="仿宋" w:hAnsi="仿宋" w:eastAsia="仿宋"/>
          <w:b/>
          <w:bCs/>
          <w:kern w:val="0"/>
          <w:sz w:val="32"/>
          <w:szCs w:val="32"/>
        </w:rPr>
        <w:t>四、财政拨款“三公”经费预算情况</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textAlignment w:val="auto"/>
        <w:rPr>
          <w:rFonts w:hint="eastAsia" w:ascii="仿宋" w:hAnsi="仿宋" w:eastAsia="仿宋"/>
          <w:kern w:val="0"/>
          <w:sz w:val="32"/>
          <w:szCs w:val="32"/>
        </w:rPr>
      </w:pPr>
      <w:r>
        <w:rPr>
          <w:rFonts w:hint="eastAsia" w:ascii="仿宋" w:hAnsi="仿宋" w:eastAsia="仿宋"/>
          <w:kern w:val="0"/>
          <w:sz w:val="32"/>
          <w:szCs w:val="32"/>
        </w:rPr>
        <w:t xml:space="preserve">   “三公”经费预算为0。原因是我单位</w:t>
      </w:r>
      <w:r>
        <w:rPr>
          <w:rFonts w:hint="eastAsia" w:ascii="仿宋" w:hAnsi="仿宋" w:eastAsia="仿宋"/>
          <w:kern w:val="0"/>
          <w:sz w:val="32"/>
          <w:szCs w:val="32"/>
          <w:lang w:eastAsia="zh-CN"/>
        </w:rPr>
        <w:t>无</w:t>
      </w:r>
      <w:r>
        <w:rPr>
          <w:rFonts w:hint="eastAsia" w:ascii="仿宋" w:hAnsi="仿宋" w:eastAsia="仿宋"/>
          <w:kern w:val="0"/>
          <w:sz w:val="32"/>
          <w:szCs w:val="32"/>
        </w:rPr>
        <w:t>公务车</w:t>
      </w:r>
      <w:r>
        <w:rPr>
          <w:rFonts w:hint="eastAsia" w:ascii="仿宋" w:hAnsi="仿宋" w:eastAsia="仿宋"/>
          <w:kern w:val="0"/>
          <w:sz w:val="32"/>
          <w:szCs w:val="32"/>
          <w:lang w:eastAsia="zh-CN"/>
        </w:rPr>
        <w:t>，</w:t>
      </w:r>
      <w:r>
        <w:rPr>
          <w:rFonts w:hint="eastAsia" w:ascii="仿宋" w:hAnsi="仿宋" w:eastAsia="仿宋"/>
          <w:kern w:val="0"/>
          <w:sz w:val="32"/>
          <w:szCs w:val="32"/>
        </w:rPr>
        <w:t>其他会议费等列入项目支出中。</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right"/>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单位：万元</w:t>
      </w:r>
    </w:p>
    <w:tbl>
      <w:tblPr>
        <w:tblStyle w:val="5"/>
        <w:tblW w:w="100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6"/>
        <w:gridCol w:w="2016"/>
        <w:gridCol w:w="2016"/>
        <w:gridCol w:w="2016"/>
        <w:gridCol w:w="2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16" w:type="dxa"/>
            <w:vAlign w:val="top"/>
          </w:tcPr>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center"/>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项目名称</w:t>
            </w:r>
          </w:p>
        </w:tc>
        <w:tc>
          <w:tcPr>
            <w:tcW w:w="2016" w:type="dxa"/>
            <w:vAlign w:val="top"/>
          </w:tcPr>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center"/>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201</w:t>
            </w:r>
            <w:r>
              <w:rPr>
                <w:rFonts w:hint="eastAsia" w:ascii="仿宋" w:hAnsi="仿宋" w:eastAsia="仿宋"/>
                <w:b w:val="0"/>
                <w:bCs w:val="0"/>
                <w:kern w:val="0"/>
                <w:sz w:val="32"/>
                <w:szCs w:val="32"/>
                <w:lang w:val="en-US" w:eastAsia="zh-CN"/>
              </w:rPr>
              <w:t>7</w:t>
            </w:r>
            <w:r>
              <w:rPr>
                <w:rFonts w:hint="eastAsia" w:ascii="仿宋" w:hAnsi="仿宋" w:eastAsia="仿宋"/>
                <w:b w:val="0"/>
                <w:bCs w:val="0"/>
                <w:kern w:val="0"/>
                <w:sz w:val="32"/>
                <w:szCs w:val="32"/>
              </w:rPr>
              <w:t>年预算</w:t>
            </w:r>
          </w:p>
        </w:tc>
        <w:tc>
          <w:tcPr>
            <w:tcW w:w="2016" w:type="dxa"/>
            <w:vAlign w:val="top"/>
          </w:tcPr>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center"/>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201</w:t>
            </w:r>
            <w:r>
              <w:rPr>
                <w:rFonts w:hint="eastAsia" w:ascii="仿宋" w:hAnsi="仿宋" w:eastAsia="仿宋"/>
                <w:b w:val="0"/>
                <w:bCs w:val="0"/>
                <w:kern w:val="0"/>
                <w:sz w:val="32"/>
                <w:szCs w:val="32"/>
                <w:lang w:val="en-US" w:eastAsia="zh-CN"/>
              </w:rPr>
              <w:t>8</w:t>
            </w:r>
            <w:r>
              <w:rPr>
                <w:rFonts w:hint="eastAsia" w:ascii="仿宋" w:hAnsi="仿宋" w:eastAsia="仿宋"/>
                <w:b w:val="0"/>
                <w:bCs w:val="0"/>
                <w:kern w:val="0"/>
                <w:sz w:val="32"/>
                <w:szCs w:val="32"/>
              </w:rPr>
              <w:t>年预算</w:t>
            </w:r>
          </w:p>
        </w:tc>
        <w:tc>
          <w:tcPr>
            <w:tcW w:w="2016" w:type="dxa"/>
            <w:vAlign w:val="top"/>
          </w:tcPr>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center"/>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增减金额</w:t>
            </w:r>
          </w:p>
        </w:tc>
        <w:tc>
          <w:tcPr>
            <w:tcW w:w="2017" w:type="dxa"/>
            <w:vAlign w:val="top"/>
          </w:tcPr>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center"/>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变化原因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16" w:type="dxa"/>
            <w:vAlign w:val="center"/>
          </w:tcPr>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center"/>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公务车运行及维修费</w:t>
            </w:r>
          </w:p>
        </w:tc>
        <w:tc>
          <w:tcPr>
            <w:tcW w:w="2016" w:type="dxa"/>
            <w:vAlign w:val="center"/>
          </w:tcPr>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center"/>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lang w:val="en-US" w:eastAsia="zh-CN"/>
              </w:rPr>
              <w:t>0</w:t>
            </w:r>
            <w:r>
              <w:rPr>
                <w:rFonts w:hint="eastAsia" w:ascii="仿宋" w:hAnsi="仿宋" w:eastAsia="仿宋"/>
                <w:b w:val="0"/>
                <w:bCs w:val="0"/>
                <w:kern w:val="0"/>
                <w:sz w:val="32"/>
                <w:szCs w:val="32"/>
              </w:rPr>
              <w:t xml:space="preserve"> </w:t>
            </w:r>
          </w:p>
        </w:tc>
        <w:tc>
          <w:tcPr>
            <w:tcW w:w="2016" w:type="dxa"/>
            <w:vAlign w:val="center"/>
          </w:tcPr>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center"/>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0</w:t>
            </w:r>
          </w:p>
        </w:tc>
        <w:tc>
          <w:tcPr>
            <w:tcW w:w="2016" w:type="dxa"/>
            <w:vAlign w:val="center"/>
          </w:tcPr>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center"/>
              <w:textAlignment w:val="auto"/>
              <w:rPr>
                <w:rFonts w:hint="eastAsia" w:ascii="仿宋" w:hAnsi="仿宋" w:eastAsia="仿宋"/>
                <w:b w:val="0"/>
                <w:bCs w:val="0"/>
                <w:kern w:val="0"/>
                <w:sz w:val="32"/>
                <w:szCs w:val="32"/>
                <w:lang w:eastAsia="zh-CN"/>
              </w:rPr>
            </w:pPr>
            <w:r>
              <w:rPr>
                <w:rFonts w:hint="eastAsia" w:ascii="仿宋" w:hAnsi="仿宋" w:eastAsia="仿宋"/>
                <w:b w:val="0"/>
                <w:bCs w:val="0"/>
                <w:kern w:val="0"/>
                <w:sz w:val="32"/>
                <w:szCs w:val="32"/>
                <w:lang w:val="en-US" w:eastAsia="zh-CN"/>
              </w:rPr>
              <w:t>0</w:t>
            </w:r>
          </w:p>
        </w:tc>
        <w:tc>
          <w:tcPr>
            <w:tcW w:w="2017" w:type="dxa"/>
            <w:vAlign w:val="center"/>
          </w:tcPr>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jc w:val="center"/>
              <w:textAlignment w:val="auto"/>
              <w:rPr>
                <w:rFonts w:hint="eastAsia" w:ascii="仿宋" w:hAnsi="仿宋" w:eastAsia="仿宋"/>
                <w:b w:val="0"/>
                <w:bCs w:val="0"/>
                <w:kern w:val="0"/>
                <w:sz w:val="32"/>
                <w:szCs w:val="32"/>
                <w:lang w:eastAsia="zh-CN"/>
              </w:rPr>
            </w:pPr>
            <w:r>
              <w:rPr>
                <w:rFonts w:hint="eastAsia" w:ascii="仿宋" w:hAnsi="仿宋" w:eastAsia="仿宋"/>
                <w:b w:val="0"/>
                <w:bCs w:val="0"/>
                <w:kern w:val="0"/>
                <w:sz w:val="32"/>
                <w:szCs w:val="32"/>
                <w:lang w:eastAsia="zh-CN"/>
              </w:rPr>
              <w:t>无公务用车</w:t>
            </w:r>
          </w:p>
        </w:tc>
      </w:tr>
    </w:tbl>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27" w:firstLineChars="196"/>
        <w:textAlignment w:val="auto"/>
        <w:rPr>
          <w:rFonts w:hint="eastAsia" w:ascii="仿宋" w:hAnsi="仿宋" w:eastAsia="仿宋"/>
          <w:b/>
          <w:bCs/>
          <w:kern w:val="0"/>
          <w:sz w:val="32"/>
          <w:szCs w:val="32"/>
        </w:rPr>
      </w:pPr>
      <w:r>
        <w:rPr>
          <w:rFonts w:hint="eastAsia" w:ascii="仿宋" w:hAnsi="仿宋" w:eastAsia="仿宋"/>
          <w:b/>
          <w:bCs/>
          <w:kern w:val="0"/>
          <w:sz w:val="32"/>
          <w:szCs w:val="32"/>
        </w:rPr>
        <w:t>五、绩效预算信息情况</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textAlignment w:val="auto"/>
        <w:rPr>
          <w:rFonts w:hint="eastAsia" w:ascii="仿宋" w:hAnsi="仿宋" w:eastAsia="仿宋"/>
          <w:kern w:val="0"/>
          <w:sz w:val="32"/>
          <w:szCs w:val="32"/>
        </w:rPr>
      </w:pPr>
      <w:r>
        <w:rPr>
          <w:rFonts w:hint="eastAsia" w:ascii="仿宋" w:hAnsi="仿宋" w:eastAsia="仿宋"/>
          <w:kern w:val="0"/>
          <w:sz w:val="32"/>
          <w:szCs w:val="32"/>
        </w:rPr>
        <w:t>总体绩效目标：1、工作活动名称：团结动员妇女参加经济社会建设。工作活动要点描述：团结动员广大妇女积极投身五大建设，弘扬社会主义核心价值观，发扬“四自”精神，为全县经济社会发展作贡献。工作活动绩效目标：妇女积极参与妇联组织围绕县委县政府中心工作开展的各项活动，精神面貌有较大改观，创业就业能力逐步增强，素质得到有效提升。工作活动绩效指标：注册巾帼志愿者人数≥2500人为优、≥2000人为良、≥1500人为中、＜1500人为差；帮扶妇女创业人数≥10人为优、≥8人为良、≥6人为中、＜6人为差。</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textAlignment w:val="auto"/>
        <w:rPr>
          <w:rFonts w:hint="eastAsia" w:ascii="仿宋" w:hAnsi="仿宋" w:eastAsia="仿宋"/>
          <w:kern w:val="0"/>
          <w:sz w:val="32"/>
          <w:szCs w:val="32"/>
        </w:rPr>
      </w:pPr>
      <w:r>
        <w:rPr>
          <w:rFonts w:hint="eastAsia" w:ascii="仿宋" w:hAnsi="仿宋" w:eastAsia="仿宋"/>
          <w:kern w:val="0"/>
          <w:sz w:val="32"/>
          <w:szCs w:val="32"/>
        </w:rPr>
        <w:t>2、工作活动名称：维权服务。工作活动要点描述：维权服务。工作活动要点描述：关注和研究涉及妇女切身利益的热点难点问题，向县委县政府提出对策建议；参与有关妇女儿童政策和法律、法规草案的拟定，教育引导妇女依法维权，对权益受到侵害的妇女儿童和困境妇女儿童提供帮助。工作活动绩效目标：帮助权益受到侵害和困难的妇女儿童解决困难和问题，开展普法宣传教育，提高广大妇女儿童的维权意识和维权能力，维护妇女儿童合法权益。工作活动绩效指标：法律援助妇女侵权案件率≥90%为优、≥80%为良、≥70%为中、＜70%为差；妇女信访代理工作覆盖率≥90%为优、≥80%为良、≥70%为中、＜70%为差。</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textAlignment w:val="auto"/>
        <w:rPr>
          <w:rFonts w:hint="eastAsia" w:ascii="仿宋" w:hAnsi="仿宋" w:eastAsia="仿宋"/>
          <w:kern w:val="0"/>
          <w:sz w:val="32"/>
          <w:szCs w:val="32"/>
        </w:rPr>
      </w:pPr>
      <w:r>
        <w:rPr>
          <w:rFonts w:hint="eastAsia" w:ascii="仿宋" w:hAnsi="仿宋" w:eastAsia="仿宋"/>
          <w:kern w:val="0"/>
          <w:sz w:val="32"/>
          <w:szCs w:val="32"/>
        </w:rPr>
        <w:t>3、工作活动名称：教育培训与事业发展。工作活动要点描述：开展对妇女的科技文化、生产劳动技能和家庭、家教、家风教育。工作活动绩效目标：提高妇女科技素质、经营管理能力、家庭教育水平。工作活动绩效指标：培养妇女致富带头人人数≥20人为优、≥15人为良、≥10人为中、＜10人为差；培训达标率≥80%为优、≥70%为良、≥60%为中、＜60%为差。</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textAlignment w:val="auto"/>
        <w:rPr>
          <w:rFonts w:hint="eastAsia" w:ascii="仿宋" w:hAnsi="仿宋" w:eastAsia="仿宋"/>
          <w:kern w:val="0"/>
          <w:sz w:val="32"/>
          <w:szCs w:val="32"/>
        </w:rPr>
      </w:pPr>
      <w:r>
        <w:rPr>
          <w:rFonts w:hint="eastAsia" w:ascii="仿宋" w:hAnsi="仿宋" w:eastAsia="仿宋"/>
          <w:kern w:val="0"/>
          <w:sz w:val="32"/>
          <w:szCs w:val="32"/>
        </w:rPr>
        <w:t xml:space="preserve">   4、工作活动名称：综合业务管理。工作活动要点描述：开展”三有两突出“基层组织示范创建，加强妇联组织自身建设。加强与社会各界的联系，推动全社会为妇女儿童办实事。指导所属单位及各类协会工作。承办县委、县政府交办的有关工作。工作活动绩效目标：妇联基层组织的组织、阵地、队伍建设等得到加强，妇联干部工作能力和服务水平提高。工作活动绩效指标：创建示范基层组织数≥90%为优、≥85%为良、≥80%为中、＜80%为差；创建县级示范妇女之家数≥20家为优、≥15家为良、≥10家为中、＜10家为差；建设县级示范儿童之家数量≥20个为优、≥15个为良、≥10个为中、＜10个为差。</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textAlignment w:val="auto"/>
        <w:rPr>
          <w:rFonts w:hint="eastAsia" w:ascii="仿宋" w:hAnsi="仿宋" w:eastAsia="仿宋"/>
          <w:kern w:val="0"/>
          <w:sz w:val="32"/>
          <w:szCs w:val="32"/>
        </w:rPr>
      </w:pPr>
    </w:p>
    <w:p>
      <w:pPr>
        <w:keepNext w:val="0"/>
        <w:keepLines w:val="0"/>
        <w:pageBreakBefore w:val="0"/>
        <w:kinsoku/>
        <w:wordWrap/>
        <w:overflowPunct/>
        <w:topLinePunct w:val="0"/>
        <w:autoSpaceDN/>
        <w:bidi w:val="0"/>
        <w:adjustRightInd/>
        <w:snapToGrid/>
        <w:spacing w:line="500" w:lineRule="exact"/>
        <w:ind w:left="0" w:leftChars="0" w:right="0" w:rightChars="0"/>
        <w:jc w:val="center"/>
        <w:textAlignment w:val="auto"/>
        <w:outlineLvl w:val="0"/>
        <w:rPr>
          <w:rFonts w:ascii="方正小标宋_GBK" w:hAnsi="Times New Roman" w:eastAsia="方正小标宋_GBK"/>
          <w:sz w:val="32"/>
          <w:szCs w:val="24"/>
        </w:rPr>
        <w:sectPr>
          <w:pgSz w:w="11907" w:h="16839"/>
          <w:pgMar w:top="1361" w:right="1021" w:bottom="1361" w:left="1021" w:header="851" w:footer="992" w:gutter="0"/>
          <w:cols w:space="720" w:num="1"/>
          <w:docGrid w:type="linesAndChars" w:linePitch="312" w:charSpace="0"/>
        </w:sectPr>
      </w:pPr>
      <w:bookmarkStart w:id="0" w:name="_Toc446713502"/>
    </w:p>
    <w:bookmarkEnd w:id="0"/>
    <w:p>
      <w:pPr>
        <w:jc w:val="center"/>
        <w:outlineLvl w:val="0"/>
        <w:rPr>
          <w:rFonts w:hint="eastAsia" w:ascii="方正小标宋_GBK" w:eastAsia="方正小标宋_GBK"/>
          <w:sz w:val="32"/>
        </w:rPr>
      </w:pPr>
      <w:bookmarkStart w:id="1" w:name="_Toc507404843"/>
      <w:r>
        <w:rPr>
          <w:rFonts w:hint="eastAsia" w:ascii="方正小标宋_GBK" w:eastAsia="方正小标宋_GBK"/>
          <w:sz w:val="32"/>
        </w:rPr>
        <w:t>部门职责-工作活动绩效目标</w:t>
      </w:r>
      <w:bookmarkEnd w:id="1"/>
    </w:p>
    <w:tbl>
      <w:tblPr>
        <w:tblStyle w:val="5"/>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713</w:t>
            </w:r>
            <w:r>
              <w:rPr>
                <w:rFonts w:hint="eastAsia" w:ascii="方正小标宋_GBK" w:eastAsia="方正小标宋_GBK"/>
                <w:sz w:val="24"/>
              </w:rPr>
              <w:t>涞水县妇女联合会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一、团结动员妇女参加经济社会建设</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引导全县妇女听党话、跟党走，发扬</w:t>
            </w:r>
            <w:r>
              <w:rPr>
                <w:rFonts w:hint="cs" w:ascii="方正书宋_GBK" w:eastAsia="方正书宋_GBK"/>
                <w:cs/>
              </w:rPr>
              <w:t>“</w:t>
            </w:r>
            <w:r>
              <w:rPr>
                <w:rFonts w:hint="eastAsia" w:ascii="方正书宋_GBK" w:eastAsia="方正书宋_GBK"/>
              </w:rPr>
              <w:t>四自</w:t>
            </w:r>
            <w:r>
              <w:rPr>
                <w:rFonts w:hint="cs" w:ascii="方正书宋_GBK" w:eastAsia="方正书宋_GBK"/>
                <w:cs/>
              </w:rPr>
              <w:t>”</w:t>
            </w:r>
            <w:r>
              <w:rPr>
                <w:rFonts w:hint="eastAsia" w:ascii="方正书宋_GBK" w:eastAsia="方正书宋_GBK"/>
              </w:rPr>
              <w:t>精神，积极投身改革开放和社会主义经济、政治、文化、社会和生态文明建设，全面提高妇女素质，为建设经济县作贡献。</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围绕中心，服务大局，完成县委县政府交办的工作任务，全县妇女精神面貌有较大改观，创业就业能力逐步增强，素质得到有效提升。</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、团结动员妇女参加经济社会建设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3.00</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团结动员广大妇女积极投身五大建设，弘扬社会主义核心价值观，发扬</w:t>
            </w:r>
            <w:r>
              <w:rPr>
                <w:rFonts w:hint="cs" w:ascii="方正书宋_GBK" w:eastAsia="方正书宋_GBK"/>
                <w:cs/>
              </w:rPr>
              <w:t>“</w:t>
            </w:r>
            <w:r>
              <w:rPr>
                <w:rFonts w:hint="eastAsia" w:ascii="方正书宋_GBK" w:eastAsia="方正书宋_GBK"/>
              </w:rPr>
              <w:t>四自</w:t>
            </w:r>
            <w:r>
              <w:rPr>
                <w:rFonts w:hint="cs" w:ascii="方正书宋_GBK" w:eastAsia="方正书宋_GBK"/>
                <w:cs/>
              </w:rPr>
              <w:t>”</w:t>
            </w:r>
            <w:r>
              <w:rPr>
                <w:rFonts w:hint="eastAsia" w:ascii="方正书宋_GBK" w:eastAsia="方正书宋_GBK"/>
              </w:rPr>
              <w:t>精神，为全县经济社会发展作贡献。</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妇女积极参与妇联组织围绕县委县政府中心工作开展的各项活动，精神面貌有较大改观，创业就业能力逐步增强，素质得到有效提升。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帮扶妇女创业人数（人）</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注册巾帼志愿者人数（人）</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2500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二、维护妇女儿童合法权益促进妇女儿童发展</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关注涉及妇女切身利益的热点、难点问题，及时向县委县政府提出对策建议；强化维权工作，帮扶困境群体。积极开展对妇女的科技文化及生产劳动技能等各类教育培训。</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妇女综合素质和发展能力有较大提升。妇女儿童合法权益得到有效维护，男女平等基本国策宣传进一步深入人心。</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、维权服务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1.00</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关注和研究涉及妇女切身利益的热点难点问题，向县委县政府提出对策建议；参与有关妇女儿童政策和法律、法规草案的拟定，教育引导妇女依法维权，对权益受到侵害的妇女儿童和困境妇女儿童提供帮助。</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帮助权益受到侵害和困难的妇女儿童解决困难和问题，开展普法宣传教育，提高广大妇女儿童的维权意识和维权能力，维护妇女儿童合法权益。</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法律援助妇女侵权案件率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妇女信访代理工作覆盖率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、教育培训与事业发展</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开展对妇女的科技文化、生产劳动技能和家庭、家教、家风教育。</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提高妇女科技素质、经营管理能力、家庭教育水平。</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培养妇女致富带头人人数</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培训达标率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三、妇联综合业务管理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4.24</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加强妇联基层组织建设和机关党建，做好机关基础设施建设与维护，推进机关信息化建设，做好县政府妇儿工委办公室工作，指导所属事业单位发展，为妇女儿童事业发展提供有力保障。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不断加强妇联组织自身建设，提升妇联干部服务妇女的能力和水平，保障妇女维权、妇女发展工作正常有序开展</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4.24</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开展</w:t>
            </w:r>
            <w:r>
              <w:rPr>
                <w:rFonts w:hint="cs" w:ascii="方正书宋_GBK" w:eastAsia="方正书宋_GBK"/>
                <w:cs/>
              </w:rPr>
              <w:t>”</w:t>
            </w:r>
            <w:r>
              <w:rPr>
                <w:rFonts w:hint="eastAsia" w:ascii="方正书宋_GBK" w:eastAsia="方正书宋_GBK"/>
              </w:rPr>
              <w:t>三有两突出</w:t>
            </w:r>
            <w:r>
              <w:rPr>
                <w:rFonts w:hint="cs" w:ascii="方正书宋_GBK" w:eastAsia="方正书宋_GBK"/>
                <w:cs/>
              </w:rPr>
              <w:t>“</w:t>
            </w:r>
            <w:r>
              <w:rPr>
                <w:rFonts w:hint="eastAsia" w:ascii="方正书宋_GBK" w:eastAsia="方正书宋_GBK"/>
              </w:rPr>
              <w:t>基层组织示范创建，加强妇联组织自身建设。加强与社会各界的联系，推动全社会为妇女儿童办实事。指导所属单位及各类协会工作。承办县委、县政府交办的有关工作。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妇联基层组织的组织、阵地、队伍建设等得到加强，妇联干部工作能力和服务水平提高。</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建设县级示范儿童之家数量</w:t>
            </w:r>
            <w:r>
              <w:rPr>
                <w:rFonts w:ascii="方正书宋_GBK" w:eastAsia="方正书宋_GBK"/>
              </w:rPr>
              <w:t>(</w:t>
            </w:r>
            <w:r>
              <w:rPr>
                <w:rFonts w:hint="eastAsia" w:ascii="方正书宋_GBK" w:eastAsia="方正书宋_GBK"/>
              </w:rPr>
              <w:t>个）</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创建县级示范妇女之家数（家）</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创建示范基层组织数</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bl>
    <w:p>
      <w:pPr>
        <w:keepNext w:val="0"/>
        <w:keepLines w:val="0"/>
        <w:pageBreakBefore w:val="0"/>
        <w:kinsoku/>
        <w:wordWrap/>
        <w:overflowPunct/>
        <w:topLinePunct w:val="0"/>
        <w:autoSpaceDN/>
        <w:bidi w:val="0"/>
        <w:adjustRightInd/>
        <w:snapToGrid/>
        <w:spacing w:line="500" w:lineRule="exact"/>
        <w:ind w:left="0" w:leftChars="0" w:right="0" w:rightChars="0"/>
        <w:jc w:val="left"/>
        <w:textAlignment w:val="auto"/>
        <w:outlineLvl w:val="0"/>
        <w:rPr>
          <w:rFonts w:ascii="Times New Roman" w:hAnsi="Times New Roman"/>
          <w:szCs w:val="24"/>
        </w:rPr>
        <w:sectPr>
          <w:pgSz w:w="16839" w:h="11907" w:orient="landscape"/>
          <w:pgMar w:top="1021" w:right="1361" w:bottom="1021" w:left="1361" w:header="851" w:footer="992" w:gutter="0"/>
          <w:cols w:space="720" w:num="1"/>
          <w:docGrid w:type="lines" w:linePitch="312" w:charSpace="0"/>
        </w:sectPr>
      </w:pP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textAlignment w:val="auto"/>
        <w:rPr>
          <w:rFonts w:hint="eastAsia" w:ascii="仿宋" w:hAnsi="仿宋" w:eastAsia="仿宋"/>
          <w:kern w:val="0"/>
          <w:sz w:val="32"/>
          <w:szCs w:val="32"/>
        </w:rPr>
      </w:pPr>
      <w:r>
        <w:rPr>
          <w:rFonts w:hint="eastAsia" w:ascii="仿宋" w:hAnsi="仿宋" w:eastAsia="仿宋"/>
          <w:kern w:val="0"/>
          <w:sz w:val="32"/>
          <w:szCs w:val="32"/>
        </w:rPr>
        <w:t xml:space="preserve"> </w:t>
      </w:r>
      <w:r>
        <w:rPr>
          <w:rFonts w:hint="eastAsia" w:ascii="仿宋" w:hAnsi="仿宋" w:eastAsia="仿宋"/>
          <w:b/>
          <w:bCs/>
          <w:kern w:val="0"/>
          <w:sz w:val="32"/>
          <w:szCs w:val="32"/>
        </w:rPr>
        <w:t xml:space="preserve">  </w:t>
      </w:r>
      <w:r>
        <w:rPr>
          <w:rFonts w:hint="eastAsia" w:ascii="仿宋" w:hAnsi="仿宋" w:eastAsia="仿宋"/>
          <w:b/>
          <w:bCs/>
          <w:kern w:val="0"/>
          <w:sz w:val="32"/>
          <w:szCs w:val="32"/>
          <w:lang w:val="en-US" w:eastAsia="zh-CN"/>
        </w:rPr>
        <w:t xml:space="preserve"> </w:t>
      </w:r>
      <w:r>
        <w:rPr>
          <w:rFonts w:hint="eastAsia" w:ascii="仿宋" w:hAnsi="仿宋" w:eastAsia="仿宋"/>
          <w:b/>
          <w:bCs/>
          <w:kern w:val="0"/>
          <w:sz w:val="32"/>
          <w:szCs w:val="32"/>
        </w:rPr>
        <w:t xml:space="preserve">六、政府采购预算情况 </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textAlignment w:val="auto"/>
        <w:rPr>
          <w:rFonts w:hint="eastAsia" w:ascii="仿宋" w:hAnsi="仿宋" w:eastAsia="仿宋"/>
          <w:kern w:val="0"/>
          <w:sz w:val="32"/>
          <w:szCs w:val="32"/>
        </w:rPr>
      </w:pPr>
      <w:r>
        <w:rPr>
          <w:rFonts w:hint="eastAsia" w:ascii="仿宋" w:hAnsi="仿宋" w:eastAsia="仿宋"/>
          <w:kern w:val="0"/>
          <w:sz w:val="32"/>
          <w:szCs w:val="32"/>
        </w:rPr>
        <w:t xml:space="preserve">    201</w:t>
      </w:r>
      <w:r>
        <w:rPr>
          <w:rFonts w:hint="eastAsia" w:ascii="仿宋" w:hAnsi="仿宋" w:eastAsia="仿宋"/>
          <w:kern w:val="0"/>
          <w:sz w:val="32"/>
          <w:szCs w:val="32"/>
          <w:lang w:val="en-US" w:eastAsia="zh-CN"/>
        </w:rPr>
        <w:t>8</w:t>
      </w:r>
      <w:r>
        <w:rPr>
          <w:rFonts w:hint="eastAsia" w:ascii="仿宋" w:hAnsi="仿宋" w:eastAsia="仿宋"/>
          <w:kern w:val="0"/>
          <w:sz w:val="32"/>
          <w:szCs w:val="32"/>
        </w:rPr>
        <w:t>年我单位无政府采购预算。</w:t>
      </w:r>
    </w:p>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textAlignment w:val="auto"/>
        <w:rPr>
          <w:rFonts w:hint="eastAsia" w:ascii="仿宋" w:hAnsi="仿宋" w:eastAsia="仿宋"/>
          <w:b/>
          <w:bCs/>
          <w:kern w:val="0"/>
          <w:sz w:val="32"/>
          <w:szCs w:val="32"/>
        </w:rPr>
      </w:pPr>
      <w:r>
        <w:rPr>
          <w:rFonts w:hint="eastAsia" w:ascii="仿宋" w:hAnsi="仿宋" w:eastAsia="仿宋"/>
          <w:b/>
          <w:bCs/>
          <w:kern w:val="0"/>
          <w:sz w:val="32"/>
          <w:szCs w:val="32"/>
        </w:rPr>
        <w:t>七、国有资产信息情况</w:t>
      </w:r>
    </w:p>
    <w:p>
      <w:pPr>
        <w:keepNext w:val="0"/>
        <w:keepLines w:val="0"/>
        <w:pageBreakBefore w:val="0"/>
        <w:widowControl/>
        <w:kinsoku/>
        <w:wordWrap/>
        <w:overflowPunct/>
        <w:topLinePunct w:val="0"/>
        <w:autoSpaceDN/>
        <w:bidi w:val="0"/>
        <w:adjustRightInd/>
        <w:snapToGrid/>
        <w:spacing w:line="500" w:lineRule="exact"/>
        <w:ind w:left="0" w:leftChars="0" w:right="0" w:rightChars="0" w:firstLine="627" w:firstLineChars="196"/>
        <w:textAlignment w:val="auto"/>
        <w:rPr>
          <w:rFonts w:hint="eastAsia" w:ascii="仿宋" w:hAnsi="仿宋" w:eastAsia="仿宋" w:cs="仿宋"/>
          <w:bCs/>
          <w:kern w:val="0"/>
          <w:sz w:val="28"/>
          <w:szCs w:val="28"/>
        </w:rPr>
      </w:pPr>
      <w:r>
        <w:rPr>
          <w:rFonts w:hint="eastAsia" w:ascii="仿宋" w:hAnsi="仿宋" w:eastAsia="仿宋" w:cs="仿宋"/>
          <w:bCs/>
          <w:kern w:val="0"/>
          <w:sz w:val="32"/>
          <w:szCs w:val="32"/>
        </w:rPr>
        <w:t>涞水县妇联201</w:t>
      </w:r>
      <w:r>
        <w:rPr>
          <w:rFonts w:hint="eastAsia" w:ascii="仿宋" w:hAnsi="仿宋" w:eastAsia="仿宋" w:cs="仿宋"/>
          <w:bCs/>
          <w:kern w:val="0"/>
          <w:sz w:val="32"/>
          <w:szCs w:val="32"/>
          <w:lang w:val="en-US" w:eastAsia="zh-CN"/>
        </w:rPr>
        <w:t>7</w:t>
      </w:r>
      <w:r>
        <w:rPr>
          <w:rFonts w:hint="eastAsia" w:ascii="仿宋" w:hAnsi="仿宋" w:eastAsia="仿宋" w:cs="仿宋"/>
          <w:bCs/>
          <w:kern w:val="0"/>
          <w:sz w:val="32"/>
          <w:szCs w:val="32"/>
        </w:rPr>
        <w:t>年末固定资产总金额1</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40</w:t>
      </w:r>
      <w:r>
        <w:rPr>
          <w:rFonts w:hint="eastAsia" w:ascii="仿宋" w:hAnsi="仿宋" w:eastAsia="仿宋" w:cs="仿宋"/>
          <w:bCs/>
          <w:kern w:val="0"/>
          <w:sz w:val="32"/>
          <w:szCs w:val="32"/>
        </w:rPr>
        <w:t>万元（详见下表）。 201</w:t>
      </w:r>
      <w:r>
        <w:rPr>
          <w:rFonts w:hint="eastAsia" w:ascii="仿宋" w:hAnsi="仿宋" w:eastAsia="仿宋" w:cs="仿宋"/>
          <w:bCs/>
          <w:kern w:val="0"/>
          <w:sz w:val="32"/>
          <w:szCs w:val="32"/>
          <w:lang w:val="en-US" w:eastAsia="zh-CN"/>
        </w:rPr>
        <w:t>8</w:t>
      </w:r>
      <w:r>
        <w:rPr>
          <w:rFonts w:hint="eastAsia" w:ascii="仿宋" w:hAnsi="仿宋" w:eastAsia="仿宋" w:cs="仿宋"/>
          <w:bCs/>
          <w:kern w:val="0"/>
          <w:sz w:val="32"/>
          <w:szCs w:val="32"/>
        </w:rPr>
        <w:t>年拟购置固定资产为零</w:t>
      </w:r>
      <w:r>
        <w:rPr>
          <w:rFonts w:hint="eastAsia" w:ascii="仿宋" w:hAnsi="仿宋" w:eastAsia="仿宋" w:cs="仿宋"/>
          <w:bCs/>
          <w:kern w:val="0"/>
          <w:sz w:val="28"/>
          <w:szCs w:val="28"/>
        </w:rPr>
        <w:t>。</w:t>
      </w:r>
    </w:p>
    <w:p>
      <w:pPr>
        <w:keepNext w:val="0"/>
        <w:keepLines w:val="0"/>
        <w:pageBreakBefore w:val="0"/>
        <w:kinsoku/>
        <w:wordWrap/>
        <w:overflowPunct/>
        <w:topLinePunct w:val="0"/>
        <w:autoSpaceDN/>
        <w:bidi w:val="0"/>
        <w:adjustRightInd/>
        <w:snapToGrid/>
        <w:spacing w:line="500" w:lineRule="exact"/>
        <w:ind w:left="0" w:leftChars="0" w:right="0" w:rightChars="0"/>
        <w:textAlignment w:val="auto"/>
        <w:rPr>
          <w:rFonts w:hint="eastAsia" w:ascii="仿宋" w:hAnsi="仿宋" w:eastAsia="仿宋" w:cs="仿宋"/>
          <w:b/>
          <w:sz w:val="28"/>
          <w:szCs w:val="28"/>
        </w:rPr>
      </w:pPr>
    </w:p>
    <w:tbl>
      <w:tblPr>
        <w:tblStyle w:val="5"/>
        <w:tblW w:w="8804" w:type="dxa"/>
        <w:tblInd w:w="93" w:type="dxa"/>
        <w:tblLayout w:type="fixed"/>
        <w:tblCellMar>
          <w:top w:w="0" w:type="dxa"/>
          <w:left w:w="108" w:type="dxa"/>
          <w:bottom w:w="0" w:type="dxa"/>
          <w:right w:w="108" w:type="dxa"/>
        </w:tblCellMar>
      </w:tblPr>
      <w:tblGrid>
        <w:gridCol w:w="3811"/>
        <w:gridCol w:w="1591"/>
        <w:gridCol w:w="3402"/>
      </w:tblGrid>
      <w:tr>
        <w:tblPrEx>
          <w:tblLayout w:type="fixed"/>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r>
              <w:rPr>
                <w:rFonts w:hint="eastAsia" w:ascii="仿宋" w:hAnsi="仿宋" w:eastAsia="仿宋" w:cs="仿宋"/>
                <w:sz w:val="28"/>
                <w:szCs w:val="28"/>
              </w:rPr>
              <w:t>涞水县妇女联合会</w:t>
            </w:r>
          </w:p>
        </w:tc>
      </w:tr>
      <w:tr>
        <w:tblPrEx>
          <w:tblLayout w:type="fixed"/>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r>
              <w:rPr>
                <w:rFonts w:hint="eastAsia" w:ascii="仿宋" w:hAnsi="仿宋" w:eastAsia="仿宋" w:cs="仿宋"/>
                <w:bCs/>
                <w:color w:val="000000"/>
                <w:kern w:val="0"/>
                <w:sz w:val="28"/>
                <w:szCs w:val="28"/>
              </w:rPr>
              <w:t xml:space="preserve">                           截止时间：201</w:t>
            </w:r>
            <w:r>
              <w:rPr>
                <w:rFonts w:hint="eastAsia" w:ascii="仿宋" w:hAnsi="仿宋" w:eastAsia="仿宋" w:cs="仿宋"/>
                <w:bCs/>
                <w:color w:val="000000"/>
                <w:kern w:val="0"/>
                <w:sz w:val="28"/>
                <w:szCs w:val="28"/>
                <w:lang w:val="en-US" w:eastAsia="zh-CN"/>
              </w:rPr>
              <w:t>7</w:t>
            </w:r>
            <w:bookmarkStart w:id="2" w:name="_GoBack"/>
            <w:bookmarkEnd w:id="2"/>
            <w:r>
              <w:rPr>
                <w:rFonts w:hint="eastAsia" w:ascii="仿宋" w:hAnsi="仿宋" w:eastAsia="仿宋" w:cs="仿宋"/>
                <w:bCs/>
                <w:color w:val="000000"/>
                <w:kern w:val="0"/>
                <w:sz w:val="28"/>
                <w:szCs w:val="28"/>
              </w:rPr>
              <w:t>年12月31日</w:t>
            </w:r>
          </w:p>
        </w:tc>
      </w:tr>
      <w:tr>
        <w:tblPrEx>
          <w:tblLayout w:type="fixed"/>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项　　目</w:t>
            </w:r>
          </w:p>
        </w:tc>
        <w:tc>
          <w:tcPr>
            <w:tcW w:w="1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数量</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价值（单位：万元）</w:t>
            </w:r>
          </w:p>
        </w:tc>
      </w:tr>
      <w:tr>
        <w:tblPrEx>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固定资产总额</w:t>
            </w:r>
          </w:p>
        </w:tc>
        <w:tc>
          <w:tcPr>
            <w:tcW w:w="1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1</w:t>
            </w:r>
            <w:r>
              <w:rPr>
                <w:rFonts w:hint="eastAsia" w:ascii="仿宋" w:hAnsi="仿宋" w:eastAsia="仿宋" w:cs="仿宋"/>
                <w:b/>
                <w:color w:val="000000"/>
                <w:kern w:val="0"/>
                <w:sz w:val="28"/>
                <w:szCs w:val="28"/>
                <w:lang w:val="en-US" w:eastAsia="zh-CN"/>
              </w:rPr>
              <w:t>0.4</w:t>
            </w:r>
          </w:p>
        </w:tc>
      </w:tr>
      <w:tr>
        <w:tblPrEx>
          <w:tblLayout w:type="fixed"/>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1、房屋（平方米）</w:t>
            </w:r>
          </w:p>
        </w:tc>
        <w:tc>
          <w:tcPr>
            <w:tcW w:w="1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p>
        </w:tc>
      </w:tr>
      <w:tr>
        <w:tblPrEx>
          <w:tblLayout w:type="fixed"/>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500" w:lineRule="exact"/>
              <w:ind w:left="0" w:leftChars="0" w:right="0" w:rightChars="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p>
        </w:tc>
      </w:tr>
      <w:tr>
        <w:tblPrEx>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2、车辆（台、辆）</w:t>
            </w:r>
          </w:p>
        </w:tc>
        <w:tc>
          <w:tcPr>
            <w:tcW w:w="1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p>
        </w:tc>
      </w:tr>
      <w:tr>
        <w:tblPrEx>
          <w:tblLayout w:type="fixed"/>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3、单价在20万元以上的设备</w:t>
            </w:r>
          </w:p>
        </w:tc>
        <w:tc>
          <w:tcPr>
            <w:tcW w:w="1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p>
        </w:tc>
      </w:tr>
      <w:tr>
        <w:tblPrEx>
          <w:tblLayout w:type="fixed"/>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500" w:lineRule="exact"/>
              <w:ind w:left="0" w:leftChars="0" w:right="0" w:rightChars="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500" w:lineRule="exact"/>
              <w:ind w:left="0" w:leftChars="0" w:right="0" w:right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10.4</w:t>
            </w:r>
          </w:p>
        </w:tc>
      </w:tr>
    </w:tbl>
    <w:p>
      <w:pPr>
        <w:keepNext w:val="0"/>
        <w:keepLines w:val="0"/>
        <w:pageBreakBefore w:val="0"/>
        <w:widowControl/>
        <w:kinsoku/>
        <w:wordWrap/>
        <w:overflowPunct/>
        <w:topLinePunct w:val="0"/>
        <w:autoSpaceDE w:val="0"/>
        <w:autoSpaceDN/>
        <w:bidi w:val="0"/>
        <w:adjustRightInd/>
        <w:snapToGrid/>
        <w:spacing w:line="500" w:lineRule="exact"/>
        <w:ind w:left="0" w:leftChars="0" w:right="0" w:rightChars="0" w:firstLine="640"/>
        <w:textAlignment w:val="auto"/>
        <w:rPr>
          <w:rFonts w:hint="eastAsia" w:ascii="仿宋" w:hAnsi="仿宋" w:eastAsia="仿宋"/>
          <w:kern w:val="0"/>
          <w:sz w:val="32"/>
          <w:szCs w:val="32"/>
        </w:rPr>
      </w:pPr>
    </w:p>
    <w:p>
      <w:pPr>
        <w:keepNext w:val="0"/>
        <w:keepLines w:val="0"/>
        <w:pageBreakBefore w:val="0"/>
        <w:kinsoku/>
        <w:wordWrap/>
        <w:overflowPunct/>
        <w:topLinePunct w:val="0"/>
        <w:autoSpaceDN/>
        <w:bidi w:val="0"/>
        <w:adjustRightInd/>
        <w:snapToGrid/>
        <w:spacing w:line="500" w:lineRule="exact"/>
        <w:ind w:left="0" w:leftChars="0" w:right="0" w:rightChars="0"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八、专业名词解释</w:t>
      </w:r>
    </w:p>
    <w:p>
      <w:pPr>
        <w:keepNext w:val="0"/>
        <w:keepLines w:val="0"/>
        <w:pageBreakBefore w:val="0"/>
        <w:kinsoku/>
        <w:wordWrap/>
        <w:overflowPunct/>
        <w:topLinePunct w:val="0"/>
        <w:autoSpaceDN/>
        <w:bidi w:val="0"/>
        <w:adjustRightInd/>
        <w:snapToGrid/>
        <w:spacing w:line="500" w:lineRule="exact"/>
        <w:ind w:left="0" w:leftChars="0" w:right="0" w:rightChars="0" w:firstLine="630" w:firstLineChars="196"/>
        <w:textAlignment w:val="auto"/>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2"/>
        <w:keepNext w:val="0"/>
        <w:keepLines w:val="0"/>
        <w:pageBreakBefore w:val="0"/>
        <w:widowControl/>
        <w:kinsoku/>
        <w:wordWrap/>
        <w:overflowPunct/>
        <w:topLinePunct w:val="0"/>
        <w:autoSpaceDN/>
        <w:bidi w:val="0"/>
        <w:adjustRightInd/>
        <w:snapToGrid/>
        <w:spacing w:line="500" w:lineRule="exact"/>
        <w:ind w:left="0" w:leftChars="0" w:right="0" w:rightChars="0" w:firstLine="578" w:firstLineChars="180"/>
        <w:textAlignment w:val="auto"/>
        <w:rPr>
          <w:rFonts w:ascii="仿宋_GB2312" w:hAnsi="仿宋_GB2312" w:eastAsia="仿宋_GB2312" w:cs="仿宋_GB2312"/>
          <w:sz w:val="32"/>
          <w:szCs w:val="32"/>
        </w:rPr>
      </w:pPr>
      <w:r>
        <w:rPr>
          <w:rStyle w:val="4"/>
          <w:rFonts w:ascii="仿宋_GB2312" w:hAnsi="仿宋_GB2312" w:eastAsia="仿宋_GB2312" w:cs="仿宋_GB2312"/>
          <w:sz w:val="32"/>
          <w:szCs w:val="32"/>
          <w:shd w:val="clear" w:color="auto" w:fill="FFFFFF"/>
        </w:rPr>
        <w:t>2</w:t>
      </w:r>
      <w:r>
        <w:rPr>
          <w:rStyle w:val="4"/>
          <w:rFonts w:hint="eastAsia" w:ascii="仿宋_GB2312" w:hAnsi="仿宋_GB2312" w:eastAsia="仿宋_GB2312" w:cs="仿宋_GB2312"/>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2"/>
        <w:keepNext w:val="0"/>
        <w:keepLines w:val="0"/>
        <w:pageBreakBefore w:val="0"/>
        <w:widowControl/>
        <w:kinsoku/>
        <w:wordWrap/>
        <w:overflowPunct/>
        <w:topLinePunct w:val="0"/>
        <w:autoSpaceDN/>
        <w:bidi w:val="0"/>
        <w:adjustRightInd/>
        <w:snapToGrid/>
        <w:spacing w:line="500" w:lineRule="exact"/>
        <w:ind w:left="0" w:leftChars="0" w:right="0" w:rightChars="0" w:firstLine="578" w:firstLineChars="180"/>
        <w:textAlignment w:val="auto"/>
        <w:rPr>
          <w:rFonts w:ascii="仿宋_GB2312" w:hAnsi="宋体" w:eastAsia="仿宋_GB2312"/>
          <w:sz w:val="32"/>
          <w:szCs w:val="32"/>
        </w:rPr>
      </w:pPr>
      <w:r>
        <w:rPr>
          <w:rStyle w:val="4"/>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2"/>
        <w:keepNext w:val="0"/>
        <w:keepLines w:val="0"/>
        <w:pageBreakBefore w:val="0"/>
        <w:widowControl/>
        <w:kinsoku/>
        <w:wordWrap/>
        <w:overflowPunct/>
        <w:topLinePunct w:val="0"/>
        <w:autoSpaceDN/>
        <w:bidi w:val="0"/>
        <w:adjustRightInd/>
        <w:snapToGrid/>
        <w:spacing w:line="500" w:lineRule="exact"/>
        <w:ind w:left="0" w:leftChars="0" w:right="0" w:rightChars="0"/>
        <w:textAlignment w:val="auto"/>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2"/>
        <w:keepNext w:val="0"/>
        <w:keepLines w:val="0"/>
        <w:pageBreakBefore w:val="0"/>
        <w:widowControl/>
        <w:kinsoku/>
        <w:wordWrap/>
        <w:overflowPunct/>
        <w:topLinePunct w:val="0"/>
        <w:autoSpaceDN/>
        <w:bidi w:val="0"/>
        <w:adjustRightInd/>
        <w:snapToGrid/>
        <w:spacing w:line="500" w:lineRule="exact"/>
        <w:ind w:left="0" w:leftChars="0" w:right="0" w:rightChars="0" w:firstLine="643" w:firstLineChars="200"/>
        <w:textAlignment w:val="auto"/>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kinsoku/>
        <w:wordWrap/>
        <w:overflowPunct/>
        <w:topLinePunct w:val="0"/>
        <w:autoSpaceDN/>
        <w:bidi w:val="0"/>
        <w:adjustRightInd/>
        <w:snapToGrid/>
        <w:spacing w:line="500" w:lineRule="exact"/>
        <w:ind w:left="0" w:leftChars="0" w:right="0" w:rightChars="0" w:firstLine="643" w:firstLineChars="200"/>
        <w:textAlignment w:val="auto"/>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N/>
        <w:bidi w:val="0"/>
        <w:adjustRightInd/>
        <w:snapToGrid/>
        <w:spacing w:line="500" w:lineRule="exact"/>
        <w:ind w:left="0" w:leftChars="0" w:right="0" w:rightChars="0"/>
        <w:textAlignment w:val="auto"/>
        <w:rPr>
          <w:rFonts w:hint="eastAsia" w:ascii="黑体" w:hAnsi="黑体" w:eastAsia="黑体" w:cs="黑体"/>
          <w:sz w:val="32"/>
          <w:szCs w:val="32"/>
        </w:rPr>
      </w:pPr>
      <w:r>
        <w:rPr>
          <w:rFonts w:hint="eastAsia"/>
        </w:rPr>
        <w:t xml:space="preserve">     </w:t>
      </w:r>
      <w:r>
        <w:rPr>
          <w:rFonts w:hint="eastAsia" w:ascii="黑体" w:hAnsi="黑体" w:eastAsia="黑体" w:cs="黑体"/>
          <w:sz w:val="32"/>
          <w:szCs w:val="32"/>
        </w:rPr>
        <w:t xml:space="preserve"> </w:t>
      </w:r>
      <w:r>
        <w:rPr>
          <w:rFonts w:hint="eastAsia" w:ascii="仿宋" w:hAnsi="仿宋" w:eastAsia="仿宋" w:cs="仿宋"/>
          <w:b/>
          <w:bCs/>
          <w:sz w:val="32"/>
          <w:szCs w:val="32"/>
        </w:rPr>
        <w:t>九、其他需要说明的事项</w:t>
      </w:r>
    </w:p>
    <w:p>
      <w:pPr>
        <w:keepNext w:val="0"/>
        <w:keepLines w:val="0"/>
        <w:pageBreakBefore w:val="0"/>
        <w:kinsoku/>
        <w:wordWrap/>
        <w:overflowPunct/>
        <w:topLinePunct w:val="0"/>
        <w:autoSpaceDN/>
        <w:bidi w:val="0"/>
        <w:adjustRightInd/>
        <w:snapToGrid/>
        <w:spacing w:line="500" w:lineRule="exact"/>
        <w:ind w:left="0" w:leftChars="0" w:right="0" w:rightChars="0"/>
        <w:textAlignment w:val="auto"/>
      </w:pPr>
      <w:r>
        <w:rPr>
          <w:rFonts w:hint="eastAsia" w:ascii="黑体" w:hAnsi="黑体" w:eastAsia="黑体" w:cs="黑体"/>
          <w:sz w:val="32"/>
          <w:szCs w:val="32"/>
        </w:rPr>
        <w:t xml:space="preserve">    </w:t>
      </w: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无政府性基金预算及国有资本经营预算。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87B7A"/>
    <w:rsid w:val="0644680F"/>
    <w:rsid w:val="149F44AE"/>
    <w:rsid w:val="188F432A"/>
    <w:rsid w:val="24837BE1"/>
    <w:rsid w:val="24C30242"/>
    <w:rsid w:val="2C246428"/>
    <w:rsid w:val="2DE87B7A"/>
    <w:rsid w:val="541B09E6"/>
    <w:rsid w:val="792449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jc w:val="left"/>
    </w:pPr>
    <w:rPr>
      <w:kern w:val="0"/>
      <w:sz w:val="24"/>
    </w:r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2018-03-08T03:43:00Z</dcterms:created>
  <dc:creator>小龙嘟嘟</dc:creator>
  <cp:lastModifiedBy>小龙嘟嘟</cp:lastModifiedBy>
  <dcterms:modified xsi:type="dcterms:W3CDTF">2018-03-08T09:43:44Z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