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县应急管理局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宋体"/>
          <w:lang w:eastAsia="zh-CN"/>
        </w:rPr>
        <w:t>1</w:t>
      </w:r>
      <w:r>
        <w:rPr>
          <w:rFonts w:hint="eastAsia" w:eastAsia="宋体"/>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宋体"/>
          <w:lang w:eastAsia="zh-CN"/>
        </w:rPr>
        <w:t>3</w:t>
      </w:r>
      <w:r>
        <w:rPr>
          <w:rFonts w:hint="eastAsia" w:eastAsia="宋体"/>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宋体"/>
          <w:lang w:eastAsia="zh-CN"/>
        </w:rPr>
        <w:t>5</w:t>
      </w:r>
      <w:r>
        <w:rPr>
          <w:rFonts w:hint="eastAsia" w:eastAsia="宋体"/>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宋体"/>
          <w:lang w:eastAsia="zh-CN"/>
        </w:rPr>
        <w:t>7</w:t>
      </w:r>
      <w:r>
        <w:rPr>
          <w:rFonts w:hint="eastAsia" w:eastAsia="宋体"/>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宋体"/>
          <w:lang w:eastAsia="zh-CN"/>
        </w:rPr>
        <w:t>9</w:t>
      </w:r>
      <w:r>
        <w:rPr>
          <w:rFonts w:hint="eastAsia" w:eastAsia="宋体"/>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宋体"/>
          <w:lang w:eastAsia="zh-CN"/>
        </w:rPr>
        <w:t>11</w:t>
      </w:r>
      <w:r>
        <w:rPr>
          <w:rFonts w:hint="eastAsia" w:eastAsia="宋体"/>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宋体"/>
          <w:lang w:eastAsia="zh-CN"/>
        </w:rPr>
        <w:t>13</w:t>
      </w:r>
      <w:r>
        <w:rPr>
          <w:rFonts w:hint="eastAsia" w:eastAsia="宋体"/>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宋体"/>
          <w:lang w:eastAsia="zh-CN"/>
        </w:rPr>
        <w:t>14</w:t>
      </w:r>
      <w:r>
        <w:rPr>
          <w:rFonts w:hint="eastAsia" w:eastAsia="宋体"/>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宋体"/>
          <w:lang w:eastAsia="zh-CN"/>
        </w:rPr>
        <w:t>15</w:t>
      </w:r>
      <w:r>
        <w:rPr>
          <w:rFonts w:hint="eastAsia" w:eastAsia="宋体"/>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5"/>
        <w:tabs>
          <w:tab w:val="right" w:leader="dot" w:pos="14562"/>
        </w:tabs>
        <w:sectPr>
          <w:footerReference r:id="rId3" w:type="default"/>
          <w:footerReference r:id="rId4" w:type="even"/>
          <w:pgSz w:w="16840" w:h="11900" w:orient="landscape"/>
          <w:pgMar w:top="1361" w:right="1020" w:bottom="1134" w:left="1020" w:header="720" w:footer="720" w:gutter="0"/>
          <w:pgNumType w:fmt="decimal"/>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58</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126" w:type="dxa"/>
            <w:tcBorders>
              <w:top w:val="single" w:color="FFFFFF" w:sz="6" w:space="0"/>
              <w:left w:val="single" w:color="FFFFFF" w:sz="6" w:space="0"/>
              <w:right w:val="single" w:color="FFFFFF" w:sz="6" w:space="0"/>
            </w:tcBorders>
            <w:noWrap w:val="0"/>
            <w:vAlign w:val="center"/>
          </w:tcPr>
          <w:p>
            <w:pPr>
              <w:pStyle w:val="16"/>
            </w:pPr>
            <w:r>
              <w:t>预算年度：2022</w:t>
            </w:r>
          </w:p>
        </w:tc>
        <w:tc>
          <w:tcPr>
            <w:tcW w:w="6661"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6662" w:type="dxa"/>
            <w:gridSpan w:val="2"/>
            <w:noWrap w:val="0"/>
            <w:vAlign w:val="center"/>
          </w:tcPr>
          <w:p>
            <w:pPr>
              <w:pStyle w:val="18"/>
            </w:pPr>
            <w:r>
              <w:t>收入</w:t>
            </w:r>
          </w:p>
        </w:tc>
        <w:tc>
          <w:tcPr>
            <w:tcW w:w="6661" w:type="dxa"/>
            <w:gridSpan w:val="2"/>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8"/>
            </w:pPr>
            <w:r>
              <w:t>项  目</w:t>
            </w:r>
          </w:p>
        </w:tc>
        <w:tc>
          <w:tcPr>
            <w:tcW w:w="2126" w:type="dxa"/>
            <w:noWrap w:val="0"/>
            <w:vAlign w:val="center"/>
          </w:tcPr>
          <w:p>
            <w:pPr>
              <w:pStyle w:val="18"/>
            </w:pPr>
            <w:r>
              <w:t>预算数</w:t>
            </w:r>
          </w:p>
        </w:tc>
        <w:tc>
          <w:tcPr>
            <w:tcW w:w="4535" w:type="dxa"/>
            <w:noWrap w:val="0"/>
            <w:vAlign w:val="center"/>
          </w:tcPr>
          <w:p>
            <w:pPr>
              <w:pStyle w:val="18"/>
            </w:pPr>
            <w:r>
              <w:t>项  目</w:t>
            </w:r>
          </w:p>
        </w:tc>
        <w:tc>
          <w:tcPr>
            <w:tcW w:w="2126" w:type="dxa"/>
            <w:noWrap w:val="0"/>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4536" w:type="dxa"/>
            <w:noWrap w:val="0"/>
            <w:vAlign w:val="center"/>
          </w:tcPr>
          <w:p>
            <w:pPr>
              <w:pStyle w:val="18"/>
            </w:pPr>
            <w:r>
              <w:t>1</w:t>
            </w:r>
          </w:p>
        </w:tc>
        <w:tc>
          <w:tcPr>
            <w:tcW w:w="2126" w:type="dxa"/>
            <w:noWrap w:val="0"/>
            <w:vAlign w:val="center"/>
          </w:tcPr>
          <w:p>
            <w:pPr>
              <w:pStyle w:val="18"/>
            </w:pPr>
            <w:r>
              <w:t>2</w:t>
            </w:r>
          </w:p>
        </w:tc>
        <w:tc>
          <w:tcPr>
            <w:tcW w:w="4535" w:type="dxa"/>
            <w:noWrap w:val="0"/>
            <w:vAlign w:val="center"/>
          </w:tcPr>
          <w:p>
            <w:pPr>
              <w:pStyle w:val="18"/>
            </w:pPr>
            <w:r>
              <w:t>3</w:t>
            </w:r>
          </w:p>
        </w:tc>
        <w:tc>
          <w:tcPr>
            <w:tcW w:w="2126" w:type="dxa"/>
            <w:noWrap w:val="0"/>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w:t>
            </w:r>
          </w:p>
        </w:tc>
        <w:tc>
          <w:tcPr>
            <w:tcW w:w="4536" w:type="dxa"/>
            <w:noWrap w:val="0"/>
            <w:vAlign w:val="center"/>
          </w:tcPr>
          <w:p>
            <w:pPr>
              <w:pStyle w:val="20"/>
            </w:pPr>
            <w:r>
              <w:t>一、一般公共预算拨款收入</w:t>
            </w:r>
          </w:p>
        </w:tc>
        <w:tc>
          <w:tcPr>
            <w:tcW w:w="2126" w:type="dxa"/>
            <w:noWrap w:val="0"/>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1688.79</w:t>
            </w:r>
          </w:p>
        </w:tc>
        <w:tc>
          <w:tcPr>
            <w:tcW w:w="4535" w:type="dxa"/>
            <w:noWrap w:val="0"/>
            <w:vAlign w:val="center"/>
          </w:tcPr>
          <w:p>
            <w:pPr>
              <w:pStyle w:val="20"/>
            </w:pPr>
            <w:r>
              <w:t>一、一般公共服务支出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4536" w:type="dxa"/>
            <w:noWrap w:val="0"/>
            <w:vAlign w:val="center"/>
          </w:tcPr>
          <w:p>
            <w:pPr>
              <w:pStyle w:val="20"/>
            </w:pPr>
            <w:r>
              <w:t>二、政府性基金预算拨款收入</w:t>
            </w:r>
          </w:p>
        </w:tc>
        <w:tc>
          <w:tcPr>
            <w:tcW w:w="2126" w:type="dxa"/>
            <w:noWrap w:val="0"/>
            <w:vAlign w:val="center"/>
          </w:tcPr>
          <w:p>
            <w:pPr>
              <w:pStyle w:val="19"/>
            </w:pPr>
          </w:p>
        </w:tc>
        <w:tc>
          <w:tcPr>
            <w:tcW w:w="4535" w:type="dxa"/>
            <w:noWrap w:val="0"/>
            <w:vAlign w:val="center"/>
          </w:tcPr>
          <w:p>
            <w:pPr>
              <w:pStyle w:val="20"/>
            </w:pPr>
            <w:r>
              <w:t>二、外交支出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3</w:t>
            </w:r>
          </w:p>
        </w:tc>
        <w:tc>
          <w:tcPr>
            <w:tcW w:w="4536" w:type="dxa"/>
            <w:noWrap w:val="0"/>
            <w:vAlign w:val="center"/>
          </w:tcPr>
          <w:p>
            <w:pPr>
              <w:pStyle w:val="20"/>
            </w:pPr>
            <w:r>
              <w:t>三、国有资本经营预算拨款收入</w:t>
            </w:r>
          </w:p>
        </w:tc>
        <w:tc>
          <w:tcPr>
            <w:tcW w:w="2126" w:type="dxa"/>
            <w:noWrap w:val="0"/>
            <w:vAlign w:val="center"/>
          </w:tcPr>
          <w:p>
            <w:pPr>
              <w:pStyle w:val="19"/>
            </w:pPr>
          </w:p>
        </w:tc>
        <w:tc>
          <w:tcPr>
            <w:tcW w:w="4535" w:type="dxa"/>
            <w:noWrap w:val="0"/>
            <w:vAlign w:val="center"/>
          </w:tcPr>
          <w:p>
            <w:pPr>
              <w:pStyle w:val="20"/>
            </w:pPr>
            <w:r>
              <w:t>三、国防支出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4536" w:type="dxa"/>
            <w:noWrap w:val="0"/>
            <w:vAlign w:val="center"/>
          </w:tcPr>
          <w:p>
            <w:pPr>
              <w:pStyle w:val="20"/>
            </w:pPr>
            <w:r>
              <w:t>四、财政专户管理资金收入</w:t>
            </w:r>
          </w:p>
        </w:tc>
        <w:tc>
          <w:tcPr>
            <w:tcW w:w="2126" w:type="dxa"/>
            <w:noWrap w:val="0"/>
            <w:vAlign w:val="center"/>
          </w:tcPr>
          <w:p>
            <w:pPr>
              <w:pStyle w:val="19"/>
            </w:pPr>
          </w:p>
        </w:tc>
        <w:tc>
          <w:tcPr>
            <w:tcW w:w="4535" w:type="dxa"/>
            <w:noWrap w:val="0"/>
            <w:vAlign w:val="center"/>
          </w:tcPr>
          <w:p>
            <w:pPr>
              <w:pStyle w:val="20"/>
            </w:pPr>
            <w:r>
              <w:t>四、公共安全支出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4536" w:type="dxa"/>
            <w:noWrap w:val="0"/>
            <w:vAlign w:val="center"/>
          </w:tcPr>
          <w:p>
            <w:pPr>
              <w:pStyle w:val="20"/>
            </w:pPr>
            <w:r>
              <w:t>五、事业收入</w:t>
            </w:r>
          </w:p>
        </w:tc>
        <w:tc>
          <w:tcPr>
            <w:tcW w:w="2126" w:type="dxa"/>
            <w:noWrap w:val="0"/>
            <w:vAlign w:val="center"/>
          </w:tcPr>
          <w:p>
            <w:pPr>
              <w:pStyle w:val="19"/>
            </w:pPr>
          </w:p>
        </w:tc>
        <w:tc>
          <w:tcPr>
            <w:tcW w:w="4535" w:type="dxa"/>
            <w:noWrap w:val="0"/>
            <w:vAlign w:val="center"/>
          </w:tcPr>
          <w:p>
            <w:pPr>
              <w:pStyle w:val="20"/>
            </w:pPr>
            <w:r>
              <w:t>五、教育支出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4536" w:type="dxa"/>
            <w:noWrap w:val="0"/>
            <w:vAlign w:val="center"/>
          </w:tcPr>
          <w:p>
            <w:pPr>
              <w:pStyle w:val="20"/>
            </w:pPr>
            <w:r>
              <w:t>六、事业单位经营收入</w:t>
            </w:r>
          </w:p>
        </w:tc>
        <w:tc>
          <w:tcPr>
            <w:tcW w:w="2126" w:type="dxa"/>
            <w:noWrap w:val="0"/>
            <w:vAlign w:val="center"/>
          </w:tcPr>
          <w:p>
            <w:pPr>
              <w:pStyle w:val="19"/>
            </w:pPr>
          </w:p>
        </w:tc>
        <w:tc>
          <w:tcPr>
            <w:tcW w:w="4535" w:type="dxa"/>
            <w:noWrap w:val="0"/>
            <w:vAlign w:val="center"/>
          </w:tcPr>
          <w:p>
            <w:pPr>
              <w:pStyle w:val="20"/>
            </w:pPr>
            <w:r>
              <w:t>六、科学技术支出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4536" w:type="dxa"/>
            <w:noWrap w:val="0"/>
            <w:vAlign w:val="center"/>
          </w:tcPr>
          <w:p>
            <w:pPr>
              <w:pStyle w:val="20"/>
            </w:pPr>
            <w:r>
              <w:t>七、上级补助收入</w:t>
            </w:r>
          </w:p>
        </w:tc>
        <w:tc>
          <w:tcPr>
            <w:tcW w:w="2126" w:type="dxa"/>
            <w:noWrap w:val="0"/>
            <w:vAlign w:val="center"/>
          </w:tcPr>
          <w:p>
            <w:pPr>
              <w:pStyle w:val="19"/>
            </w:pPr>
          </w:p>
        </w:tc>
        <w:tc>
          <w:tcPr>
            <w:tcW w:w="4535" w:type="dxa"/>
            <w:noWrap w:val="0"/>
            <w:vAlign w:val="center"/>
          </w:tcPr>
          <w:p>
            <w:pPr>
              <w:pStyle w:val="20"/>
            </w:pPr>
            <w:r>
              <w:t>七、文化旅游体育与传媒支出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4536" w:type="dxa"/>
            <w:noWrap w:val="0"/>
            <w:vAlign w:val="center"/>
          </w:tcPr>
          <w:p>
            <w:pPr>
              <w:pStyle w:val="20"/>
            </w:pPr>
            <w:r>
              <w:t>八、附属单位上缴收入</w:t>
            </w:r>
          </w:p>
        </w:tc>
        <w:tc>
          <w:tcPr>
            <w:tcW w:w="2126" w:type="dxa"/>
            <w:noWrap w:val="0"/>
            <w:vAlign w:val="center"/>
          </w:tcPr>
          <w:p>
            <w:pPr>
              <w:pStyle w:val="19"/>
            </w:pPr>
          </w:p>
        </w:tc>
        <w:tc>
          <w:tcPr>
            <w:tcW w:w="4535" w:type="dxa"/>
            <w:noWrap w:val="0"/>
            <w:vAlign w:val="center"/>
          </w:tcPr>
          <w:p>
            <w:pPr>
              <w:pStyle w:val="20"/>
            </w:pPr>
            <w:r>
              <w:t>八、社会保障和就业支出</w:t>
            </w:r>
          </w:p>
        </w:tc>
        <w:tc>
          <w:tcPr>
            <w:tcW w:w="2126"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4536" w:type="dxa"/>
            <w:noWrap w:val="0"/>
            <w:vAlign w:val="center"/>
          </w:tcPr>
          <w:p>
            <w:pPr>
              <w:pStyle w:val="20"/>
            </w:pPr>
            <w:r>
              <w:t>九、其他收入</w:t>
            </w:r>
          </w:p>
        </w:tc>
        <w:tc>
          <w:tcPr>
            <w:tcW w:w="2126" w:type="dxa"/>
            <w:noWrap w:val="0"/>
            <w:vAlign w:val="center"/>
          </w:tcPr>
          <w:p>
            <w:pPr>
              <w:pStyle w:val="19"/>
            </w:pPr>
          </w:p>
        </w:tc>
        <w:tc>
          <w:tcPr>
            <w:tcW w:w="4535" w:type="dxa"/>
            <w:noWrap w:val="0"/>
            <w:vAlign w:val="center"/>
          </w:tcPr>
          <w:p>
            <w:pPr>
              <w:pStyle w:val="20"/>
            </w:pPr>
            <w:r>
              <w:t>九、社会保险基金支出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十、卫生健康支出</w:t>
            </w:r>
          </w:p>
        </w:tc>
        <w:tc>
          <w:tcPr>
            <w:tcW w:w="2126"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十一、节能环保支出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十二、城乡社区支出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十三、农林水支出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十四、交通运输支出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十五、资源勘探工业信息等支出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十六、商业服务业等支出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十七、金融支出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十八、援助其他地区支出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十九、自然资源海洋气象等支出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二十、住房保障支出</w:t>
            </w:r>
          </w:p>
        </w:tc>
        <w:tc>
          <w:tcPr>
            <w:tcW w:w="2126"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二十一、粮油物资储备支出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二十二、国有资本经营预算支出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二十三、灾害防治及应急管理支出</w:t>
            </w:r>
          </w:p>
        </w:tc>
        <w:tc>
          <w:tcPr>
            <w:tcW w:w="2126"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1641.27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二十四、预备费</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二十五、其他支出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二十六、转移性支出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二十七、债务还本支出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二十八、债务付息支出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二十九、债务发行费用支出</w:t>
            </w:r>
          </w:p>
        </w:tc>
        <w:tc>
          <w:tcPr>
            <w:tcW w:w="2126" w:type="dxa"/>
            <w:noWrap w:val="0"/>
            <w:vAlign w:val="top"/>
          </w:tcPr>
          <w:p>
            <w:pPr>
              <w:jc w:val="center"/>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30</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三十、抗疫特别国债安排的支出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31</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本年收入合计</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default" w:ascii="Calibri" w:hAnsi="Calibri"/>
                <w:sz w:val="22"/>
                <w:szCs w:val="22"/>
                <w:lang w:val="en-US" w:eastAsia="zh-CN"/>
              </w:rPr>
              <w:t>1688.79</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本年支出合计</w:t>
            </w:r>
          </w:p>
        </w:tc>
        <w:tc>
          <w:tcPr>
            <w:tcW w:w="2126" w:type="dxa"/>
            <w:noWrap w:val="0"/>
            <w:vAlign w:val="center"/>
          </w:tcPr>
          <w:p>
            <w:pPr>
              <w:pStyle w:val="19"/>
              <w:jc w:val="center"/>
              <w:rPr>
                <w:rFonts w:hint="default" w:ascii="Calibri" w:hAnsi="Calibri" w:eastAsia="方正书宋_GBK" w:cs="Calibri"/>
                <w:sz w:val="22"/>
                <w:szCs w:val="22"/>
                <w:lang w:val="en-US" w:eastAsia="zh-CN"/>
              </w:rPr>
            </w:pPr>
            <w:r>
              <w:rPr>
                <w:rFonts w:hint="default" w:ascii="Calibri" w:hAnsi="Calibri" w:cs="Calibri"/>
                <w:sz w:val="22"/>
                <w:szCs w:val="22"/>
                <w:lang w:val="en-US" w:eastAsia="zh-CN"/>
              </w:rPr>
              <w:t>1688.79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32</w:t>
            </w:r>
          </w:p>
        </w:tc>
        <w:tc>
          <w:tcPr>
            <w:tcW w:w="4536" w:type="dxa"/>
            <w:noWrap w:val="0"/>
            <w:vAlign w:val="center"/>
          </w:tcPr>
          <w:p>
            <w:pPr>
              <w:pStyle w:val="20"/>
              <w:rPr>
                <w:rFonts w:ascii="方正书宋_GBK" w:hAnsi="方正书宋_GBK" w:eastAsia="方正书宋_GBK" w:cs="方正书宋_GBK"/>
                <w:sz w:val="21"/>
                <w:szCs w:val="24"/>
                <w:lang w:val="en-US" w:eastAsia="uk-UA" w:bidi="ar-SA"/>
              </w:rPr>
            </w:pPr>
            <w:r>
              <w:t>上年结转结余</w:t>
            </w:r>
          </w:p>
        </w:tc>
        <w:tc>
          <w:tcPr>
            <w:tcW w:w="2126" w:type="dxa"/>
            <w:noWrap w:val="0"/>
            <w:vAlign w:val="center"/>
          </w:tcPr>
          <w:p>
            <w:pPr>
              <w:pStyle w:val="19"/>
              <w:jc w:val="center"/>
              <w:rPr>
                <w:rFonts w:hint="default" w:ascii="Calibri" w:hAnsi="Calibri"/>
                <w:sz w:val="22"/>
                <w:szCs w:val="22"/>
              </w:rPr>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年终结转结余</w:t>
            </w:r>
          </w:p>
        </w:tc>
        <w:tc>
          <w:tcPr>
            <w:tcW w:w="2126" w:type="dxa"/>
            <w:noWrap w:val="0"/>
            <w:vAlign w:val="center"/>
          </w:tcPr>
          <w:p>
            <w:pPr>
              <w:pStyle w:val="19"/>
              <w:jc w:val="center"/>
              <w:rPr>
                <w:rFonts w:hint="default"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33</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收入总计</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default" w:ascii="Calibri" w:hAnsi="Calibri"/>
                <w:sz w:val="22"/>
                <w:szCs w:val="22"/>
                <w:lang w:val="en-US" w:eastAsia="zh-CN"/>
              </w:rPr>
              <w:t>1688.79</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支出总计</w:t>
            </w:r>
          </w:p>
        </w:tc>
        <w:tc>
          <w:tcPr>
            <w:tcW w:w="2126" w:type="dxa"/>
            <w:noWrap w:val="0"/>
            <w:vAlign w:val="center"/>
          </w:tcPr>
          <w:p>
            <w:pPr>
              <w:pStyle w:val="19"/>
              <w:jc w:val="center"/>
              <w:rPr>
                <w:rFonts w:hint="default" w:ascii="Calibri" w:hAnsi="Calibri" w:eastAsia="方正书宋_GBK" w:cs="Calibri"/>
                <w:sz w:val="22"/>
                <w:szCs w:val="22"/>
                <w:lang w:val="en-US" w:eastAsia="zh-CN"/>
              </w:rPr>
            </w:pPr>
            <w:r>
              <w:rPr>
                <w:rFonts w:hint="default" w:ascii="Calibri" w:hAnsi="Calibri" w:cs="Calibri"/>
                <w:sz w:val="22"/>
                <w:szCs w:val="22"/>
                <w:lang w:val="en-US" w:eastAsia="zh-CN"/>
              </w:rPr>
              <w:t>1688.79</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03"/>
        <w:gridCol w:w="1545"/>
        <w:gridCol w:w="1260"/>
        <w:gridCol w:w="960"/>
        <w:gridCol w:w="985"/>
        <w:gridCol w:w="1134"/>
        <w:gridCol w:w="1134"/>
        <w:gridCol w:w="1134"/>
        <w:gridCol w:w="1134"/>
        <w:gridCol w:w="1134"/>
        <w:gridCol w:w="1116"/>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8" w:type="dxa"/>
            <w:gridSpan w:val="5"/>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253" w:type="dxa"/>
            <w:gridSpan w:val="3"/>
            <w:tcBorders>
              <w:top w:val="single" w:color="FFFFFF" w:sz="6" w:space="0"/>
              <w:left w:val="single" w:color="FFFFFF" w:sz="6" w:space="0"/>
              <w:right w:val="single" w:color="FFFFFF" w:sz="6" w:space="0"/>
            </w:tcBorders>
            <w:noWrap w:val="0"/>
            <w:vAlign w:val="center"/>
          </w:tcPr>
          <w:p>
            <w:pPr>
              <w:pStyle w:val="16"/>
            </w:pPr>
            <w:r>
              <w:t>预算年度：2022</w:t>
            </w:r>
          </w:p>
        </w:tc>
        <w:tc>
          <w:tcPr>
            <w:tcW w:w="5402"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8"/>
            </w:pPr>
            <w:r>
              <w:t>序号</w:t>
            </w:r>
          </w:p>
        </w:tc>
        <w:tc>
          <w:tcPr>
            <w:tcW w:w="2748" w:type="dxa"/>
            <w:gridSpan w:val="2"/>
            <w:noWrap w:val="0"/>
            <w:vAlign w:val="center"/>
          </w:tcPr>
          <w:p>
            <w:pPr>
              <w:pStyle w:val="18"/>
            </w:pPr>
            <w:r>
              <w:t>功能分类科目</w:t>
            </w:r>
          </w:p>
        </w:tc>
        <w:tc>
          <w:tcPr>
            <w:tcW w:w="1260" w:type="dxa"/>
            <w:vMerge w:val="restart"/>
            <w:noWrap w:val="0"/>
            <w:vAlign w:val="center"/>
          </w:tcPr>
          <w:p>
            <w:pPr>
              <w:pStyle w:val="18"/>
            </w:pPr>
            <w:r>
              <w:t>合计</w:t>
            </w:r>
          </w:p>
        </w:tc>
        <w:tc>
          <w:tcPr>
            <w:tcW w:w="8731" w:type="dxa"/>
            <w:gridSpan w:val="8"/>
            <w:noWrap w:val="0"/>
            <w:vAlign w:val="center"/>
          </w:tcPr>
          <w:p>
            <w:pPr>
              <w:pStyle w:val="18"/>
            </w:pPr>
            <w:r>
              <w:t>本年收入</w:t>
            </w:r>
          </w:p>
        </w:tc>
        <w:tc>
          <w:tcPr>
            <w:tcW w:w="884" w:type="dxa"/>
            <w:vMerge w:val="restart"/>
            <w:noWrap w:val="0"/>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203" w:type="dxa"/>
            <w:noWrap w:val="0"/>
            <w:vAlign w:val="center"/>
          </w:tcPr>
          <w:p>
            <w:pPr>
              <w:pStyle w:val="18"/>
            </w:pPr>
            <w:r>
              <w:t>科目    编码</w:t>
            </w:r>
          </w:p>
        </w:tc>
        <w:tc>
          <w:tcPr>
            <w:tcW w:w="1545" w:type="dxa"/>
            <w:noWrap w:val="0"/>
            <w:vAlign w:val="center"/>
          </w:tcPr>
          <w:p>
            <w:pPr>
              <w:pStyle w:val="18"/>
            </w:pPr>
            <w:r>
              <w:t>科目名称</w:t>
            </w:r>
          </w:p>
        </w:tc>
        <w:tc>
          <w:tcPr>
            <w:tcW w:w="1260" w:type="dxa"/>
            <w:vMerge w:val="continue"/>
            <w:noWrap w:val="0"/>
            <w:vAlign w:val="top"/>
          </w:tcPr>
          <w:p/>
        </w:tc>
        <w:tc>
          <w:tcPr>
            <w:tcW w:w="960" w:type="dxa"/>
            <w:noWrap w:val="0"/>
            <w:vAlign w:val="center"/>
          </w:tcPr>
          <w:p>
            <w:pPr>
              <w:pStyle w:val="18"/>
            </w:pPr>
            <w:r>
              <w:t>小计</w:t>
            </w:r>
          </w:p>
        </w:tc>
        <w:tc>
          <w:tcPr>
            <w:tcW w:w="985" w:type="dxa"/>
            <w:noWrap w:val="0"/>
            <w:vAlign w:val="center"/>
          </w:tcPr>
          <w:p>
            <w:pPr>
              <w:pStyle w:val="18"/>
            </w:pPr>
            <w:r>
              <w:t>财政拨款 收入</w:t>
            </w:r>
          </w:p>
        </w:tc>
        <w:tc>
          <w:tcPr>
            <w:tcW w:w="1134" w:type="dxa"/>
            <w:noWrap w:val="0"/>
            <w:vAlign w:val="center"/>
          </w:tcPr>
          <w:p>
            <w:pPr>
              <w:pStyle w:val="18"/>
            </w:pPr>
            <w:r>
              <w:t>财政专户 收入</w:t>
            </w:r>
          </w:p>
        </w:tc>
        <w:tc>
          <w:tcPr>
            <w:tcW w:w="1134" w:type="dxa"/>
            <w:noWrap w:val="0"/>
            <w:vAlign w:val="center"/>
          </w:tcPr>
          <w:p>
            <w:pPr>
              <w:pStyle w:val="18"/>
            </w:pPr>
            <w:r>
              <w:t>事业收入</w:t>
            </w:r>
          </w:p>
        </w:tc>
        <w:tc>
          <w:tcPr>
            <w:tcW w:w="1134" w:type="dxa"/>
            <w:noWrap w:val="0"/>
            <w:vAlign w:val="center"/>
          </w:tcPr>
          <w:p>
            <w:pPr>
              <w:pStyle w:val="18"/>
            </w:pPr>
            <w:r>
              <w:t>经营收入</w:t>
            </w:r>
          </w:p>
        </w:tc>
        <w:tc>
          <w:tcPr>
            <w:tcW w:w="1134" w:type="dxa"/>
            <w:noWrap w:val="0"/>
            <w:vAlign w:val="center"/>
          </w:tcPr>
          <w:p>
            <w:pPr>
              <w:pStyle w:val="18"/>
            </w:pPr>
            <w:r>
              <w:t>上级补助收入</w:t>
            </w:r>
          </w:p>
        </w:tc>
        <w:tc>
          <w:tcPr>
            <w:tcW w:w="1134" w:type="dxa"/>
            <w:noWrap w:val="0"/>
            <w:vAlign w:val="center"/>
          </w:tcPr>
          <w:p>
            <w:pPr>
              <w:pStyle w:val="18"/>
            </w:pPr>
            <w:r>
              <w:t>附属单位上缴收入</w:t>
            </w:r>
          </w:p>
        </w:tc>
        <w:tc>
          <w:tcPr>
            <w:tcW w:w="1116" w:type="dxa"/>
            <w:noWrap w:val="0"/>
            <w:vAlign w:val="center"/>
          </w:tcPr>
          <w:p>
            <w:pPr>
              <w:pStyle w:val="18"/>
            </w:pPr>
            <w:r>
              <w:t>其他收入</w:t>
            </w:r>
          </w:p>
        </w:tc>
        <w:tc>
          <w:tcPr>
            <w:tcW w:w="88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8"/>
            </w:pPr>
            <w:r>
              <w:t>栏次</w:t>
            </w:r>
          </w:p>
        </w:tc>
        <w:tc>
          <w:tcPr>
            <w:tcW w:w="1203" w:type="dxa"/>
            <w:noWrap w:val="0"/>
            <w:vAlign w:val="center"/>
          </w:tcPr>
          <w:p>
            <w:pPr>
              <w:pStyle w:val="18"/>
            </w:pPr>
            <w:r>
              <w:t>1</w:t>
            </w:r>
          </w:p>
        </w:tc>
        <w:tc>
          <w:tcPr>
            <w:tcW w:w="1545" w:type="dxa"/>
            <w:noWrap w:val="0"/>
            <w:vAlign w:val="center"/>
          </w:tcPr>
          <w:p>
            <w:pPr>
              <w:pStyle w:val="18"/>
            </w:pPr>
            <w:r>
              <w:t>2</w:t>
            </w:r>
          </w:p>
        </w:tc>
        <w:tc>
          <w:tcPr>
            <w:tcW w:w="1260" w:type="dxa"/>
            <w:noWrap w:val="0"/>
            <w:vAlign w:val="center"/>
          </w:tcPr>
          <w:p>
            <w:pPr>
              <w:pStyle w:val="18"/>
            </w:pPr>
            <w:r>
              <w:t>3</w:t>
            </w:r>
          </w:p>
        </w:tc>
        <w:tc>
          <w:tcPr>
            <w:tcW w:w="960" w:type="dxa"/>
            <w:noWrap w:val="0"/>
            <w:vAlign w:val="center"/>
          </w:tcPr>
          <w:p>
            <w:pPr>
              <w:pStyle w:val="18"/>
            </w:pPr>
            <w:r>
              <w:t>4</w:t>
            </w:r>
          </w:p>
        </w:tc>
        <w:tc>
          <w:tcPr>
            <w:tcW w:w="985" w:type="dxa"/>
            <w:noWrap w:val="0"/>
            <w:vAlign w:val="center"/>
          </w:tcPr>
          <w:p>
            <w:pPr>
              <w:pStyle w:val="18"/>
            </w:pPr>
            <w:r>
              <w:t>5</w:t>
            </w:r>
          </w:p>
        </w:tc>
        <w:tc>
          <w:tcPr>
            <w:tcW w:w="1134" w:type="dxa"/>
            <w:noWrap w:val="0"/>
            <w:vAlign w:val="center"/>
          </w:tcPr>
          <w:p>
            <w:pPr>
              <w:pStyle w:val="18"/>
            </w:pPr>
            <w:r>
              <w:t>6</w:t>
            </w:r>
          </w:p>
        </w:tc>
        <w:tc>
          <w:tcPr>
            <w:tcW w:w="1134" w:type="dxa"/>
            <w:noWrap w:val="0"/>
            <w:vAlign w:val="center"/>
          </w:tcPr>
          <w:p>
            <w:pPr>
              <w:pStyle w:val="18"/>
            </w:pPr>
            <w:r>
              <w:t>7</w:t>
            </w:r>
          </w:p>
        </w:tc>
        <w:tc>
          <w:tcPr>
            <w:tcW w:w="1134" w:type="dxa"/>
            <w:noWrap w:val="0"/>
            <w:vAlign w:val="center"/>
          </w:tcPr>
          <w:p>
            <w:pPr>
              <w:pStyle w:val="18"/>
            </w:pPr>
            <w:r>
              <w:t>8</w:t>
            </w:r>
          </w:p>
        </w:tc>
        <w:tc>
          <w:tcPr>
            <w:tcW w:w="1134" w:type="dxa"/>
            <w:noWrap w:val="0"/>
            <w:vAlign w:val="center"/>
          </w:tcPr>
          <w:p>
            <w:pPr>
              <w:pStyle w:val="18"/>
            </w:pPr>
            <w:r>
              <w:t>9</w:t>
            </w:r>
          </w:p>
        </w:tc>
        <w:tc>
          <w:tcPr>
            <w:tcW w:w="1134" w:type="dxa"/>
            <w:noWrap w:val="0"/>
            <w:vAlign w:val="center"/>
          </w:tcPr>
          <w:p>
            <w:pPr>
              <w:pStyle w:val="18"/>
            </w:pPr>
            <w:r>
              <w:t>10</w:t>
            </w:r>
          </w:p>
        </w:tc>
        <w:tc>
          <w:tcPr>
            <w:tcW w:w="1116" w:type="dxa"/>
            <w:noWrap w:val="0"/>
            <w:vAlign w:val="center"/>
          </w:tcPr>
          <w:p>
            <w:pPr>
              <w:pStyle w:val="18"/>
            </w:pPr>
            <w:r>
              <w:t>11</w:t>
            </w:r>
          </w:p>
        </w:tc>
        <w:tc>
          <w:tcPr>
            <w:tcW w:w="884" w:type="dxa"/>
            <w:noWrap w:val="0"/>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w:t>
            </w:r>
          </w:p>
        </w:tc>
        <w:tc>
          <w:tcPr>
            <w:tcW w:w="1203" w:type="dxa"/>
            <w:noWrap w:val="0"/>
            <w:vAlign w:val="center"/>
          </w:tcPr>
          <w:p>
            <w:pPr>
              <w:jc w:val="center"/>
              <w:rPr>
                <w:sz w:val="21"/>
                <w:szCs w:val="21"/>
              </w:rPr>
            </w:pP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合计</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1688.79</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1688.79</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1688.79</w:t>
            </w: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16" w:type="dxa"/>
            <w:noWrap w:val="0"/>
            <w:vAlign w:val="center"/>
          </w:tcPr>
          <w:p>
            <w:pPr>
              <w:pStyle w:val="23"/>
            </w:pPr>
          </w:p>
        </w:tc>
        <w:tc>
          <w:tcPr>
            <w:tcW w:w="88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2</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208</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社会保障和就业支出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3</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20805</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行政事业单位养老支出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4</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2080505</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机关事业单位基本养老保险缴费支出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23.71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5</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210</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卫生健康支出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6</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21011</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行政事业单位医疗</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7</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2101101</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行政单位医疗</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9.53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8</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221</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住房保障支出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9</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22102</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住房改革支出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10</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2210201</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住房公积金</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14.28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11</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灾害防治及应急管理支出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1641.27</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1641.27</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1641.27</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12</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22401</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应急管理事务</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809.91</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809.91</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809.91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13</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2240101</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行政运行</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470.26</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470.26</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470.26</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14</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2240102</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一般行政管理事务</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81.68</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81.68</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81.68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15</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2240104</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灾害风险防治</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213.09</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213.09</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213.09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16</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2240108</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应急救援</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9.09</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9.09</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9.09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17</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2240109</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应急管理</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35.79</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35.79</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35.79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18</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22402</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消防事务</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740.31</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740.31</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740.31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19</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2240204</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消防应急救援</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740.31</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740.31</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740.31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20</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22405</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地震事务</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6.75</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6.75</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6.75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21</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2240504</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地震监测</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6.75</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6.75</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6.75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22</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22407</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自然灾害救灾及恢复重建支出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84.30</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84.30</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84.30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23</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2240703</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自然灾害救灾补助</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64.00</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64.00</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64.00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24</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2240704</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自然灾害灾后重建补助</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25</w:t>
            </w:r>
          </w:p>
        </w:tc>
        <w:tc>
          <w:tcPr>
            <w:tcW w:w="1203"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2240799</w:t>
            </w: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其他自然灾害救灾及恢复重建支出</w:t>
            </w:r>
          </w:p>
        </w:tc>
        <w:tc>
          <w:tcPr>
            <w:tcW w:w="12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18.30</w:t>
            </w:r>
          </w:p>
        </w:tc>
        <w:tc>
          <w:tcPr>
            <w:tcW w:w="960"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18.30</w:t>
            </w:r>
          </w:p>
        </w:tc>
        <w:tc>
          <w:tcPr>
            <w:tcW w:w="98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18.30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16" w:type="dxa"/>
            <w:noWrap w:val="0"/>
            <w:vAlign w:val="center"/>
          </w:tcPr>
          <w:p>
            <w:pPr>
              <w:pStyle w:val="19"/>
            </w:pPr>
          </w:p>
        </w:tc>
        <w:tc>
          <w:tcPr>
            <w:tcW w:w="884"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722" w:type="dxa"/>
            <w:gridSpan w:val="2"/>
            <w:tcBorders>
              <w:top w:val="single" w:color="FFFFFF" w:sz="6" w:space="0"/>
              <w:left w:val="single" w:color="FFFFFF" w:sz="6" w:space="0"/>
              <w:right w:val="single" w:color="FFFFFF" w:sz="6" w:space="0"/>
            </w:tcBorders>
            <w:noWrap w:val="0"/>
            <w:vAlign w:val="center"/>
          </w:tcPr>
          <w:p>
            <w:pPr>
              <w:pStyle w:val="16"/>
            </w:pPr>
            <w:r>
              <w:t>预算年度：2022</w:t>
            </w:r>
          </w:p>
        </w:tc>
        <w:tc>
          <w:tcPr>
            <w:tcW w:w="5264"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528" w:type="dxa"/>
            <w:gridSpan w:val="2"/>
            <w:noWrap w:val="0"/>
            <w:vAlign w:val="center"/>
          </w:tcPr>
          <w:p>
            <w:pPr>
              <w:pStyle w:val="18"/>
            </w:pPr>
            <w:r>
              <w:t>功能分类科目</w:t>
            </w:r>
          </w:p>
        </w:tc>
        <w:tc>
          <w:tcPr>
            <w:tcW w:w="1361" w:type="dxa"/>
            <w:vMerge w:val="restart"/>
            <w:noWrap w:val="0"/>
            <w:vAlign w:val="center"/>
          </w:tcPr>
          <w:p>
            <w:pPr>
              <w:pStyle w:val="18"/>
            </w:pPr>
            <w:r>
              <w:t>合计</w:t>
            </w:r>
          </w:p>
        </w:tc>
        <w:tc>
          <w:tcPr>
            <w:tcW w:w="1361" w:type="dxa"/>
            <w:vMerge w:val="restart"/>
            <w:noWrap w:val="0"/>
            <w:vAlign w:val="center"/>
          </w:tcPr>
          <w:p>
            <w:pPr>
              <w:pStyle w:val="18"/>
            </w:pPr>
            <w:r>
              <w:t>基本支出</w:t>
            </w:r>
          </w:p>
        </w:tc>
        <w:tc>
          <w:tcPr>
            <w:tcW w:w="1361" w:type="dxa"/>
            <w:vMerge w:val="restart"/>
            <w:noWrap w:val="0"/>
            <w:vAlign w:val="center"/>
          </w:tcPr>
          <w:p>
            <w:pPr>
              <w:pStyle w:val="18"/>
            </w:pPr>
            <w:r>
              <w:t>项目支出</w:t>
            </w:r>
          </w:p>
        </w:tc>
        <w:tc>
          <w:tcPr>
            <w:tcW w:w="1361" w:type="dxa"/>
            <w:vMerge w:val="restart"/>
            <w:noWrap w:val="0"/>
            <w:vAlign w:val="center"/>
          </w:tcPr>
          <w:p>
            <w:pPr>
              <w:pStyle w:val="18"/>
            </w:pPr>
            <w:r>
              <w:t>经营支出</w:t>
            </w:r>
          </w:p>
        </w:tc>
        <w:tc>
          <w:tcPr>
            <w:tcW w:w="1361" w:type="dxa"/>
            <w:vMerge w:val="restart"/>
            <w:noWrap w:val="0"/>
            <w:vAlign w:val="center"/>
          </w:tcPr>
          <w:p>
            <w:pPr>
              <w:pStyle w:val="18"/>
            </w:pPr>
            <w:r>
              <w:t>上解上级     支出</w:t>
            </w:r>
          </w:p>
        </w:tc>
        <w:tc>
          <w:tcPr>
            <w:tcW w:w="1181" w:type="dxa"/>
            <w:vMerge w:val="restart"/>
            <w:noWrap w:val="0"/>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8"/>
            </w:pPr>
            <w:r>
              <w:t>科目    编码</w:t>
            </w:r>
          </w:p>
        </w:tc>
        <w:tc>
          <w:tcPr>
            <w:tcW w:w="4536" w:type="dxa"/>
            <w:noWrap w:val="0"/>
            <w:vAlign w:val="center"/>
          </w:tcPr>
          <w:p>
            <w:pPr>
              <w:pStyle w:val="18"/>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18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992" w:type="dxa"/>
            <w:noWrap w:val="0"/>
            <w:vAlign w:val="center"/>
          </w:tcPr>
          <w:p>
            <w:pPr>
              <w:pStyle w:val="18"/>
            </w:pPr>
            <w:r>
              <w:t>1</w:t>
            </w:r>
          </w:p>
        </w:tc>
        <w:tc>
          <w:tcPr>
            <w:tcW w:w="4536" w:type="dxa"/>
            <w:noWrap w:val="0"/>
            <w:vAlign w:val="center"/>
          </w:tcPr>
          <w:p>
            <w:pPr>
              <w:pStyle w:val="18"/>
            </w:pPr>
            <w:r>
              <w:t>2</w:t>
            </w:r>
          </w:p>
        </w:tc>
        <w:tc>
          <w:tcPr>
            <w:tcW w:w="1361" w:type="dxa"/>
            <w:noWrap w:val="0"/>
            <w:vAlign w:val="center"/>
          </w:tcPr>
          <w:p>
            <w:pPr>
              <w:pStyle w:val="18"/>
            </w:pPr>
            <w:r>
              <w:t>3</w:t>
            </w:r>
          </w:p>
        </w:tc>
        <w:tc>
          <w:tcPr>
            <w:tcW w:w="1361" w:type="dxa"/>
            <w:noWrap w:val="0"/>
            <w:vAlign w:val="center"/>
          </w:tcPr>
          <w:p>
            <w:pPr>
              <w:pStyle w:val="18"/>
            </w:pPr>
            <w:r>
              <w:t>4</w:t>
            </w:r>
          </w:p>
        </w:tc>
        <w:tc>
          <w:tcPr>
            <w:tcW w:w="1361" w:type="dxa"/>
            <w:noWrap w:val="0"/>
            <w:vAlign w:val="center"/>
          </w:tcPr>
          <w:p>
            <w:pPr>
              <w:pStyle w:val="18"/>
            </w:pPr>
            <w:r>
              <w:t>5</w:t>
            </w:r>
          </w:p>
        </w:tc>
        <w:tc>
          <w:tcPr>
            <w:tcW w:w="1361" w:type="dxa"/>
            <w:noWrap w:val="0"/>
            <w:vAlign w:val="center"/>
          </w:tcPr>
          <w:p>
            <w:pPr>
              <w:pStyle w:val="18"/>
            </w:pPr>
            <w:r>
              <w:t>6</w:t>
            </w:r>
          </w:p>
        </w:tc>
        <w:tc>
          <w:tcPr>
            <w:tcW w:w="1361" w:type="dxa"/>
            <w:noWrap w:val="0"/>
            <w:vAlign w:val="center"/>
          </w:tcPr>
          <w:p>
            <w:pPr>
              <w:pStyle w:val="18"/>
            </w:pPr>
            <w:r>
              <w:t>7</w:t>
            </w:r>
          </w:p>
        </w:tc>
        <w:tc>
          <w:tcPr>
            <w:tcW w:w="1181" w:type="dxa"/>
            <w:noWrap w:val="0"/>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992" w:type="dxa"/>
            <w:noWrap w:val="0"/>
            <w:vAlign w:val="top"/>
          </w:tcPr>
          <w:p>
            <w:pPr>
              <w:jc w:val="center"/>
              <w:rPr>
                <w:rFonts w:ascii="Times New Roman" w:hAnsi="Times New Roman" w:eastAsia="Times New Roman" w:cs="Times New Roman"/>
                <w:sz w:val="21"/>
                <w:szCs w:val="21"/>
                <w:lang w:val="en-US" w:eastAsia="uk-UA" w:bidi="ar-SA"/>
              </w:rPr>
            </w:pP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合计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1688.79</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517.78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1171.01</w:t>
            </w:r>
          </w:p>
        </w:tc>
        <w:tc>
          <w:tcPr>
            <w:tcW w:w="1361" w:type="dxa"/>
            <w:noWrap w:val="0"/>
            <w:vAlign w:val="center"/>
          </w:tcPr>
          <w:p>
            <w:pPr>
              <w:pStyle w:val="23"/>
            </w:pPr>
          </w:p>
        </w:tc>
        <w:tc>
          <w:tcPr>
            <w:tcW w:w="1361" w:type="dxa"/>
            <w:noWrap w:val="0"/>
            <w:vAlign w:val="center"/>
          </w:tcPr>
          <w:p>
            <w:pPr>
              <w:pStyle w:val="23"/>
            </w:pPr>
          </w:p>
        </w:tc>
        <w:tc>
          <w:tcPr>
            <w:tcW w:w="1181"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208</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社会保障和就业支出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23.71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23.71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20805</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行政事业单位养老支出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23.71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23.71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2080505</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机关事业单位基本养老保险缴费支出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23.71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23.71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210</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卫生健康支出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9.53</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9.53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21011</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行政事业单位医疗</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9.53</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9.53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2101101</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行政单位医疗</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9.53</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9.53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221</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住房保障支出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14.28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14.28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22102</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住房改革支出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14.28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14.28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2210201</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住房公积金</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14.28</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14.28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灾害防治及应急管理支出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 xml:space="preserve">1641.27 </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470.26</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1171.01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22401</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应急管理事务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809.91</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470.26</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339.65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2240101</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行政运行</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470.26</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470.26</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2240102</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一般行政管理事务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81.68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81.68</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2240104</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灾害风险防治</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213.09</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213.09</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2240108</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应急救援</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9.09</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9.09</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2240109</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应急管理</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 xml:space="preserve">35.79 </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 xml:space="preserve">35.79 </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22402</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消防事务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740.31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740.31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2240204</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消防应急救援</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740.31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740.31</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22405</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地震事务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6.75</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6.75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2240504</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地震监测</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6.75</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6.75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22407</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自然灾害救灾及恢复重建支出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84.30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84.30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2240703</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自然灾害救灾补助</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64.00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64.00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2240704</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自然灾害灾后重建补助</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992"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2240799</w:t>
            </w:r>
          </w:p>
        </w:tc>
        <w:tc>
          <w:tcPr>
            <w:tcW w:w="4536"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其他自然灾害救灾及恢复重建支出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18.30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18.30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402" w:type="dxa"/>
            <w:tcBorders>
              <w:top w:val="single" w:color="FFFFFF" w:sz="6" w:space="0"/>
              <w:left w:val="single" w:color="FFFFFF" w:sz="6" w:space="0"/>
              <w:right w:val="single" w:color="FFFFFF" w:sz="6" w:space="0"/>
            </w:tcBorders>
            <w:noWrap w:val="0"/>
            <w:vAlign w:val="center"/>
          </w:tcPr>
          <w:p>
            <w:pPr>
              <w:pStyle w:val="16"/>
            </w:pPr>
            <w:r>
              <w:t>预算年度：2022</w:t>
            </w:r>
          </w:p>
        </w:tc>
        <w:tc>
          <w:tcPr>
            <w:tcW w:w="5896"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4876" w:type="dxa"/>
            <w:gridSpan w:val="2"/>
            <w:noWrap w:val="0"/>
            <w:vAlign w:val="center"/>
          </w:tcPr>
          <w:p>
            <w:pPr>
              <w:pStyle w:val="18"/>
            </w:pPr>
            <w:r>
              <w:t>收入</w:t>
            </w:r>
          </w:p>
        </w:tc>
        <w:tc>
          <w:tcPr>
            <w:tcW w:w="9298" w:type="dxa"/>
            <w:gridSpan w:val="5"/>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8"/>
            </w:pPr>
            <w:r>
              <w:t>项  目</w:t>
            </w:r>
          </w:p>
        </w:tc>
        <w:tc>
          <w:tcPr>
            <w:tcW w:w="1474" w:type="dxa"/>
            <w:noWrap w:val="0"/>
            <w:vAlign w:val="center"/>
          </w:tcPr>
          <w:p>
            <w:pPr>
              <w:pStyle w:val="18"/>
            </w:pPr>
            <w:r>
              <w:t>金额</w:t>
            </w:r>
          </w:p>
        </w:tc>
        <w:tc>
          <w:tcPr>
            <w:tcW w:w="3402" w:type="dxa"/>
            <w:noWrap w:val="0"/>
            <w:vAlign w:val="center"/>
          </w:tcPr>
          <w:p>
            <w:pPr>
              <w:pStyle w:val="18"/>
            </w:pPr>
            <w:r>
              <w:t>项  目</w:t>
            </w:r>
          </w:p>
        </w:tc>
        <w:tc>
          <w:tcPr>
            <w:tcW w:w="1474" w:type="dxa"/>
            <w:noWrap w:val="0"/>
            <w:vAlign w:val="center"/>
          </w:tcPr>
          <w:p>
            <w:pPr>
              <w:pStyle w:val="18"/>
            </w:pPr>
            <w:r>
              <w:t>合计</w:t>
            </w:r>
          </w:p>
        </w:tc>
        <w:tc>
          <w:tcPr>
            <w:tcW w:w="1474" w:type="dxa"/>
            <w:noWrap w:val="0"/>
            <w:vAlign w:val="center"/>
          </w:tcPr>
          <w:p>
            <w:pPr>
              <w:pStyle w:val="18"/>
            </w:pPr>
            <w:r>
              <w:t>一般公共预算财政拨款</w:t>
            </w:r>
          </w:p>
        </w:tc>
        <w:tc>
          <w:tcPr>
            <w:tcW w:w="1474" w:type="dxa"/>
            <w:noWrap w:val="0"/>
            <w:vAlign w:val="center"/>
          </w:tcPr>
          <w:p>
            <w:pPr>
              <w:pStyle w:val="18"/>
            </w:pPr>
            <w:r>
              <w:t>政府性基金预算财政    拨款</w:t>
            </w:r>
          </w:p>
        </w:tc>
        <w:tc>
          <w:tcPr>
            <w:tcW w:w="1474" w:type="dxa"/>
            <w:noWrap w:val="0"/>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3402" w:type="dxa"/>
            <w:noWrap w:val="0"/>
            <w:vAlign w:val="center"/>
          </w:tcPr>
          <w:p>
            <w:pPr>
              <w:pStyle w:val="18"/>
            </w:pPr>
            <w:r>
              <w:t>1</w:t>
            </w:r>
          </w:p>
        </w:tc>
        <w:tc>
          <w:tcPr>
            <w:tcW w:w="1474" w:type="dxa"/>
            <w:noWrap w:val="0"/>
            <w:vAlign w:val="center"/>
          </w:tcPr>
          <w:p>
            <w:pPr>
              <w:pStyle w:val="18"/>
            </w:pPr>
            <w:r>
              <w:t>2</w:t>
            </w:r>
          </w:p>
        </w:tc>
        <w:tc>
          <w:tcPr>
            <w:tcW w:w="3402" w:type="dxa"/>
            <w:noWrap w:val="0"/>
            <w:vAlign w:val="center"/>
          </w:tcPr>
          <w:p>
            <w:pPr>
              <w:pStyle w:val="18"/>
            </w:pPr>
            <w:r>
              <w:t>3</w:t>
            </w:r>
          </w:p>
        </w:tc>
        <w:tc>
          <w:tcPr>
            <w:tcW w:w="1474" w:type="dxa"/>
            <w:noWrap w:val="0"/>
            <w:vAlign w:val="center"/>
          </w:tcPr>
          <w:p>
            <w:pPr>
              <w:pStyle w:val="18"/>
            </w:pPr>
            <w:r>
              <w:t>4</w:t>
            </w:r>
          </w:p>
        </w:tc>
        <w:tc>
          <w:tcPr>
            <w:tcW w:w="1474" w:type="dxa"/>
            <w:noWrap w:val="0"/>
            <w:vAlign w:val="center"/>
          </w:tcPr>
          <w:p>
            <w:pPr>
              <w:pStyle w:val="18"/>
            </w:pPr>
            <w:r>
              <w:t>5</w:t>
            </w:r>
          </w:p>
        </w:tc>
        <w:tc>
          <w:tcPr>
            <w:tcW w:w="1474" w:type="dxa"/>
            <w:noWrap w:val="0"/>
            <w:vAlign w:val="center"/>
          </w:tcPr>
          <w:p>
            <w:pPr>
              <w:pStyle w:val="18"/>
            </w:pPr>
            <w:r>
              <w:t>6</w:t>
            </w:r>
          </w:p>
        </w:tc>
        <w:tc>
          <w:tcPr>
            <w:tcW w:w="1474" w:type="dxa"/>
            <w:noWrap w:val="0"/>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3402" w:type="dxa"/>
            <w:noWrap w:val="0"/>
            <w:vAlign w:val="center"/>
          </w:tcPr>
          <w:p>
            <w:pPr>
              <w:pStyle w:val="20"/>
            </w:pPr>
            <w:r>
              <w:t>一、一般公共预算拨款</w:t>
            </w:r>
          </w:p>
        </w:tc>
        <w:tc>
          <w:tcPr>
            <w:tcW w:w="1474" w:type="dxa"/>
            <w:noWrap w:val="0"/>
            <w:vAlign w:val="center"/>
          </w:tcPr>
          <w:p>
            <w:pPr>
              <w:pStyle w:val="19"/>
              <w:rPr>
                <w:rFonts w:hint="default" w:eastAsia="方正书宋_GBK"/>
                <w:lang w:val="en-US" w:eastAsia="zh-CN"/>
              </w:rPr>
            </w:pPr>
            <w:r>
              <w:rPr>
                <w:rFonts w:hint="eastAsia"/>
                <w:lang w:val="en-US" w:eastAsia="zh-CN"/>
              </w:rPr>
              <w:t>1688.79</w:t>
            </w:r>
          </w:p>
        </w:tc>
        <w:tc>
          <w:tcPr>
            <w:tcW w:w="3402" w:type="dxa"/>
            <w:noWrap w:val="0"/>
            <w:vAlign w:val="center"/>
          </w:tcPr>
          <w:p>
            <w:pPr>
              <w:pStyle w:val="20"/>
            </w:pPr>
            <w:r>
              <w:t>一、一般公共服务支出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r>
              <w:t>二、外交支出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r>
              <w:t>三、国防支出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四、公共安全支出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五、教育支出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六、科学技术支出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七、文化旅游体育与传媒支出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八、社会保障和就业支出</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九、社会保险基金支出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十、卫生健康支出</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十一、节能环保支出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十二、城乡社区支出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十三、农林水支出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十四、交通运输支出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十五、资源勘探工业信息等支出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十六、商业服务业等支出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十七、金融支出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十八、援助其他地区支出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十九、自然资源海洋气象等支出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二十、住房保障支出</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二十一、粮油物资储备支出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二十二、国有资本经营预算支出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二十三、灾害防治及应急管理支出</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1641.27</w:t>
            </w:r>
          </w:p>
        </w:tc>
        <w:tc>
          <w:tcPr>
            <w:tcW w:w="1474"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1641.27</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二十四、预备费</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二十五、其他支出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二十六、转移性支出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二十七、债务还本支出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二十八、债务付息支出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二十九、债务发行费用支出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三十、抗疫特别国债安排的支出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31</w:t>
            </w:r>
          </w:p>
        </w:tc>
        <w:tc>
          <w:tcPr>
            <w:tcW w:w="3402" w:type="dxa"/>
            <w:noWrap w:val="0"/>
            <w:vAlign w:val="center"/>
          </w:tcPr>
          <w:p>
            <w:pPr>
              <w:pStyle w:val="22"/>
            </w:pPr>
            <w:r>
              <w:t>本年收入合计</w:t>
            </w:r>
          </w:p>
        </w:tc>
        <w:tc>
          <w:tcPr>
            <w:tcW w:w="1474" w:type="dxa"/>
            <w:noWrap w:val="0"/>
            <w:vAlign w:val="center"/>
          </w:tcPr>
          <w:p>
            <w:pPr>
              <w:pStyle w:val="23"/>
              <w:rPr>
                <w:rFonts w:hint="default" w:eastAsia="方正书宋_GBK"/>
                <w:lang w:val="en-US" w:eastAsia="zh-CN"/>
              </w:rPr>
            </w:pPr>
            <w:r>
              <w:rPr>
                <w:rFonts w:hint="eastAsia"/>
                <w:lang w:val="en-US" w:eastAsia="zh-CN"/>
              </w:rPr>
              <w:t>1688.79</w:t>
            </w:r>
          </w:p>
        </w:tc>
        <w:tc>
          <w:tcPr>
            <w:tcW w:w="3402" w:type="dxa"/>
            <w:noWrap w:val="0"/>
            <w:vAlign w:val="center"/>
          </w:tcPr>
          <w:p>
            <w:pPr>
              <w:pStyle w:val="22"/>
            </w:pPr>
            <w:r>
              <w:t>本年支出合计</w:t>
            </w:r>
          </w:p>
        </w:tc>
        <w:tc>
          <w:tcPr>
            <w:tcW w:w="1474" w:type="dxa"/>
            <w:noWrap w:val="0"/>
            <w:vAlign w:val="center"/>
          </w:tcPr>
          <w:p>
            <w:pPr>
              <w:jc w:val="center"/>
              <w:rPr>
                <w:rFonts w:hint="default" w:ascii="Symbol" w:hAnsi="Symbol" w:eastAsia="宋体" w:cs="Symbol"/>
                <w:b/>
                <w:bCs/>
                <w:sz w:val="21"/>
                <w:szCs w:val="21"/>
                <w:lang w:val="en-US" w:eastAsia="zh-CN" w:bidi="ar-SA"/>
              </w:rPr>
            </w:pPr>
            <w:r>
              <w:rPr>
                <w:rFonts w:hint="eastAsia"/>
                <w:b/>
                <w:bCs/>
                <w:sz w:val="21"/>
                <w:szCs w:val="21"/>
                <w:lang w:val="en-US" w:eastAsia="zh-CN"/>
              </w:rPr>
              <w:t>1688.79</w:t>
            </w:r>
          </w:p>
        </w:tc>
        <w:tc>
          <w:tcPr>
            <w:tcW w:w="1474" w:type="dxa"/>
            <w:noWrap w:val="0"/>
            <w:vAlign w:val="center"/>
          </w:tcPr>
          <w:p>
            <w:pPr>
              <w:jc w:val="center"/>
              <w:rPr>
                <w:rFonts w:hint="default" w:ascii="Symbol" w:hAnsi="Symbol" w:eastAsia="宋体" w:cs="Symbol"/>
                <w:b/>
                <w:bCs/>
                <w:sz w:val="21"/>
                <w:szCs w:val="21"/>
                <w:lang w:val="en-US" w:eastAsia="zh-CN" w:bidi="ar-SA"/>
              </w:rPr>
            </w:pPr>
            <w:r>
              <w:rPr>
                <w:rFonts w:hint="eastAsia"/>
                <w:b/>
                <w:bCs/>
                <w:sz w:val="21"/>
                <w:szCs w:val="21"/>
                <w:lang w:val="en-US" w:eastAsia="zh-CN"/>
              </w:rPr>
              <w:t>1688.79</w:t>
            </w:r>
          </w:p>
        </w:tc>
        <w:tc>
          <w:tcPr>
            <w:tcW w:w="1474" w:type="dxa"/>
            <w:noWrap w:val="0"/>
            <w:vAlign w:val="center"/>
          </w:tcPr>
          <w:p>
            <w:pPr>
              <w:pStyle w:val="23"/>
            </w:pPr>
          </w:p>
        </w:tc>
        <w:tc>
          <w:tcPr>
            <w:tcW w:w="147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32</w:t>
            </w:r>
          </w:p>
        </w:tc>
        <w:tc>
          <w:tcPr>
            <w:tcW w:w="3402" w:type="dxa"/>
            <w:noWrap w:val="0"/>
            <w:vAlign w:val="center"/>
          </w:tcPr>
          <w:p>
            <w:pPr>
              <w:pStyle w:val="20"/>
            </w:pPr>
            <w:r>
              <w:t>年初财政拨款结转和结余</w:t>
            </w:r>
          </w:p>
        </w:tc>
        <w:tc>
          <w:tcPr>
            <w:tcW w:w="1474" w:type="dxa"/>
            <w:noWrap w:val="0"/>
            <w:vAlign w:val="center"/>
          </w:tcPr>
          <w:p>
            <w:pPr>
              <w:pStyle w:val="19"/>
            </w:pPr>
          </w:p>
        </w:tc>
        <w:tc>
          <w:tcPr>
            <w:tcW w:w="3402" w:type="dxa"/>
            <w:noWrap w:val="0"/>
            <w:vAlign w:val="center"/>
          </w:tcPr>
          <w:p>
            <w:pPr>
              <w:pStyle w:val="20"/>
            </w:pPr>
            <w:r>
              <w:t>年末财政拨款结转和结余</w:t>
            </w:r>
          </w:p>
        </w:tc>
        <w:tc>
          <w:tcPr>
            <w:tcW w:w="1474" w:type="dxa"/>
            <w:noWrap w:val="0"/>
            <w:vAlign w:val="top"/>
          </w:tcPr>
          <w:p>
            <w:pPr>
              <w:jc w:val="center"/>
              <w:rPr>
                <w:rFonts w:hint="default" w:eastAsia="宋体"/>
                <w:lang w:val="en-US" w:eastAsia="zh-CN"/>
              </w:rPr>
            </w:pPr>
          </w:p>
        </w:tc>
        <w:tc>
          <w:tcPr>
            <w:tcW w:w="1474" w:type="dxa"/>
            <w:noWrap w:val="0"/>
            <w:vAlign w:val="top"/>
          </w:tcPr>
          <w:p>
            <w:pPr>
              <w:jc w:val="center"/>
              <w:rPr>
                <w:rFonts w:hint="default" w:eastAsia="宋体"/>
                <w:lang w:val="en-US" w:eastAsia="zh-CN"/>
              </w:rP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33</w:t>
            </w:r>
          </w:p>
        </w:tc>
        <w:tc>
          <w:tcPr>
            <w:tcW w:w="3402" w:type="dxa"/>
            <w:noWrap w:val="0"/>
            <w:vAlign w:val="center"/>
          </w:tcPr>
          <w:p>
            <w:pPr>
              <w:pStyle w:val="20"/>
            </w:pPr>
            <w:r>
              <w:t>一、一般公共预算拨款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34</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35</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36</w:t>
            </w:r>
          </w:p>
        </w:tc>
        <w:tc>
          <w:tcPr>
            <w:tcW w:w="3402" w:type="dxa"/>
            <w:noWrap w:val="0"/>
            <w:vAlign w:val="center"/>
          </w:tcPr>
          <w:p>
            <w:pPr>
              <w:pStyle w:val="22"/>
            </w:pPr>
            <w:r>
              <w:t>收入总计</w:t>
            </w:r>
          </w:p>
        </w:tc>
        <w:tc>
          <w:tcPr>
            <w:tcW w:w="1474" w:type="dxa"/>
            <w:noWrap w:val="0"/>
            <w:vAlign w:val="center"/>
          </w:tcPr>
          <w:p>
            <w:pPr>
              <w:pStyle w:val="23"/>
              <w:rPr>
                <w:rFonts w:hint="default" w:eastAsia="方正书宋_GBK"/>
                <w:lang w:val="en-US" w:eastAsia="zh-CN"/>
              </w:rPr>
            </w:pPr>
            <w:r>
              <w:rPr>
                <w:rFonts w:hint="eastAsia"/>
                <w:lang w:val="en-US" w:eastAsia="zh-CN"/>
              </w:rPr>
              <w:t>1688.79</w:t>
            </w:r>
          </w:p>
        </w:tc>
        <w:tc>
          <w:tcPr>
            <w:tcW w:w="3402" w:type="dxa"/>
            <w:noWrap w:val="0"/>
            <w:vAlign w:val="center"/>
          </w:tcPr>
          <w:p>
            <w:pPr>
              <w:pStyle w:val="22"/>
            </w:pPr>
            <w:r>
              <w:t>支出总计</w:t>
            </w:r>
          </w:p>
        </w:tc>
        <w:tc>
          <w:tcPr>
            <w:tcW w:w="1474" w:type="dxa"/>
            <w:noWrap w:val="0"/>
            <w:vAlign w:val="center"/>
          </w:tcPr>
          <w:p>
            <w:pPr>
              <w:pStyle w:val="23"/>
              <w:jc w:val="center"/>
            </w:pPr>
            <w:r>
              <w:rPr>
                <w:rFonts w:hint="eastAsia"/>
                <w:lang w:val="en-US" w:eastAsia="zh-CN"/>
              </w:rPr>
              <w:t>1688.79</w:t>
            </w:r>
          </w:p>
        </w:tc>
        <w:tc>
          <w:tcPr>
            <w:tcW w:w="1474" w:type="dxa"/>
            <w:noWrap w:val="0"/>
            <w:vAlign w:val="center"/>
          </w:tcPr>
          <w:p>
            <w:pPr>
              <w:pStyle w:val="23"/>
              <w:jc w:val="center"/>
            </w:pPr>
            <w:r>
              <w:rPr>
                <w:rFonts w:hint="eastAsia"/>
                <w:lang w:val="en-US" w:eastAsia="zh-CN"/>
              </w:rPr>
              <w:t>1688.79</w:t>
            </w:r>
          </w:p>
        </w:tc>
        <w:tc>
          <w:tcPr>
            <w:tcW w:w="1474" w:type="dxa"/>
            <w:noWrap w:val="0"/>
            <w:vAlign w:val="center"/>
          </w:tcPr>
          <w:p>
            <w:pPr>
              <w:pStyle w:val="23"/>
            </w:pPr>
          </w:p>
        </w:tc>
        <w:tc>
          <w:tcPr>
            <w:tcW w:w="1474" w:type="dxa"/>
            <w:noWrap w:val="0"/>
            <w:vAlign w:val="center"/>
          </w:tcPr>
          <w:p>
            <w:pPr>
              <w:pStyle w:val="23"/>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top"/>
          </w:tcPr>
          <w:p>
            <w:pPr>
              <w:jc w:val="center"/>
            </w:pP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1688.79</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517.78</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1171.01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10</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1641.27 </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470.26</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1171.01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809.91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470.26</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339.65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470.26</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470.26</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2240102</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2240104</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灾害风险防治</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2240108</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应急救援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2240109</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35.79 </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35.79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2240204</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消防应急救援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2240504</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地震监测</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2240703</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自然灾害救灾补助</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2240704</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2240799</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其他自然灾害救灾及恢复重建支出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pPr>
            <w:r>
              <w:t>预算年度：2022</w:t>
            </w:r>
          </w:p>
        </w:tc>
        <w:tc>
          <w:tcPr>
            <w:tcW w:w="5103"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支出部门经济分类科目</w:t>
            </w:r>
          </w:p>
        </w:tc>
        <w:tc>
          <w:tcPr>
            <w:tcW w:w="7654" w:type="dxa"/>
            <w:gridSpan w:val="3"/>
            <w:noWrap w:val="0"/>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noWrap w:val="0"/>
            <w:vAlign w:val="center"/>
          </w:tcPr>
          <w:p>
            <w:pPr>
              <w:pStyle w:val="18"/>
            </w:pPr>
            <w:r>
              <w:t>合计</w:t>
            </w:r>
          </w:p>
        </w:tc>
        <w:tc>
          <w:tcPr>
            <w:tcW w:w="2551" w:type="dxa"/>
            <w:noWrap w:val="0"/>
            <w:vAlign w:val="center"/>
          </w:tcPr>
          <w:p>
            <w:pPr>
              <w:pStyle w:val="18"/>
            </w:pPr>
            <w:r>
              <w:t>人员经费</w:t>
            </w:r>
          </w:p>
        </w:tc>
        <w:tc>
          <w:tcPr>
            <w:tcW w:w="2552" w:type="dxa"/>
            <w:noWrap w:val="0"/>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2"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top"/>
          </w:tcPr>
          <w:p>
            <w:pPr>
              <w:jc w:val="center"/>
            </w:pP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517.78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409.76</w:t>
            </w: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409.76</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409.76</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278.81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278.81</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66.39</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66.39</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6.25</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6.25</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9.64</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9.64</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1.15</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1.15</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108.02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13.64</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6.20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30226</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劳务费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60.54</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3.60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0.12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0.12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pPr>
            <w:r>
              <w:t>预算年度：2022</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381" w:type="dxa"/>
            <w:tcBorders>
              <w:top w:val="single" w:color="FFFFFF" w:sz="6" w:space="0"/>
              <w:left w:val="single" w:color="FFFFFF" w:sz="6" w:space="0"/>
              <w:right w:val="single" w:color="FFFFFF" w:sz="6" w:space="0"/>
            </w:tcBorders>
            <w:noWrap w:val="0"/>
            <w:vAlign w:val="center"/>
          </w:tcPr>
          <w:p>
            <w:pPr>
              <w:pStyle w:val="16"/>
            </w:pPr>
            <w:r>
              <w:t>预算年度：2022</w:t>
            </w:r>
          </w:p>
        </w:tc>
        <w:tc>
          <w:tcPr>
            <w:tcW w:w="476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3798" w:type="dxa"/>
            <w:vMerge w:val="restart"/>
            <w:noWrap w:val="0"/>
            <w:vAlign w:val="center"/>
          </w:tcPr>
          <w:p>
            <w:pPr>
              <w:pStyle w:val="18"/>
            </w:pPr>
            <w:r>
              <w:t>项  目</w:t>
            </w:r>
          </w:p>
        </w:tc>
        <w:tc>
          <w:tcPr>
            <w:tcW w:w="9525" w:type="dxa"/>
            <w:gridSpan w:val="4"/>
            <w:noWrap w:val="0"/>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8"/>
            </w:pPr>
            <w:r>
              <w:t>合计</w:t>
            </w:r>
          </w:p>
        </w:tc>
        <w:tc>
          <w:tcPr>
            <w:tcW w:w="2381" w:type="dxa"/>
            <w:noWrap w:val="0"/>
            <w:vAlign w:val="center"/>
          </w:tcPr>
          <w:p>
            <w:pPr>
              <w:pStyle w:val="18"/>
            </w:pPr>
            <w:r>
              <w:t>一般公共预算              财政拨款</w:t>
            </w:r>
          </w:p>
        </w:tc>
        <w:tc>
          <w:tcPr>
            <w:tcW w:w="2381" w:type="dxa"/>
            <w:noWrap w:val="0"/>
            <w:vAlign w:val="center"/>
          </w:tcPr>
          <w:p>
            <w:pPr>
              <w:pStyle w:val="18"/>
            </w:pPr>
            <w:r>
              <w:t>政府性基金                  预算拨款</w:t>
            </w:r>
          </w:p>
        </w:tc>
        <w:tc>
          <w:tcPr>
            <w:tcW w:w="2381" w:type="dxa"/>
            <w:noWrap w:val="0"/>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8"/>
            </w:pPr>
            <w:r>
              <w:t>栏次</w:t>
            </w:r>
          </w:p>
        </w:tc>
        <w:tc>
          <w:tcPr>
            <w:tcW w:w="3798" w:type="dxa"/>
            <w:noWrap w:val="0"/>
            <w:vAlign w:val="center"/>
          </w:tcPr>
          <w:p>
            <w:pPr>
              <w:pStyle w:val="18"/>
            </w:pPr>
            <w:r>
              <w:t>1</w:t>
            </w:r>
          </w:p>
        </w:tc>
        <w:tc>
          <w:tcPr>
            <w:tcW w:w="2382" w:type="dxa"/>
            <w:noWrap w:val="0"/>
            <w:vAlign w:val="center"/>
          </w:tcPr>
          <w:p>
            <w:pPr>
              <w:pStyle w:val="18"/>
            </w:pPr>
            <w:r>
              <w:t>2</w:t>
            </w:r>
          </w:p>
        </w:tc>
        <w:tc>
          <w:tcPr>
            <w:tcW w:w="2381" w:type="dxa"/>
            <w:noWrap w:val="0"/>
            <w:vAlign w:val="center"/>
          </w:tcPr>
          <w:p>
            <w:pPr>
              <w:pStyle w:val="18"/>
            </w:pPr>
            <w:r>
              <w:t>3</w:t>
            </w:r>
          </w:p>
        </w:tc>
        <w:tc>
          <w:tcPr>
            <w:tcW w:w="2381" w:type="dxa"/>
            <w:noWrap w:val="0"/>
            <w:vAlign w:val="center"/>
          </w:tcPr>
          <w:p>
            <w:pPr>
              <w:pStyle w:val="18"/>
            </w:pPr>
            <w:r>
              <w:t>4</w:t>
            </w:r>
          </w:p>
        </w:tc>
        <w:tc>
          <w:tcPr>
            <w:tcW w:w="238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w:t>
            </w:r>
          </w:p>
        </w:tc>
        <w:tc>
          <w:tcPr>
            <w:tcW w:w="3798" w:type="dxa"/>
            <w:noWrap w:val="0"/>
            <w:vAlign w:val="center"/>
          </w:tcPr>
          <w:p>
            <w:pPr>
              <w:pStyle w:val="22"/>
              <w:jc w:val="center"/>
            </w:pPr>
            <w:r>
              <w:t>合计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23"/>
              <w:jc w:val="center"/>
            </w:pPr>
          </w:p>
        </w:tc>
        <w:tc>
          <w:tcPr>
            <w:tcW w:w="2381" w:type="dxa"/>
            <w:noWrap w:val="0"/>
            <w:vAlign w:val="center"/>
          </w:tcPr>
          <w:p>
            <w:pPr>
              <w:pStyle w:val="2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2</w:t>
            </w:r>
          </w:p>
        </w:tc>
        <w:tc>
          <w:tcPr>
            <w:tcW w:w="3798" w:type="dxa"/>
            <w:noWrap w:val="0"/>
            <w:vAlign w:val="center"/>
          </w:tcPr>
          <w:p>
            <w:pPr>
              <w:pStyle w:val="20"/>
              <w:jc w:val="center"/>
            </w:pPr>
            <w:r>
              <w:t>“三公”经费小计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3</w:t>
            </w:r>
          </w:p>
        </w:tc>
        <w:tc>
          <w:tcPr>
            <w:tcW w:w="3798" w:type="dxa"/>
            <w:noWrap w:val="0"/>
            <w:vAlign w:val="center"/>
          </w:tcPr>
          <w:p>
            <w:pPr>
              <w:pStyle w:val="20"/>
              <w:jc w:val="center"/>
            </w:pPr>
            <w:r>
              <w:t>一、因公出国（境）费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4</w:t>
            </w:r>
          </w:p>
        </w:tc>
        <w:tc>
          <w:tcPr>
            <w:tcW w:w="3798" w:type="dxa"/>
            <w:noWrap w:val="0"/>
            <w:vAlign w:val="center"/>
          </w:tcPr>
          <w:p>
            <w:pPr>
              <w:pStyle w:val="20"/>
              <w:jc w:val="center"/>
            </w:pPr>
            <w:r>
              <w:t>其中：教学科研人员因公出国（境）费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5</w:t>
            </w:r>
          </w:p>
        </w:tc>
        <w:tc>
          <w:tcPr>
            <w:tcW w:w="3798" w:type="dxa"/>
            <w:noWrap w:val="0"/>
            <w:vAlign w:val="center"/>
          </w:tcPr>
          <w:p>
            <w:pPr>
              <w:pStyle w:val="20"/>
              <w:jc w:val="center"/>
            </w:pPr>
            <w:r>
              <w:t>其他因公出国（境）费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6</w:t>
            </w:r>
          </w:p>
        </w:tc>
        <w:tc>
          <w:tcPr>
            <w:tcW w:w="3798" w:type="dxa"/>
            <w:noWrap w:val="0"/>
            <w:vAlign w:val="center"/>
          </w:tcPr>
          <w:p>
            <w:pPr>
              <w:pStyle w:val="20"/>
              <w:jc w:val="center"/>
            </w:pPr>
            <w:r>
              <w:t>二、公务用车购置及运维费</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6</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7</w:t>
            </w:r>
          </w:p>
        </w:tc>
        <w:tc>
          <w:tcPr>
            <w:tcW w:w="3798" w:type="dxa"/>
            <w:noWrap w:val="0"/>
            <w:vAlign w:val="center"/>
          </w:tcPr>
          <w:p>
            <w:pPr>
              <w:pStyle w:val="20"/>
              <w:jc w:val="center"/>
            </w:pPr>
            <w:r>
              <w:t>其中：公务用车购置费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8</w:t>
            </w:r>
          </w:p>
        </w:tc>
        <w:tc>
          <w:tcPr>
            <w:tcW w:w="3798" w:type="dxa"/>
            <w:noWrap w:val="0"/>
            <w:vAlign w:val="center"/>
          </w:tcPr>
          <w:p>
            <w:pPr>
              <w:pStyle w:val="20"/>
              <w:jc w:val="center"/>
            </w:pPr>
            <w:r>
              <w:t>公务用车运行维护费</w:t>
            </w:r>
          </w:p>
        </w:tc>
        <w:tc>
          <w:tcPr>
            <w:tcW w:w="2382" w:type="dxa"/>
            <w:noWrap w:val="0"/>
            <w:vAlign w:val="center"/>
          </w:tcPr>
          <w:p>
            <w:pPr>
              <w:pStyle w:val="19"/>
              <w:jc w:val="center"/>
            </w:pPr>
            <w:r>
              <w:rPr>
                <w:rFonts w:hint="eastAsia"/>
                <w:lang w:val="en-US" w:eastAsia="zh-CN"/>
              </w:rPr>
              <w:t>6</w:t>
            </w:r>
            <w:r>
              <w:t>.00</w:t>
            </w:r>
          </w:p>
        </w:tc>
        <w:tc>
          <w:tcPr>
            <w:tcW w:w="2381" w:type="dxa"/>
            <w:noWrap w:val="0"/>
            <w:vAlign w:val="center"/>
          </w:tcPr>
          <w:p>
            <w:pPr>
              <w:pStyle w:val="19"/>
              <w:jc w:val="center"/>
            </w:pPr>
            <w:r>
              <w:rPr>
                <w:rFonts w:hint="eastAsia"/>
                <w:lang w:val="en-US" w:eastAsia="zh-CN"/>
              </w:rPr>
              <w:t>6</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9</w:t>
            </w:r>
          </w:p>
        </w:tc>
        <w:tc>
          <w:tcPr>
            <w:tcW w:w="3798" w:type="dxa"/>
            <w:noWrap w:val="0"/>
            <w:vAlign w:val="center"/>
          </w:tcPr>
          <w:p>
            <w:pPr>
              <w:pStyle w:val="20"/>
              <w:jc w:val="center"/>
            </w:pPr>
            <w:r>
              <w:t>三、公务接待费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10</w:t>
            </w:r>
          </w:p>
        </w:tc>
        <w:tc>
          <w:tcPr>
            <w:tcW w:w="3798" w:type="dxa"/>
            <w:noWrap w:val="0"/>
            <w:vAlign w:val="center"/>
          </w:tcPr>
          <w:p>
            <w:pPr>
              <w:pStyle w:val="20"/>
              <w:jc w:val="center"/>
            </w:pPr>
            <w:r>
              <w:t>四、会议费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11</w:t>
            </w:r>
          </w:p>
        </w:tc>
        <w:tc>
          <w:tcPr>
            <w:tcW w:w="3798" w:type="dxa"/>
            <w:noWrap w:val="0"/>
            <w:vAlign w:val="center"/>
          </w:tcPr>
          <w:p>
            <w:pPr>
              <w:pStyle w:val="20"/>
              <w:jc w:val="center"/>
            </w:pPr>
            <w:r>
              <w:t>五、培训费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bl>
    <w:p>
      <w:pPr>
        <w:jc w:val="center"/>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涞水县应急管理</w:t>
      </w:r>
      <w:r>
        <w:rPr>
          <w:rFonts w:ascii="方正小标宋_GBK" w:hAnsi="方正小标宋_GBK" w:eastAsia="方正小标宋_GBK" w:cs="方正小标宋_GBK"/>
          <w:color w:val="000000"/>
          <w:sz w:val="44"/>
        </w:rPr>
        <w:t>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局2022年部门预算公开如下：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ascii="黑体" w:hAnsi="黑体" w:eastAsia="黑体" w:cs="黑体"/>
          <w:color w:val="000000"/>
          <w:sz w:val="32"/>
        </w:rPr>
        <w:t>部门职责及机构设置情况</w:t>
      </w:r>
      <w:bookmarkEnd w:id="8"/>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5"/>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pPr w:leftFromText="180" w:rightFromText="180" w:vertAnchor="text" w:horzAnchor="page" w:tblpX="1841" w:tblpY="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009"/>
        <w:gridCol w:w="1800"/>
        <w:gridCol w:w="2385"/>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bookmarkStart w:id="9" w:name="_Toc_3_3_0000000011"/>
            <w:r>
              <w:rPr>
                <w:rFonts w:hint="eastAsia" w:ascii="宋体" w:hAnsi="宋体" w:cs="宋体"/>
                <w:color w:val="000000"/>
                <w:kern w:val="0"/>
                <w:sz w:val="28"/>
                <w:szCs w:val="28"/>
              </w:rPr>
              <w:t>序号</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1</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涞水县</w:t>
            </w:r>
            <w:r>
              <w:rPr>
                <w:rFonts w:hint="eastAsia" w:ascii="宋体" w:hAnsi="宋体" w:eastAsia="宋体" w:cs="宋体"/>
                <w:color w:val="000000"/>
                <w:kern w:val="0"/>
                <w:sz w:val="28"/>
                <w:szCs w:val="28"/>
                <w:lang w:eastAsia="zh-CN"/>
              </w:rPr>
              <w:t>应急</w:t>
            </w:r>
            <w:bookmarkStart w:id="17" w:name="_GoBack"/>
            <w:bookmarkEnd w:id="17"/>
            <w:r>
              <w:rPr>
                <w:rFonts w:hint="eastAsia" w:ascii="宋体" w:hAnsi="宋体" w:cs="宋体"/>
                <w:color w:val="000000"/>
                <w:kern w:val="0"/>
                <w:sz w:val="28"/>
                <w:szCs w:val="28"/>
              </w:rPr>
              <w:t>管理局</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行政</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2</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涞水县安全生产监督管理大队</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事业</w:t>
            </w:r>
          </w:p>
        </w:tc>
        <w:tc>
          <w:tcPr>
            <w:tcW w:w="2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8"/>
                <w:szCs w:val="28"/>
              </w:rPr>
            </w:pPr>
            <w:r>
              <w:rPr>
                <w:rFonts w:hint="eastAsia"/>
                <w:sz w:val="28"/>
                <w:szCs w:val="28"/>
              </w:rPr>
              <w:t>副科级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000000"/>
                <w:kern w:val="0"/>
                <w:sz w:val="28"/>
                <w:szCs w:val="28"/>
              </w:rPr>
            </w:pPr>
            <w:r>
              <w:rPr>
                <w:rFonts w:hint="eastAsia" w:ascii="宋体" w:hAnsi="宋体" w:cs="宋体"/>
                <w:color w:val="000000"/>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sz w:val="28"/>
                <w:szCs w:val="28"/>
              </w:rPr>
              <w:t>3</w:t>
            </w:r>
          </w:p>
        </w:tc>
        <w:tc>
          <w:tcPr>
            <w:tcW w:w="4009"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ascii="宋体" w:hAnsi="宋体" w:cs="宋体"/>
                <w:kern w:val="0"/>
                <w:sz w:val="28"/>
                <w:szCs w:val="28"/>
              </w:rPr>
              <w:t>涞水县应急物资储备中心</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sz w:val="28"/>
                <w:szCs w:val="28"/>
              </w:rPr>
              <w:t>事业</w:t>
            </w:r>
          </w:p>
        </w:tc>
        <w:tc>
          <w:tcPr>
            <w:tcW w:w="238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sz w:val="28"/>
                <w:szCs w:val="28"/>
              </w:rPr>
              <w:t>股级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000000"/>
                <w:kern w:val="0"/>
                <w:sz w:val="28"/>
                <w:szCs w:val="28"/>
              </w:rPr>
            </w:pPr>
            <w:r>
              <w:rPr>
                <w:rFonts w:hint="eastAsia" w:ascii="宋体" w:hAnsi="宋体" w:cs="宋体"/>
                <w:color w:val="000000"/>
                <w:kern w:val="0"/>
                <w:sz w:val="28"/>
                <w:szCs w:val="28"/>
              </w:rPr>
              <w:t>经费自理</w:t>
            </w:r>
          </w:p>
        </w:tc>
      </w:tr>
    </w:tbl>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6"/>
        <w:rPr>
          <w:rFonts w:hint="eastAsia"/>
        </w:rPr>
      </w:pPr>
      <w:r>
        <w:rPr>
          <w:rFonts w:hint="eastAsia"/>
        </w:rPr>
        <w:t>1、收入情况</w:t>
      </w:r>
    </w:p>
    <w:p>
      <w:pPr>
        <w:pStyle w:val="26"/>
        <w:rPr>
          <w:rFonts w:hint="eastAsia"/>
        </w:rPr>
      </w:pPr>
      <w:r>
        <w:rPr>
          <w:rFonts w:hint="eastAsia"/>
        </w:rPr>
        <w:t>反映本部门当年全部收入。2022年涞水县应急管理局预算总收入1688.79万元，其中：一般公共预算拨款收入1688.79万元，政府性基金收入0万元，国有资本经营预算收入0万元，其他来源收入0万元。</w:t>
      </w:r>
    </w:p>
    <w:p>
      <w:pPr>
        <w:pStyle w:val="26"/>
        <w:rPr>
          <w:rFonts w:hint="eastAsia"/>
        </w:rPr>
      </w:pPr>
      <w:r>
        <w:rPr>
          <w:rFonts w:hint="eastAsia"/>
        </w:rPr>
        <w:t>2、支出情况</w:t>
      </w:r>
    </w:p>
    <w:p>
      <w:pPr>
        <w:pStyle w:val="26"/>
        <w:rPr>
          <w:rFonts w:hint="eastAsia"/>
        </w:rPr>
      </w:pPr>
      <w:r>
        <w:rPr>
          <w:rFonts w:hint="eastAsia"/>
        </w:rPr>
        <w:t>收支预算总表支出栏、基本支出表、项目支出表按经济分类和支出功能分类科目编制，反映我部门预算中支出预算的总体情况。2022年部门支出安排预算总额1688.79万元，其中，基本支出517.78万元，包含人员经费409.76万元，日常公用经费108.02万元；项目支出1171.01万元。</w:t>
      </w:r>
    </w:p>
    <w:p>
      <w:pPr>
        <w:pStyle w:val="26"/>
        <w:rPr>
          <w:rFonts w:hint="eastAsia"/>
        </w:rPr>
      </w:pPr>
      <w:r>
        <w:rPr>
          <w:rFonts w:hint="eastAsia"/>
        </w:rPr>
        <w:t>3、比上年增减情况</w:t>
      </w:r>
    </w:p>
    <w:p>
      <w:pPr>
        <w:pStyle w:val="26"/>
      </w:pPr>
      <w:r>
        <w:rPr>
          <w:rFonts w:hint="eastAsia"/>
        </w:rPr>
        <w:t>本年度预算收支安排1688.79万元，较上增加14.34万元。其中:基本支出增加38.58万元，主要是增加人员工资、各项保险、劳务费用预算；项目支出减少24.24万元，主要原因是列入预算项目减少。</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pPr>
      <w:r>
        <w:rPr>
          <w:rFonts w:hint="eastAsia" w:eastAsia="方正仿宋_GBK"/>
          <w:color w:val="000000"/>
          <w:sz w:val="28"/>
        </w:rPr>
        <w:t>我单位日常公用经费预算支出108.02万元，包含办公费13.64万元，邮电费0.36万元，差旅费6.2万元，劳务费60.54万元，公务用车运行维护费6万元，公务交通补贴费12.54万元，离退休人员公用经费0.12万元，工会经费3.6万元，职工福利费5.02万元。</w:t>
      </w:r>
    </w:p>
    <w:p>
      <w:pPr>
        <w:numPr>
          <w:ilvl w:val="0"/>
          <w:numId w:val="0"/>
        </w:numPr>
        <w:spacing w:before="10" w:after="10" w:line="360" w:lineRule="auto"/>
        <w:outlineLvl w:val="2"/>
        <w:rPr>
          <w:rFonts w:ascii="黑体" w:hAnsi="黑体" w:eastAsia="黑体" w:cs="黑体"/>
          <w:color w:val="000000"/>
          <w:sz w:val="32"/>
        </w:rPr>
      </w:pPr>
      <w:bookmarkStart w:id="11" w:name="_Toc_3_3_0000000013"/>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color w:val="000000"/>
          <w:sz w:val="32"/>
          <w:lang w:val="en-US" w:eastAsia="zh-CN"/>
        </w:rPr>
        <w:t>四、</w:t>
      </w:r>
      <w:r>
        <w:rPr>
          <w:rFonts w:ascii="黑体" w:hAnsi="黑体" w:eastAsia="黑体" w:cs="黑体"/>
          <w:color w:val="000000"/>
          <w:sz w:val="32"/>
        </w:rPr>
        <w:t>财政拨款“三公”经费预算情况及增减变化原因</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ascii="黑体" w:hAnsi="黑体" w:eastAsia="黑体" w:cs="黑体"/>
          <w:color w:val="000000"/>
          <w:sz w:val="32"/>
          <w:lang w:val="en-US" w:eastAsia="zh-CN"/>
        </w:rPr>
        <w:t xml:space="preserve">    </w:t>
      </w: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年三公经费预算拨款6万元，其中公务车运行维护费6万元，无公务用车购置费，无公务接待费，无因公出国（境）费。</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年“三公经费”合计6万元，其中公务车运行维护费6万元，无公务用车购置费，无公务接待费，无因公出国（境）费。</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 xml:space="preserve">   202</w:t>
      </w:r>
      <w:r>
        <w:rPr>
          <w:rFonts w:hint="eastAsia" w:eastAsia="方正仿宋_GBK"/>
          <w:color w:val="000000"/>
          <w:sz w:val="28"/>
          <w:lang w:val="en-US" w:eastAsia="zh-CN"/>
        </w:rPr>
        <w:t>2</w:t>
      </w:r>
      <w:r>
        <w:rPr>
          <w:rFonts w:hint="eastAsia" w:eastAsia="方正仿宋_GBK"/>
          <w:color w:val="000000"/>
          <w:sz w:val="28"/>
        </w:rPr>
        <w:t>年三公经费与去年持平。</w:t>
      </w:r>
    </w:p>
    <w:p>
      <w:pPr>
        <w:numPr>
          <w:ilvl w:val="0"/>
          <w:numId w:val="0"/>
        </w:numPr>
        <w:spacing w:before="10" w:after="10" w:line="360" w:lineRule="auto"/>
        <w:outlineLvl w:val="2"/>
        <w:rPr>
          <w:rFonts w:hint="eastAsia" w:ascii="黑体" w:hAnsi="黑体" w:eastAsia="黑体" w:cs="黑体"/>
          <w:color w:val="000000"/>
          <w:sz w:val="32"/>
          <w:lang w:val="en-US" w:eastAsia="zh-CN"/>
        </w:rPr>
      </w:pPr>
    </w:p>
    <w:p>
      <w:pPr>
        <w:numPr>
          <w:ilvl w:val="0"/>
          <w:numId w:val="0"/>
        </w:numPr>
        <w:spacing w:before="10" w:after="10" w:line="360" w:lineRule="auto"/>
        <w:outlineLvl w:val="2"/>
        <w:rPr>
          <w:rFonts w:hint="default" w:ascii="黑体" w:hAnsi="黑体" w:eastAsia="黑体" w:cs="黑体"/>
          <w:color w:val="000000"/>
          <w:sz w:val="32"/>
          <w:lang w:val="en-US" w:eastAsia="zh-CN"/>
        </w:rPr>
      </w:pPr>
    </w:p>
    <w:tbl>
      <w:tblPr>
        <w:tblStyle w:val="9"/>
        <w:tblW w:w="0" w:type="auto"/>
        <w:tblInd w:w="0" w:type="dxa"/>
        <w:tblLayout w:type="fixed"/>
        <w:tblCellMar>
          <w:top w:w="0" w:type="dxa"/>
          <w:left w:w="108" w:type="dxa"/>
          <w:bottom w:w="0" w:type="dxa"/>
          <w:right w:w="108" w:type="dxa"/>
        </w:tblCellMar>
      </w:tblPr>
      <w:tblGrid>
        <w:gridCol w:w="2861"/>
        <w:gridCol w:w="2299"/>
        <w:gridCol w:w="2299"/>
        <w:gridCol w:w="1576"/>
        <w:gridCol w:w="4162"/>
      </w:tblGrid>
      <w:tr>
        <w:tblPrEx>
          <w:tblCellMar>
            <w:top w:w="0" w:type="dxa"/>
            <w:left w:w="108" w:type="dxa"/>
            <w:bottom w:w="0" w:type="dxa"/>
            <w:right w:w="108" w:type="dxa"/>
          </w:tblCellMar>
        </w:tblPrEx>
        <w:trPr>
          <w:trHeight w:val="314" w:hRule="atLeast"/>
        </w:trPr>
        <w:tc>
          <w:tcPr>
            <w:tcW w:w="2861" w:type="dxa"/>
            <w:tcBorders>
              <w:top w:val="nil"/>
              <w:left w:val="nil"/>
              <w:bottom w:val="nil"/>
              <w:right w:val="nil"/>
            </w:tcBorders>
            <w:noWrap w:val="0"/>
            <w:vAlign w:val="center"/>
          </w:tcPr>
          <w:p>
            <w:pPr>
              <w:rPr>
                <w:rFonts w:ascii="宋体" w:hAnsi="宋体" w:eastAsia="宋体" w:cs="宋体"/>
              </w:rPr>
            </w:pPr>
          </w:p>
        </w:tc>
        <w:tc>
          <w:tcPr>
            <w:tcW w:w="2299" w:type="dxa"/>
            <w:tcBorders>
              <w:top w:val="nil"/>
              <w:left w:val="nil"/>
              <w:bottom w:val="nil"/>
              <w:right w:val="nil"/>
            </w:tcBorders>
            <w:noWrap w:val="0"/>
            <w:vAlign w:val="center"/>
          </w:tcPr>
          <w:p>
            <w:pPr>
              <w:rPr>
                <w:rFonts w:ascii="宋体" w:hAnsi="宋体" w:eastAsia="宋体" w:cs="宋体"/>
              </w:rPr>
            </w:pPr>
          </w:p>
        </w:tc>
        <w:tc>
          <w:tcPr>
            <w:tcW w:w="2299" w:type="dxa"/>
            <w:tcBorders>
              <w:top w:val="nil"/>
              <w:left w:val="nil"/>
              <w:bottom w:val="nil"/>
              <w:right w:val="nil"/>
            </w:tcBorders>
            <w:noWrap w:val="0"/>
            <w:vAlign w:val="center"/>
          </w:tcPr>
          <w:p>
            <w:pPr>
              <w:rPr>
                <w:rFonts w:ascii="宋体" w:hAnsi="宋体" w:eastAsia="宋体" w:cs="宋体"/>
              </w:rPr>
            </w:pPr>
          </w:p>
        </w:tc>
        <w:tc>
          <w:tcPr>
            <w:tcW w:w="1576" w:type="dxa"/>
            <w:tcBorders>
              <w:top w:val="nil"/>
              <w:left w:val="nil"/>
              <w:bottom w:val="nil"/>
              <w:right w:val="nil"/>
            </w:tcBorders>
            <w:noWrap w:val="0"/>
            <w:vAlign w:val="center"/>
          </w:tcPr>
          <w:p>
            <w:pPr>
              <w:rPr>
                <w:rFonts w:ascii="宋体" w:hAnsi="宋体" w:eastAsia="宋体" w:cs="宋体"/>
              </w:rPr>
            </w:pPr>
          </w:p>
        </w:tc>
        <w:tc>
          <w:tcPr>
            <w:tcW w:w="4162" w:type="dxa"/>
            <w:tcBorders>
              <w:top w:val="nil"/>
              <w:left w:val="nil"/>
              <w:bottom w:val="nil"/>
              <w:right w:val="nil"/>
            </w:tcBorders>
            <w:noWrap w:val="0"/>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4" w:hRule="atLeast"/>
        </w:trPr>
        <w:tc>
          <w:tcPr>
            <w:tcW w:w="28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项目名称</w:t>
            </w:r>
          </w:p>
        </w:tc>
        <w:tc>
          <w:tcPr>
            <w:tcW w:w="229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29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57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增减金额</w:t>
            </w:r>
          </w:p>
        </w:tc>
        <w:tc>
          <w:tcPr>
            <w:tcW w:w="4162"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4"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15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324"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29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p>
        </w:tc>
        <w:tc>
          <w:tcPr>
            <w:tcW w:w="157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36"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6</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6</w:t>
            </w:r>
          </w:p>
        </w:tc>
        <w:tc>
          <w:tcPr>
            <w:tcW w:w="15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00"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57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83" w:hRule="atLeast"/>
        </w:trPr>
        <w:tc>
          <w:tcPr>
            <w:tcW w:w="2861"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合计</w:t>
            </w:r>
          </w:p>
        </w:tc>
        <w:tc>
          <w:tcPr>
            <w:tcW w:w="2299"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6</w:t>
            </w:r>
          </w:p>
        </w:tc>
        <w:tc>
          <w:tcPr>
            <w:tcW w:w="2299"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6</w:t>
            </w:r>
          </w:p>
        </w:tc>
        <w:tc>
          <w:tcPr>
            <w:tcW w:w="157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bl>
    <w:p>
      <w:pPr>
        <w:pStyle w:val="28"/>
      </w:pPr>
    </w:p>
    <w:p>
      <w:pPr>
        <w:spacing w:before="10" w:after="10" w:line="360" w:lineRule="auto"/>
        <w:ind w:firstLine="640"/>
        <w:outlineLvl w:val="2"/>
        <w:rPr>
          <w:rFonts w:hint="eastAsia" w:ascii="方正楷体_GBK" w:hAnsi="方正楷体_GBK" w:eastAsia="宋体" w:cs="方正楷体_GBK"/>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9"/>
        <w:rPr>
          <w:rFonts w:hint="eastAsia"/>
          <w:lang w:eastAsia="zh-CN"/>
        </w:rPr>
      </w:pPr>
      <w:r>
        <w:rPr>
          <w:rFonts w:hint="eastAsia"/>
          <w:lang w:eastAsia="zh-CN"/>
        </w:rPr>
        <w:t>以习近平新时代中国特色社会主义思想为指导，全面贯彻党的十九大精神和省委九届历次全会精神，按照国家和省委、省政府的决策部署，牢固树立红线意识，强化底线思维，坚持生命至上、安全第一的发展理念，坚持以防为主、防抗救相结合，坚持常态减灾和非常态救灾相统一，统筹加强自然灾害防治，全力防范化解重大安全风险，着力打造高素质专业化应急管理干部队伍，自然灾害防治能力、重大灾害救助能力、应急救援能力建设明显见效，事故起数和死亡人数继续“双下降”，较大事故进一步减少，重特大事故得到有效遏制，全省安全生产形势持续稳定好转，切实保障人民群众生命财产安全，积极维护全县社会大局稳定，为新时代建设经济强省、美丽河北做出应有的贡献。</w:t>
      </w:r>
    </w:p>
    <w:p>
      <w:pPr>
        <w:spacing w:line="500" w:lineRule="exact"/>
        <w:ind w:firstLine="560"/>
      </w:pPr>
      <w:r>
        <w:rPr>
          <w:rFonts w:eastAsia="方正仿宋_GBK"/>
          <w:color w:val="000000"/>
          <w:sz w:val="28"/>
        </w:rPr>
        <w:t>（二）分项绩效目标</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1、</w:t>
      </w:r>
      <w:r>
        <w:rPr>
          <w:rFonts w:hint="eastAsia" w:eastAsia="方正仿宋_GBK"/>
          <w:color w:val="000000"/>
          <w:sz w:val="28"/>
        </w:rPr>
        <w:t>以全县安全生产形势持续稳定好转</w:t>
      </w:r>
    </w:p>
    <w:p>
      <w:pPr>
        <w:spacing w:line="500" w:lineRule="exact"/>
        <w:ind w:firstLine="560"/>
        <w:rPr>
          <w:rFonts w:hint="eastAsia" w:eastAsia="方正仿宋_GBK"/>
          <w:color w:val="000000"/>
          <w:sz w:val="28"/>
        </w:rPr>
      </w:pPr>
      <w:r>
        <w:rPr>
          <w:rFonts w:hint="eastAsia" w:eastAsia="方正仿宋_GBK"/>
          <w:color w:val="000000"/>
          <w:sz w:val="28"/>
        </w:rPr>
        <w:t>绩效目标：，推动“党政同责、一岗双责、齐抓共管、失职追责”和“三个必须”的要求落到实处，以“双控”机制建设推动企业主体责任的落实，严厉打击非法违法生产经营和建设行为，坚决消除事故隐患，事故起数和死亡人数继续“双下降”，较大事故得到有效遏制。</w:t>
      </w:r>
    </w:p>
    <w:p>
      <w:pPr>
        <w:spacing w:line="500" w:lineRule="exact"/>
        <w:ind w:firstLine="560"/>
        <w:rPr>
          <w:rFonts w:hint="eastAsia" w:eastAsia="方正仿宋_GBK"/>
          <w:color w:val="000000"/>
          <w:sz w:val="28"/>
        </w:rPr>
      </w:pPr>
      <w:r>
        <w:rPr>
          <w:rFonts w:hint="eastAsia" w:eastAsia="方正仿宋_GBK"/>
          <w:color w:val="000000"/>
          <w:sz w:val="28"/>
        </w:rPr>
        <w:t>绩效指标：安全生产月发放宣传品1万份，创建市级安全文化示范企业3家，隐患排查整改率达到85%，特种作业人员考试合格率达到80%，高危行业主要负责人与安全管理人员考试合格率达到80%，县级监管监察干部轮训全覆盖，2021年末较2015年末生产安全事故起数下降10%，生产安全事故死亡人数下降10%。</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w:t>
      </w:r>
      <w:r>
        <w:rPr>
          <w:rFonts w:hint="eastAsia" w:eastAsia="方正仿宋_GBK"/>
          <w:color w:val="000000"/>
          <w:sz w:val="28"/>
        </w:rPr>
        <w:t>防范化解自然灾害风险，做好防灾减灾救灾工作</w:t>
      </w:r>
    </w:p>
    <w:p>
      <w:pPr>
        <w:spacing w:line="500" w:lineRule="exact"/>
        <w:ind w:firstLine="560"/>
        <w:rPr>
          <w:rFonts w:hint="eastAsia" w:eastAsia="方正仿宋_GBK"/>
          <w:color w:val="000000"/>
          <w:sz w:val="28"/>
        </w:rPr>
      </w:pPr>
      <w:r>
        <w:rPr>
          <w:rFonts w:hint="eastAsia" w:eastAsia="方正仿宋_GBK"/>
          <w:color w:val="000000"/>
          <w:sz w:val="28"/>
        </w:rPr>
        <w:t>绩效目标：不断优化“六个机制”，加快推进“七项工程”，建立完善综合减灾体系，做好重大自然灾害防治工作。构建统筹应对各灾种、有效覆盖各环节、综合协调各部门的全方位、全过程、多层次防灾减灾救灾新体系，研究建立协调联动、快速反应、高效有序的灾害救助新体制。强化灾情处置，及时落实救助资金和物资，扎实推进因灾倒损农房恢复重建工作。深入推广推进农房保险工作，进一步扩大保险覆盖面，做到应保尽保。有效推进冬春救助，保障受灾群众温暖、安全过冬。</w:t>
      </w:r>
    </w:p>
    <w:p>
      <w:pPr>
        <w:spacing w:line="500" w:lineRule="exact"/>
        <w:ind w:firstLine="560"/>
        <w:rPr>
          <w:rFonts w:hint="eastAsia" w:eastAsia="方正仿宋_GBK"/>
          <w:color w:val="000000"/>
          <w:sz w:val="28"/>
        </w:rPr>
      </w:pPr>
      <w:r>
        <w:rPr>
          <w:rFonts w:hint="eastAsia" w:eastAsia="方正仿宋_GBK"/>
          <w:color w:val="000000"/>
          <w:sz w:val="28"/>
        </w:rPr>
        <w:t>绩效指标：5.12防灾减灾日发放宣传品1万份，自然灾害损失初步情况报告2小时内报送到市应急管理局，保障全县受灾人员应急期吃穿住等生活需求，对全县因灾造成冬春期间生活出现困难的人员提供口粮、饮水、衣被、取暖等基本生活救助的总体救助率达到90%，农房保险出保赔付率达到96%。</w:t>
      </w:r>
    </w:p>
    <w:p>
      <w:pPr>
        <w:spacing w:line="500" w:lineRule="exact"/>
        <w:ind w:firstLine="560"/>
        <w:rPr>
          <w:rFonts w:hint="eastAsia" w:eastAsia="方正仿宋_GBK"/>
          <w:color w:val="000000"/>
          <w:sz w:val="28"/>
        </w:rPr>
      </w:pPr>
      <w:r>
        <w:rPr>
          <w:rFonts w:hint="eastAsia" w:eastAsia="方正仿宋_GBK"/>
          <w:color w:val="000000"/>
          <w:sz w:val="28"/>
        </w:rPr>
        <w:t>3、全面提升应急救援水平，提高应急处置能力</w:t>
      </w:r>
    </w:p>
    <w:p>
      <w:pPr>
        <w:spacing w:line="500" w:lineRule="exact"/>
        <w:ind w:firstLine="560"/>
        <w:rPr>
          <w:rFonts w:hint="eastAsia" w:eastAsia="方正仿宋_GBK"/>
          <w:color w:val="000000"/>
          <w:sz w:val="28"/>
        </w:rPr>
      </w:pPr>
      <w:r>
        <w:rPr>
          <w:rFonts w:hint="eastAsia" w:eastAsia="方正仿宋_GBK"/>
          <w:color w:val="000000"/>
          <w:sz w:val="28"/>
        </w:rPr>
        <w:t>绩效目标：建立完善应急联动工作机制。统筹规划生产安全事故救援、森林和草原火灾扑救、抗洪抢险、地震和地质灾害救援等救援队伍的整体布局。进一步强化灾害救助和物资保障能力，确保一旦发生灾害，救援物资能够及时运达救灾现场，保证救灾需要。加快预案编制和修订工作，尽快完善总体预案、专项预案、部门预案“1+31+42”的预案体系，加强预案演练，提高预案的实战性。</w:t>
      </w:r>
    </w:p>
    <w:p>
      <w:pPr>
        <w:spacing w:line="500" w:lineRule="exact"/>
        <w:ind w:firstLine="560"/>
        <w:rPr>
          <w:rFonts w:hint="eastAsia" w:eastAsia="方正仿宋_GBK"/>
          <w:color w:val="000000"/>
          <w:sz w:val="28"/>
        </w:rPr>
      </w:pPr>
      <w:r>
        <w:rPr>
          <w:rFonts w:hint="eastAsia" w:eastAsia="方正仿宋_GBK"/>
          <w:color w:val="000000"/>
          <w:sz w:val="28"/>
        </w:rPr>
        <w:t>绩效指标：应急救援演练活动，不低于3次（其中：政府级演练1次，部门级演练1次，重点行业领域或突发自然灾害抢险救援应急演练1次），,购置宣传册1万册，组织1场防灾减灾宣传演练活动，森林草原火灾隐患排查工作中整改率达到85%，物资维护保养覆盖率达到95%。</w:t>
      </w:r>
    </w:p>
    <w:p>
      <w:pPr>
        <w:spacing w:line="500" w:lineRule="exact"/>
        <w:ind w:firstLine="560"/>
      </w:pPr>
      <w:r>
        <w:rPr>
          <w:rFonts w:eastAsia="方正仿宋_GBK"/>
          <w:color w:val="000000"/>
          <w:sz w:val="28"/>
        </w:rPr>
        <w:t>（三）工作保障措施</w:t>
      </w:r>
    </w:p>
    <w:p>
      <w:pPr>
        <w:pStyle w:val="31"/>
      </w:pPr>
      <w:r>
        <w:t>为保证年度发展规划目标的实现，特制定以下保障措施：</w:t>
      </w:r>
    </w:p>
    <w:p>
      <w:pPr>
        <w:pStyle w:val="31"/>
        <w:rPr>
          <w:rFonts w:hint="eastAsia"/>
          <w:lang w:eastAsia="zh-CN"/>
        </w:rPr>
      </w:pPr>
      <w:r>
        <w:rPr>
          <w:rFonts w:hint="eastAsia"/>
          <w:lang w:eastAsia="zh-CN"/>
        </w:rPr>
        <w:t>（一）完善制度建设。制定完善预算绩效管理制度、资金管理办法、工作保障制度等，为全年预算绩效目标的实现奠定制度基础。</w:t>
      </w:r>
    </w:p>
    <w:p>
      <w:pPr>
        <w:pStyle w:val="31"/>
        <w:rPr>
          <w:rFonts w:hint="eastAsia"/>
          <w:lang w:eastAsia="zh-CN"/>
        </w:rPr>
      </w:pPr>
      <w:r>
        <w:rPr>
          <w:rFonts w:hint="eastAsia"/>
          <w:lang w:eastAsia="zh-CN"/>
        </w:rPr>
        <w:t>（二）加强支出管理。通过优化支出结构、编细编实预算、加快履行政府采购手续、尽快启动项目、及时支付资金、6月底前细化代编预算、按规定及时下达资金等多种措施，确保支出进度达标。</w:t>
      </w:r>
    </w:p>
    <w:p>
      <w:pPr>
        <w:pStyle w:val="31"/>
        <w:rPr>
          <w:rFonts w:hint="eastAsia"/>
          <w:lang w:eastAsia="zh-CN"/>
        </w:rPr>
      </w:pPr>
      <w:r>
        <w:rPr>
          <w:rFonts w:hint="eastAsia"/>
          <w:lang w:eastAsia="zh-CN"/>
        </w:rPr>
        <w:t>（三）加强绩效运行监控。按要求开展绩效运行监控，发现问题及时采取措施，确保绩效目标如期保质实现。</w:t>
      </w:r>
    </w:p>
    <w:p>
      <w:pPr>
        <w:pStyle w:val="31"/>
        <w:rPr>
          <w:rFonts w:hint="eastAsia"/>
          <w:lang w:eastAsia="zh-CN"/>
        </w:rPr>
      </w:pPr>
      <w:r>
        <w:rPr>
          <w:rFonts w:hint="eastAsia"/>
          <w:lang w:eastAsia="zh-CN"/>
        </w:rPr>
        <w:t>（四）做好绩效自评。按要求开展上年度部门预算绩效自评和重点评价工作，对评价中发现的问题及时整改，调整优化支出结构，提高财政资金使用效益。</w:t>
      </w:r>
    </w:p>
    <w:p>
      <w:pPr>
        <w:pStyle w:val="31"/>
        <w:rPr>
          <w:rFonts w:hint="eastAsia"/>
          <w:lang w:eastAsia="zh-CN"/>
        </w:rPr>
      </w:pPr>
      <w:r>
        <w:rPr>
          <w:rFonts w:hint="eastAsia"/>
          <w:lang w:eastAsia="zh-CN"/>
        </w:rPr>
        <w:t>（五）规范财务资产管理。完善财务管理制度，严格审批程序，加强固定资产登记、使用和报废处置管理，做到支出合理，物尽其用。</w:t>
      </w:r>
    </w:p>
    <w:p>
      <w:pPr>
        <w:pStyle w:val="31"/>
        <w:rPr>
          <w:rFonts w:hint="eastAsia"/>
          <w:lang w:eastAsia="zh-CN"/>
        </w:rPr>
      </w:pPr>
      <w:r>
        <w:rPr>
          <w:rFonts w:hint="eastAsia"/>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1"/>
        <w:rPr>
          <w:rFonts w:ascii="方正楷体_GBK" w:hAnsi="方正楷体_GBK" w:eastAsia="方正楷体_GBK" w:cs="方正楷体_GBK"/>
          <w:b/>
          <w:color w:val="000000"/>
          <w:sz w:val="32"/>
        </w:rPr>
      </w:pPr>
      <w:r>
        <w:rPr>
          <w:rFonts w:hint="eastAsia"/>
          <w:lang w:eastAsia="zh-CN"/>
        </w:rPr>
        <w:t>（七）加强宣传培训调研等。加强人员培训，提高本部门职工业务素质；加强调研，提出优化财政资金配置、提高资金使用效益的意见意见；加大宣传力度，强化预算绩效管理意识，促进预算绩效管理水平进一步提升。</w:t>
      </w: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
      <w:pPr>
        <w:ind w:firstLine="560"/>
        <w:rPr>
          <w:rFonts w:hint="default"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1、2021年河北省重大活动应急通信保障能力提升工程</w:t>
      </w: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1.购置应急通信设备，提升应急通信保障能力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jc w:val="center"/>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设备更新改造（个\台\套\件）</w:t>
            </w:r>
          </w:p>
        </w:tc>
        <w:tc>
          <w:tcPr>
            <w:tcW w:w="2835" w:type="dxa"/>
            <w:noWrap w:val="0"/>
            <w:vAlign w:val="center"/>
          </w:tcPr>
          <w:p>
            <w:pPr>
              <w:pStyle w:val="20"/>
              <w:jc w:val="center"/>
            </w:pPr>
            <w:r>
              <w:t>设备更新改造（个\台\套\件）</w:t>
            </w:r>
          </w:p>
        </w:tc>
        <w:tc>
          <w:tcPr>
            <w:tcW w:w="2551" w:type="dxa"/>
            <w:noWrap w:val="0"/>
            <w:vAlign w:val="center"/>
          </w:tcPr>
          <w:p>
            <w:pPr>
              <w:pStyle w:val="20"/>
              <w:jc w:val="center"/>
            </w:pPr>
            <w:r>
              <w:t>≥1套</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质量指标</w:t>
            </w:r>
          </w:p>
        </w:tc>
        <w:tc>
          <w:tcPr>
            <w:tcW w:w="2835" w:type="dxa"/>
            <w:noWrap w:val="0"/>
            <w:vAlign w:val="center"/>
          </w:tcPr>
          <w:p>
            <w:pPr>
              <w:pStyle w:val="20"/>
              <w:jc w:val="center"/>
            </w:pPr>
            <w:r>
              <w:t>设备、设施验收通过率（%）</w:t>
            </w:r>
          </w:p>
        </w:tc>
        <w:tc>
          <w:tcPr>
            <w:tcW w:w="2835" w:type="dxa"/>
            <w:noWrap w:val="0"/>
            <w:vAlign w:val="center"/>
          </w:tcPr>
          <w:p>
            <w:pPr>
              <w:pStyle w:val="20"/>
              <w:jc w:val="center"/>
            </w:pPr>
            <w:r>
              <w:t>设备、设施验收通过率（%）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时效指标</w:t>
            </w:r>
          </w:p>
        </w:tc>
        <w:tc>
          <w:tcPr>
            <w:tcW w:w="2835" w:type="dxa"/>
            <w:noWrap w:val="0"/>
            <w:vAlign w:val="center"/>
          </w:tcPr>
          <w:p>
            <w:pPr>
              <w:pStyle w:val="20"/>
              <w:jc w:val="center"/>
            </w:pPr>
            <w:r>
              <w:t>采购设备按时完成率</w:t>
            </w:r>
          </w:p>
        </w:tc>
        <w:tc>
          <w:tcPr>
            <w:tcW w:w="2835" w:type="dxa"/>
            <w:noWrap w:val="0"/>
            <w:vAlign w:val="center"/>
          </w:tcPr>
          <w:p>
            <w:pPr>
              <w:pStyle w:val="20"/>
              <w:jc w:val="center"/>
            </w:pPr>
            <w:r>
              <w:t>采购设备按时完成率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&lt;1.43万元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jc w:val="center"/>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设备全年安全运行天数</w:t>
            </w:r>
          </w:p>
        </w:tc>
        <w:tc>
          <w:tcPr>
            <w:tcW w:w="2835" w:type="dxa"/>
            <w:noWrap w:val="0"/>
            <w:vAlign w:val="center"/>
          </w:tcPr>
          <w:p>
            <w:pPr>
              <w:pStyle w:val="20"/>
              <w:jc w:val="center"/>
            </w:pPr>
            <w:r>
              <w:t>设备全年安全运行天数</w:t>
            </w:r>
          </w:p>
        </w:tc>
        <w:tc>
          <w:tcPr>
            <w:tcW w:w="2551" w:type="dxa"/>
            <w:noWrap w:val="0"/>
            <w:vAlign w:val="center"/>
          </w:tcPr>
          <w:p>
            <w:pPr>
              <w:pStyle w:val="20"/>
              <w:jc w:val="center"/>
            </w:pPr>
            <w:r>
              <w:t>≥300天</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满意率</w:t>
            </w:r>
          </w:p>
        </w:tc>
        <w:tc>
          <w:tcPr>
            <w:tcW w:w="2835" w:type="dxa"/>
            <w:noWrap w:val="0"/>
            <w:vAlign w:val="center"/>
          </w:tcPr>
          <w:p>
            <w:pPr>
              <w:pStyle w:val="20"/>
              <w:jc w:val="center"/>
            </w:pPr>
            <w:r>
              <w:t>满意率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数量指标</w:t>
            </w:r>
          </w:p>
        </w:tc>
        <w:tc>
          <w:tcPr>
            <w:tcW w:w="2835" w:type="dxa"/>
            <w:noWrap w:val="0"/>
            <w:vAlign w:val="center"/>
          </w:tcPr>
          <w:p>
            <w:pPr>
              <w:pStyle w:val="20"/>
              <w:jc w:val="center"/>
            </w:pPr>
            <w:r>
              <w:t>设备更新改造（个\台\套\件）</w:t>
            </w:r>
          </w:p>
        </w:tc>
        <w:tc>
          <w:tcPr>
            <w:tcW w:w="2835" w:type="dxa"/>
            <w:noWrap w:val="0"/>
            <w:vAlign w:val="center"/>
          </w:tcPr>
          <w:p>
            <w:pPr>
              <w:pStyle w:val="20"/>
              <w:jc w:val="center"/>
            </w:pPr>
            <w:r>
              <w:t>设备更新改造（个\台\套\件）</w:t>
            </w:r>
          </w:p>
        </w:tc>
        <w:tc>
          <w:tcPr>
            <w:tcW w:w="2551" w:type="dxa"/>
            <w:noWrap w:val="0"/>
            <w:vAlign w:val="center"/>
          </w:tcPr>
          <w:p>
            <w:pPr>
              <w:pStyle w:val="20"/>
              <w:jc w:val="center"/>
            </w:pPr>
            <w:r>
              <w:t>≥1套</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质量指标</w:t>
            </w:r>
          </w:p>
        </w:tc>
        <w:tc>
          <w:tcPr>
            <w:tcW w:w="2835" w:type="dxa"/>
            <w:noWrap w:val="0"/>
            <w:vAlign w:val="center"/>
          </w:tcPr>
          <w:p>
            <w:pPr>
              <w:pStyle w:val="20"/>
              <w:jc w:val="center"/>
            </w:pPr>
            <w:r>
              <w:t>设备、设施验收通过率（%）</w:t>
            </w:r>
          </w:p>
        </w:tc>
        <w:tc>
          <w:tcPr>
            <w:tcW w:w="2835" w:type="dxa"/>
            <w:noWrap w:val="0"/>
            <w:vAlign w:val="center"/>
          </w:tcPr>
          <w:p>
            <w:pPr>
              <w:pStyle w:val="20"/>
              <w:jc w:val="center"/>
            </w:pPr>
            <w:r>
              <w:t>设备、设施验收通过率（%）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jc w:val="center"/>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采购设备按时完成率</w:t>
            </w:r>
          </w:p>
        </w:tc>
        <w:tc>
          <w:tcPr>
            <w:tcW w:w="2835" w:type="dxa"/>
            <w:noWrap w:val="0"/>
            <w:vAlign w:val="center"/>
          </w:tcPr>
          <w:p>
            <w:pPr>
              <w:pStyle w:val="20"/>
              <w:jc w:val="center"/>
            </w:pPr>
            <w:r>
              <w:t>采购设备按时完成率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hint="eastAsia"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2022年安全生产、应急常识宣传教育经费</w:t>
      </w: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1.加强安全生产法等法律法规及应急常识宣传，提升群众的安全生产及应急防护意识。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jc w:val="center"/>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组织开展宣传活动次数</w:t>
            </w:r>
          </w:p>
        </w:tc>
        <w:tc>
          <w:tcPr>
            <w:tcW w:w="2835" w:type="dxa"/>
            <w:noWrap w:val="0"/>
            <w:vAlign w:val="center"/>
          </w:tcPr>
          <w:p>
            <w:pPr>
              <w:pStyle w:val="20"/>
              <w:jc w:val="center"/>
            </w:pPr>
            <w:r>
              <w:t>组织开展宣传活动次数</w:t>
            </w:r>
          </w:p>
        </w:tc>
        <w:tc>
          <w:tcPr>
            <w:tcW w:w="2551" w:type="dxa"/>
            <w:noWrap w:val="0"/>
            <w:vAlign w:val="center"/>
          </w:tcPr>
          <w:p>
            <w:pPr>
              <w:pStyle w:val="20"/>
              <w:jc w:val="center"/>
            </w:pPr>
            <w:r>
              <w:t>≥2次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jc w:val="center"/>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数量指标</w:t>
            </w:r>
          </w:p>
        </w:tc>
        <w:tc>
          <w:tcPr>
            <w:tcW w:w="2835" w:type="dxa"/>
            <w:noWrap w:val="0"/>
            <w:vAlign w:val="center"/>
          </w:tcPr>
          <w:p>
            <w:pPr>
              <w:pStyle w:val="20"/>
              <w:jc w:val="center"/>
            </w:pPr>
            <w:r>
              <w:t>组织开展宣传活动次数</w:t>
            </w:r>
          </w:p>
        </w:tc>
        <w:tc>
          <w:tcPr>
            <w:tcW w:w="2835" w:type="dxa"/>
            <w:noWrap w:val="0"/>
            <w:vAlign w:val="center"/>
          </w:tcPr>
          <w:p>
            <w:pPr>
              <w:pStyle w:val="20"/>
              <w:jc w:val="center"/>
            </w:pPr>
            <w:r>
              <w:t>组织开展宣传活动次数</w:t>
            </w:r>
          </w:p>
        </w:tc>
        <w:tc>
          <w:tcPr>
            <w:tcW w:w="2551" w:type="dxa"/>
            <w:noWrap w:val="0"/>
            <w:vAlign w:val="center"/>
          </w:tcPr>
          <w:p>
            <w:pPr>
              <w:pStyle w:val="20"/>
              <w:jc w:val="center"/>
            </w:pPr>
            <w:r>
              <w:t>≥2次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jc w:val="center"/>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3、2022年安全生产工作培训费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1.加强安全生产知识培训，提升全员安全生产意识。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培训人数</w:t>
            </w:r>
          </w:p>
        </w:tc>
        <w:tc>
          <w:tcPr>
            <w:tcW w:w="2835" w:type="dxa"/>
            <w:noWrap w:val="0"/>
            <w:vAlign w:val="center"/>
          </w:tcPr>
          <w:p>
            <w:pPr>
              <w:pStyle w:val="20"/>
              <w:jc w:val="center"/>
            </w:pPr>
            <w:r>
              <w:t>培训人数</w:t>
            </w:r>
          </w:p>
        </w:tc>
        <w:tc>
          <w:tcPr>
            <w:tcW w:w="2551" w:type="dxa"/>
            <w:noWrap w:val="0"/>
            <w:vAlign w:val="center"/>
          </w:tcPr>
          <w:p>
            <w:pPr>
              <w:pStyle w:val="20"/>
              <w:jc w:val="center"/>
            </w:pPr>
            <w:r>
              <w:t>≥100人次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培训内容的掌握程度</w:t>
            </w:r>
          </w:p>
        </w:tc>
        <w:tc>
          <w:tcPr>
            <w:tcW w:w="2835" w:type="dxa"/>
            <w:noWrap w:val="0"/>
            <w:vAlign w:val="center"/>
          </w:tcPr>
          <w:p>
            <w:pPr>
              <w:pStyle w:val="20"/>
              <w:jc w:val="center"/>
            </w:pPr>
            <w:r>
              <w:t>培训内容的掌握程度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培训完成的及时率</w:t>
            </w:r>
          </w:p>
        </w:tc>
        <w:tc>
          <w:tcPr>
            <w:tcW w:w="2835" w:type="dxa"/>
            <w:noWrap w:val="0"/>
            <w:vAlign w:val="center"/>
          </w:tcPr>
          <w:p>
            <w:pPr>
              <w:pStyle w:val="20"/>
              <w:jc w:val="center"/>
            </w:pPr>
            <w:r>
              <w:t>培训完成的及时率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降低事故发生率</w:t>
            </w:r>
          </w:p>
        </w:tc>
        <w:tc>
          <w:tcPr>
            <w:tcW w:w="2835" w:type="dxa"/>
            <w:noWrap w:val="0"/>
            <w:vAlign w:val="center"/>
          </w:tcPr>
          <w:p>
            <w:pPr>
              <w:pStyle w:val="20"/>
              <w:jc w:val="center"/>
            </w:pPr>
            <w:r>
              <w:t>降低事故发生率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数量指标</w:t>
            </w:r>
          </w:p>
        </w:tc>
        <w:tc>
          <w:tcPr>
            <w:tcW w:w="2835" w:type="dxa"/>
            <w:noWrap w:val="0"/>
            <w:vAlign w:val="center"/>
          </w:tcPr>
          <w:p>
            <w:pPr>
              <w:pStyle w:val="20"/>
              <w:jc w:val="center"/>
            </w:pPr>
            <w:r>
              <w:t>培训人数</w:t>
            </w:r>
          </w:p>
        </w:tc>
        <w:tc>
          <w:tcPr>
            <w:tcW w:w="2835" w:type="dxa"/>
            <w:noWrap w:val="0"/>
            <w:vAlign w:val="center"/>
          </w:tcPr>
          <w:p>
            <w:pPr>
              <w:pStyle w:val="20"/>
              <w:jc w:val="center"/>
            </w:pPr>
            <w:r>
              <w:t>培训人数</w:t>
            </w:r>
          </w:p>
        </w:tc>
        <w:tc>
          <w:tcPr>
            <w:tcW w:w="2551" w:type="dxa"/>
            <w:noWrap w:val="0"/>
            <w:vAlign w:val="center"/>
          </w:tcPr>
          <w:p>
            <w:pPr>
              <w:pStyle w:val="20"/>
              <w:jc w:val="center"/>
            </w:pPr>
            <w:r>
              <w:t>≥100人次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质量指标</w:t>
            </w:r>
          </w:p>
        </w:tc>
        <w:tc>
          <w:tcPr>
            <w:tcW w:w="2835" w:type="dxa"/>
            <w:noWrap w:val="0"/>
            <w:vAlign w:val="center"/>
          </w:tcPr>
          <w:p>
            <w:pPr>
              <w:pStyle w:val="20"/>
              <w:jc w:val="center"/>
            </w:pPr>
            <w:r>
              <w:t>培训内容的掌握程度</w:t>
            </w:r>
          </w:p>
        </w:tc>
        <w:tc>
          <w:tcPr>
            <w:tcW w:w="2835" w:type="dxa"/>
            <w:noWrap w:val="0"/>
            <w:vAlign w:val="center"/>
          </w:tcPr>
          <w:p>
            <w:pPr>
              <w:pStyle w:val="20"/>
              <w:jc w:val="center"/>
            </w:pPr>
            <w:r>
              <w:t>培训内容的掌握程度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4、2022年安全生产事故举报奖励经</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全县安全生产率</w:t>
            </w:r>
          </w:p>
        </w:tc>
        <w:tc>
          <w:tcPr>
            <w:tcW w:w="2835" w:type="dxa"/>
            <w:noWrap w:val="0"/>
            <w:vAlign w:val="center"/>
          </w:tcPr>
          <w:p>
            <w:pPr>
              <w:pStyle w:val="20"/>
              <w:jc w:val="center"/>
            </w:pPr>
            <w:r>
              <w:t>全县安全生产率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举报群众满意度</w:t>
            </w:r>
          </w:p>
        </w:tc>
        <w:tc>
          <w:tcPr>
            <w:tcW w:w="2835" w:type="dxa"/>
            <w:noWrap w:val="0"/>
            <w:vAlign w:val="center"/>
          </w:tcPr>
          <w:p>
            <w:pPr>
              <w:pStyle w:val="20"/>
              <w:jc w:val="center"/>
            </w:pPr>
            <w:r>
              <w:t>举报群众满意度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5、2022年安全生产事故应急救援演练活动经费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应急演练专家评估</w:t>
            </w:r>
          </w:p>
        </w:tc>
        <w:tc>
          <w:tcPr>
            <w:tcW w:w="2835" w:type="dxa"/>
            <w:noWrap w:val="0"/>
            <w:vAlign w:val="center"/>
          </w:tcPr>
          <w:p>
            <w:pPr>
              <w:pStyle w:val="20"/>
              <w:jc w:val="center"/>
            </w:pPr>
            <w:r>
              <w:t>应急演练专家评估</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开展应急演练情况</w:t>
            </w:r>
          </w:p>
        </w:tc>
        <w:tc>
          <w:tcPr>
            <w:tcW w:w="2835" w:type="dxa"/>
            <w:noWrap w:val="0"/>
            <w:vAlign w:val="center"/>
          </w:tcPr>
          <w:p>
            <w:pPr>
              <w:pStyle w:val="20"/>
              <w:jc w:val="center"/>
            </w:pPr>
            <w:r>
              <w:t>开展应急演练情况</w:t>
            </w:r>
          </w:p>
        </w:tc>
        <w:tc>
          <w:tcPr>
            <w:tcW w:w="2551" w:type="dxa"/>
            <w:noWrap w:val="0"/>
            <w:vAlign w:val="center"/>
          </w:tcPr>
          <w:p>
            <w:pPr>
              <w:pStyle w:val="20"/>
              <w:jc w:val="center"/>
            </w:pPr>
            <w:r>
              <w:t>1及时开展</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演练费用</w:t>
            </w:r>
          </w:p>
        </w:tc>
        <w:tc>
          <w:tcPr>
            <w:tcW w:w="2835" w:type="dxa"/>
            <w:noWrap w:val="0"/>
            <w:vAlign w:val="center"/>
          </w:tcPr>
          <w:p>
            <w:pPr>
              <w:pStyle w:val="20"/>
              <w:jc w:val="center"/>
            </w:pPr>
            <w:r>
              <w:t>演练费用</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演练人员技能提升率</w:t>
            </w:r>
          </w:p>
        </w:tc>
        <w:tc>
          <w:tcPr>
            <w:tcW w:w="2835" w:type="dxa"/>
            <w:noWrap w:val="0"/>
            <w:vAlign w:val="center"/>
          </w:tcPr>
          <w:p>
            <w:pPr>
              <w:pStyle w:val="20"/>
              <w:jc w:val="center"/>
            </w:pPr>
            <w:r>
              <w:t>演练人员技能提升率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参与演练人员的满意度</w:t>
            </w:r>
          </w:p>
        </w:tc>
        <w:tc>
          <w:tcPr>
            <w:tcW w:w="2835" w:type="dxa"/>
            <w:noWrap w:val="0"/>
            <w:vAlign w:val="center"/>
          </w:tcPr>
          <w:p>
            <w:pPr>
              <w:pStyle w:val="20"/>
              <w:jc w:val="center"/>
            </w:pPr>
            <w:r>
              <w:t>参与演练人员的满意度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、2022年安全生产专家咨询费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1.提高应急执法力度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聘请专家次数</w:t>
            </w:r>
          </w:p>
        </w:tc>
        <w:tc>
          <w:tcPr>
            <w:tcW w:w="2835" w:type="dxa"/>
            <w:noWrap w:val="0"/>
            <w:vAlign w:val="center"/>
          </w:tcPr>
          <w:p>
            <w:pPr>
              <w:pStyle w:val="20"/>
              <w:jc w:val="center"/>
            </w:pPr>
            <w:r>
              <w:t>聘请专家次数</w:t>
            </w:r>
          </w:p>
        </w:tc>
        <w:tc>
          <w:tcPr>
            <w:tcW w:w="2551" w:type="dxa"/>
            <w:noWrap w:val="0"/>
            <w:vAlign w:val="center"/>
          </w:tcPr>
          <w:p>
            <w:pPr>
              <w:pStyle w:val="20"/>
              <w:jc w:val="center"/>
            </w:pPr>
            <w:r>
              <w:t>≥50人次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选案准确率</w:t>
            </w:r>
          </w:p>
        </w:tc>
        <w:tc>
          <w:tcPr>
            <w:tcW w:w="2835" w:type="dxa"/>
            <w:noWrap w:val="0"/>
            <w:vAlign w:val="center"/>
          </w:tcPr>
          <w:p>
            <w:pPr>
              <w:pStyle w:val="20"/>
              <w:jc w:val="center"/>
            </w:pPr>
            <w:r>
              <w:t>选案准确率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服务的完成度</w:t>
            </w:r>
          </w:p>
        </w:tc>
        <w:tc>
          <w:tcPr>
            <w:tcW w:w="2835" w:type="dxa"/>
            <w:noWrap w:val="0"/>
            <w:vAlign w:val="center"/>
          </w:tcPr>
          <w:p>
            <w:pPr>
              <w:pStyle w:val="20"/>
              <w:jc w:val="center"/>
            </w:pPr>
            <w:r>
              <w:t>服务的完成度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政策建议采纳率</w:t>
            </w:r>
          </w:p>
        </w:tc>
        <w:tc>
          <w:tcPr>
            <w:tcW w:w="2835" w:type="dxa"/>
            <w:noWrap w:val="0"/>
            <w:vAlign w:val="center"/>
          </w:tcPr>
          <w:p>
            <w:pPr>
              <w:pStyle w:val="20"/>
              <w:jc w:val="center"/>
            </w:pPr>
            <w:r>
              <w:t>政策建议采纳率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满意率</w:t>
            </w:r>
          </w:p>
        </w:tc>
        <w:tc>
          <w:tcPr>
            <w:tcW w:w="2835" w:type="dxa"/>
            <w:noWrap w:val="0"/>
            <w:vAlign w:val="center"/>
          </w:tcPr>
          <w:p>
            <w:pPr>
              <w:pStyle w:val="20"/>
              <w:jc w:val="center"/>
            </w:pPr>
            <w:r>
              <w:t>满意率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聘请专家次数</w:t>
            </w:r>
          </w:p>
        </w:tc>
        <w:tc>
          <w:tcPr>
            <w:tcW w:w="2835" w:type="dxa"/>
            <w:noWrap w:val="0"/>
            <w:vAlign w:val="center"/>
          </w:tcPr>
          <w:p>
            <w:pPr>
              <w:pStyle w:val="20"/>
              <w:jc w:val="center"/>
            </w:pPr>
            <w:r>
              <w:t>聘请专家次数</w:t>
            </w:r>
          </w:p>
        </w:tc>
        <w:tc>
          <w:tcPr>
            <w:tcW w:w="2551" w:type="dxa"/>
            <w:noWrap w:val="0"/>
            <w:vAlign w:val="center"/>
          </w:tcPr>
          <w:p>
            <w:pPr>
              <w:pStyle w:val="20"/>
              <w:jc w:val="center"/>
            </w:pPr>
            <w:r>
              <w:t>≥50人次</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、2022年地震群策群防办公费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宣传活动举办及时性</w:t>
            </w:r>
          </w:p>
        </w:tc>
        <w:tc>
          <w:tcPr>
            <w:tcW w:w="2835" w:type="dxa"/>
            <w:noWrap w:val="0"/>
            <w:vAlign w:val="center"/>
          </w:tcPr>
          <w:p>
            <w:pPr>
              <w:pStyle w:val="20"/>
              <w:jc w:val="center"/>
            </w:pPr>
            <w:r>
              <w:t>宣传活动举办及时性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地震知识宣传教育率</w:t>
            </w:r>
          </w:p>
        </w:tc>
        <w:tc>
          <w:tcPr>
            <w:tcW w:w="2835" w:type="dxa"/>
            <w:noWrap w:val="0"/>
            <w:vAlign w:val="center"/>
          </w:tcPr>
          <w:p>
            <w:pPr>
              <w:pStyle w:val="20"/>
              <w:jc w:val="center"/>
            </w:pPr>
            <w:r>
              <w:t>地震知识宣传教育率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宣传对象满意度(%)</w:t>
            </w:r>
          </w:p>
        </w:tc>
        <w:tc>
          <w:tcPr>
            <w:tcW w:w="2835" w:type="dxa"/>
            <w:noWrap w:val="0"/>
            <w:vAlign w:val="center"/>
          </w:tcPr>
          <w:p>
            <w:pPr>
              <w:pStyle w:val="20"/>
              <w:jc w:val="center"/>
            </w:pPr>
            <w:r>
              <w:t>宣传对象满意度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按照文件要求</w:t>
            </w:r>
          </w:p>
        </w:tc>
      </w:tr>
    </w:tbl>
    <w:p/>
    <w:p/>
    <w:p/>
    <w:p/>
    <w:p/>
    <w:p/>
    <w:p/>
    <w:p/>
    <w:p/>
    <w:p/>
    <w:p/>
    <w:p/>
    <w:p/>
    <w:p/>
    <w:p/>
    <w:p/>
    <w:p/>
    <w:p>
      <w:pPr>
        <w:ind w:firstLine="560"/>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、2022年地震群策群防岗位补助经费绩效目标表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补助发放效率</w:t>
            </w:r>
          </w:p>
        </w:tc>
        <w:tc>
          <w:tcPr>
            <w:tcW w:w="2835" w:type="dxa"/>
            <w:noWrap w:val="0"/>
            <w:vAlign w:val="center"/>
          </w:tcPr>
          <w:p>
            <w:pPr>
              <w:pStyle w:val="20"/>
              <w:jc w:val="center"/>
            </w:pPr>
            <w:r>
              <w:t>补助发放效率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补助资金下达时限</w:t>
            </w:r>
          </w:p>
        </w:tc>
        <w:tc>
          <w:tcPr>
            <w:tcW w:w="2835" w:type="dxa"/>
            <w:noWrap w:val="0"/>
            <w:vAlign w:val="center"/>
          </w:tcPr>
          <w:p>
            <w:pPr>
              <w:pStyle w:val="20"/>
              <w:jc w:val="center"/>
            </w:pPr>
            <w:r>
              <w:t>补助资金下达时限</w:t>
            </w:r>
          </w:p>
        </w:tc>
        <w:tc>
          <w:tcPr>
            <w:tcW w:w="2551" w:type="dxa"/>
            <w:noWrap w:val="0"/>
            <w:vAlign w:val="center"/>
          </w:tcPr>
          <w:p>
            <w:pPr>
              <w:pStyle w:val="20"/>
              <w:jc w:val="center"/>
            </w:pPr>
            <w:r>
              <w:t>11月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补助资金总量</w:t>
            </w:r>
          </w:p>
        </w:tc>
        <w:tc>
          <w:tcPr>
            <w:tcW w:w="2835" w:type="dxa"/>
            <w:noWrap w:val="0"/>
            <w:vAlign w:val="center"/>
          </w:tcPr>
          <w:p>
            <w:pPr>
              <w:pStyle w:val="20"/>
              <w:jc w:val="center"/>
            </w:pPr>
            <w:r>
              <w:t>补助资金总量</w:t>
            </w:r>
          </w:p>
        </w:tc>
        <w:tc>
          <w:tcPr>
            <w:tcW w:w="2551" w:type="dxa"/>
            <w:noWrap w:val="0"/>
            <w:vAlign w:val="center"/>
          </w:tcPr>
          <w:p>
            <w:pPr>
              <w:pStyle w:val="20"/>
              <w:jc w:val="center"/>
            </w:pPr>
            <w:r>
              <w:t>≤5.75万元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地震防范水平提升度</w:t>
            </w:r>
          </w:p>
        </w:tc>
        <w:tc>
          <w:tcPr>
            <w:tcW w:w="2835" w:type="dxa"/>
            <w:noWrap w:val="0"/>
            <w:vAlign w:val="center"/>
          </w:tcPr>
          <w:p>
            <w:pPr>
              <w:pStyle w:val="20"/>
              <w:jc w:val="center"/>
            </w:pPr>
            <w:r>
              <w:t>地震防范水平提升度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群策群防岗位人员对补助费满意度</w:t>
            </w:r>
          </w:p>
        </w:tc>
        <w:tc>
          <w:tcPr>
            <w:tcW w:w="2835" w:type="dxa"/>
            <w:noWrap w:val="0"/>
            <w:vAlign w:val="center"/>
          </w:tcPr>
          <w:p>
            <w:pPr>
              <w:pStyle w:val="20"/>
              <w:jc w:val="center"/>
            </w:pPr>
            <w:r>
              <w:t>群策群防岗位人员对补助费满意度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、2022年第一次全国自然灾害风险普查项目（县级配套部分）</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pPr>
        <w:ind w:firstLine="560"/>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开展涞水县第一次全国自然灾害综合风险普查实施方案编制及全部普查的组织实施；建设普查成果数据库和综合集成平台，形成涞水县自然灾害综合风险普查基础普查数据成果，构建数据应用综合集成框架和综合展示系统，为后续综合风险评估和区划编制奠定基础。</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平台和数据看建设数量</w:t>
            </w:r>
          </w:p>
        </w:tc>
        <w:tc>
          <w:tcPr>
            <w:tcW w:w="2835" w:type="dxa"/>
            <w:noWrap w:val="0"/>
            <w:vAlign w:val="center"/>
          </w:tcPr>
          <w:p>
            <w:pPr>
              <w:pStyle w:val="20"/>
              <w:jc w:val="center"/>
            </w:pPr>
            <w:r>
              <w:t>平台和数据看建设数量</w:t>
            </w:r>
          </w:p>
        </w:tc>
        <w:tc>
          <w:tcPr>
            <w:tcW w:w="2551" w:type="dxa"/>
            <w:noWrap w:val="0"/>
            <w:vAlign w:val="center"/>
          </w:tcPr>
          <w:p>
            <w:pPr>
              <w:pStyle w:val="20"/>
              <w:jc w:val="center"/>
            </w:pPr>
            <w:r>
              <w:t>2个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平台和数据库运行天数</w:t>
            </w:r>
          </w:p>
        </w:tc>
        <w:tc>
          <w:tcPr>
            <w:tcW w:w="2835" w:type="dxa"/>
            <w:noWrap w:val="0"/>
            <w:vAlign w:val="center"/>
          </w:tcPr>
          <w:p>
            <w:pPr>
              <w:pStyle w:val="20"/>
              <w:jc w:val="center"/>
            </w:pPr>
            <w:r>
              <w:t>平台和数据库运行天数</w:t>
            </w:r>
          </w:p>
        </w:tc>
        <w:tc>
          <w:tcPr>
            <w:tcW w:w="2551" w:type="dxa"/>
            <w:noWrap w:val="0"/>
            <w:vAlign w:val="center"/>
          </w:tcPr>
          <w:p>
            <w:pPr>
              <w:pStyle w:val="20"/>
              <w:jc w:val="center"/>
            </w:pPr>
            <w:r>
              <w:t>≤350天</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自然灾害风险普查项目周期</w:t>
            </w:r>
          </w:p>
        </w:tc>
        <w:tc>
          <w:tcPr>
            <w:tcW w:w="2835" w:type="dxa"/>
            <w:noWrap w:val="0"/>
            <w:vAlign w:val="center"/>
          </w:tcPr>
          <w:p>
            <w:pPr>
              <w:pStyle w:val="20"/>
              <w:jc w:val="center"/>
            </w:pPr>
            <w:r>
              <w:t>自然灾害风险普查项目周期</w:t>
            </w:r>
          </w:p>
        </w:tc>
        <w:tc>
          <w:tcPr>
            <w:tcW w:w="2551" w:type="dxa"/>
            <w:noWrap w:val="0"/>
            <w:vAlign w:val="center"/>
          </w:tcPr>
          <w:p>
            <w:pPr>
              <w:pStyle w:val="20"/>
              <w:jc w:val="center"/>
            </w:pPr>
            <w:r>
              <w:t>≤2年</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≤210.89万元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w:t>
            </w:r>
          </w:p>
        </w:tc>
        <w:tc>
          <w:tcPr>
            <w:tcW w:w="2835" w:type="dxa"/>
            <w:noWrap w:val="0"/>
            <w:vAlign w:val="center"/>
          </w:tcPr>
          <w:p>
            <w:pPr>
              <w:pStyle w:val="20"/>
              <w:jc w:val="center"/>
            </w:pPr>
            <w:r>
              <w:t>项目实现功能</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平台和数据看建设数量</w:t>
            </w:r>
          </w:p>
        </w:tc>
        <w:tc>
          <w:tcPr>
            <w:tcW w:w="2835" w:type="dxa"/>
            <w:noWrap w:val="0"/>
            <w:vAlign w:val="center"/>
          </w:tcPr>
          <w:p>
            <w:pPr>
              <w:pStyle w:val="20"/>
              <w:jc w:val="center"/>
            </w:pPr>
            <w:r>
              <w:t>平台和数据看建设数量</w:t>
            </w:r>
          </w:p>
        </w:tc>
        <w:tc>
          <w:tcPr>
            <w:tcW w:w="2551" w:type="dxa"/>
            <w:noWrap w:val="0"/>
            <w:vAlign w:val="center"/>
          </w:tcPr>
          <w:p>
            <w:pPr>
              <w:pStyle w:val="20"/>
              <w:jc w:val="center"/>
            </w:pPr>
            <w:r>
              <w:t>2个</w:t>
            </w:r>
          </w:p>
        </w:tc>
        <w:tc>
          <w:tcPr>
            <w:tcW w:w="2268" w:type="dxa"/>
            <w:noWrap w:val="0"/>
            <w:vAlign w:val="center"/>
          </w:tcPr>
          <w:p>
            <w:pPr>
              <w:pStyle w:val="20"/>
              <w:jc w:val="center"/>
            </w:pPr>
            <w:r>
              <w:t>按照文件规定</w:t>
            </w:r>
          </w:p>
        </w:tc>
      </w:tr>
    </w:tbl>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、2022年防汛抗旱工作办公费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防汛信息研判率</w:t>
            </w:r>
          </w:p>
        </w:tc>
        <w:tc>
          <w:tcPr>
            <w:tcW w:w="2835" w:type="dxa"/>
            <w:noWrap w:val="0"/>
            <w:vAlign w:val="center"/>
          </w:tcPr>
          <w:p>
            <w:pPr>
              <w:pStyle w:val="20"/>
              <w:jc w:val="center"/>
            </w:pPr>
            <w:r>
              <w:t>防汛信息研判率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防汛信息发布及时率</w:t>
            </w:r>
          </w:p>
        </w:tc>
        <w:tc>
          <w:tcPr>
            <w:tcW w:w="2835" w:type="dxa"/>
            <w:noWrap w:val="0"/>
            <w:vAlign w:val="center"/>
          </w:tcPr>
          <w:p>
            <w:pPr>
              <w:pStyle w:val="20"/>
              <w:jc w:val="center"/>
            </w:pPr>
            <w:r>
              <w:t>防汛信息发布及时率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按照文件要求</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、2022年防汛物资补充储备项目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eastAsia="zh-CN"/>
              </w:rPr>
            </w:pPr>
            <w:r>
              <w:t>1.按照文件规定，达到物资储备限额</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储备物资种类</w:t>
            </w:r>
          </w:p>
        </w:tc>
        <w:tc>
          <w:tcPr>
            <w:tcW w:w="2835" w:type="dxa"/>
            <w:noWrap w:val="0"/>
            <w:vAlign w:val="center"/>
          </w:tcPr>
          <w:p>
            <w:pPr>
              <w:pStyle w:val="20"/>
              <w:jc w:val="center"/>
            </w:pPr>
            <w:r>
              <w:t>储备物资种类</w:t>
            </w:r>
          </w:p>
        </w:tc>
        <w:tc>
          <w:tcPr>
            <w:tcW w:w="2551" w:type="dxa"/>
            <w:noWrap w:val="0"/>
            <w:vAlign w:val="center"/>
          </w:tcPr>
          <w:p>
            <w:pPr>
              <w:pStyle w:val="20"/>
              <w:jc w:val="center"/>
            </w:pPr>
            <w:r>
              <w:t>≥14类</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储备物资合格率</w:t>
            </w:r>
          </w:p>
        </w:tc>
        <w:tc>
          <w:tcPr>
            <w:tcW w:w="2835" w:type="dxa"/>
            <w:noWrap w:val="0"/>
            <w:vAlign w:val="center"/>
          </w:tcPr>
          <w:p>
            <w:pPr>
              <w:pStyle w:val="20"/>
              <w:jc w:val="center"/>
            </w:pPr>
            <w:r>
              <w:t>储备物资合格率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完成全部物资采购项目时间</w:t>
            </w:r>
          </w:p>
        </w:tc>
        <w:tc>
          <w:tcPr>
            <w:tcW w:w="2835" w:type="dxa"/>
            <w:noWrap w:val="0"/>
            <w:vAlign w:val="center"/>
          </w:tcPr>
          <w:p>
            <w:pPr>
              <w:pStyle w:val="20"/>
              <w:jc w:val="center"/>
            </w:pPr>
            <w:r>
              <w:t>完成全部物资采购项目时间</w:t>
            </w:r>
          </w:p>
        </w:tc>
        <w:tc>
          <w:tcPr>
            <w:tcW w:w="2551" w:type="dxa"/>
            <w:noWrap w:val="0"/>
            <w:vAlign w:val="center"/>
          </w:tcPr>
          <w:p>
            <w:pPr>
              <w:pStyle w:val="20"/>
              <w:jc w:val="center"/>
            </w:pPr>
            <w:r>
              <w:t>≤7月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物资采购成本</w:t>
            </w:r>
          </w:p>
        </w:tc>
        <w:tc>
          <w:tcPr>
            <w:tcW w:w="2835" w:type="dxa"/>
            <w:noWrap w:val="0"/>
            <w:vAlign w:val="center"/>
          </w:tcPr>
          <w:p>
            <w:pPr>
              <w:pStyle w:val="20"/>
              <w:jc w:val="center"/>
            </w:pPr>
            <w:r>
              <w:t>物资采购成本</w:t>
            </w:r>
          </w:p>
        </w:tc>
        <w:tc>
          <w:tcPr>
            <w:tcW w:w="2551" w:type="dxa"/>
            <w:noWrap w:val="0"/>
            <w:vAlign w:val="center"/>
          </w:tcPr>
          <w:p>
            <w:pPr>
              <w:pStyle w:val="20"/>
              <w:jc w:val="center"/>
            </w:pPr>
            <w:r>
              <w:t>≤38万元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储备物资应急保障率</w:t>
            </w:r>
          </w:p>
        </w:tc>
        <w:tc>
          <w:tcPr>
            <w:tcW w:w="2835" w:type="dxa"/>
            <w:noWrap w:val="0"/>
            <w:vAlign w:val="center"/>
          </w:tcPr>
          <w:p>
            <w:pPr>
              <w:pStyle w:val="20"/>
              <w:jc w:val="center"/>
            </w:pPr>
            <w:r>
              <w:t>储备物资应急保障率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物资使用单位满意度</w:t>
            </w:r>
          </w:p>
        </w:tc>
        <w:tc>
          <w:tcPr>
            <w:tcW w:w="2835" w:type="dxa"/>
            <w:noWrap w:val="0"/>
            <w:vAlign w:val="center"/>
          </w:tcPr>
          <w:p>
            <w:pPr>
              <w:pStyle w:val="20"/>
              <w:jc w:val="center"/>
            </w:pPr>
            <w:r>
              <w:t>物资使用单位满意度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储备物资种类</w:t>
            </w:r>
          </w:p>
        </w:tc>
        <w:tc>
          <w:tcPr>
            <w:tcW w:w="2835" w:type="dxa"/>
            <w:noWrap w:val="0"/>
            <w:vAlign w:val="center"/>
          </w:tcPr>
          <w:p>
            <w:pPr>
              <w:pStyle w:val="20"/>
              <w:jc w:val="center"/>
            </w:pPr>
            <w:r>
              <w:t>储备物资种类</w:t>
            </w:r>
          </w:p>
        </w:tc>
        <w:tc>
          <w:tcPr>
            <w:tcW w:w="2551" w:type="dxa"/>
            <w:noWrap w:val="0"/>
            <w:vAlign w:val="center"/>
          </w:tcPr>
          <w:p>
            <w:pPr>
              <w:pStyle w:val="20"/>
              <w:jc w:val="center"/>
            </w:pPr>
            <w:r>
              <w:t>≥14类</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、2022年各类事故应急救援保障经费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事故救援覆盖率（%）</w:t>
            </w:r>
          </w:p>
        </w:tc>
        <w:tc>
          <w:tcPr>
            <w:tcW w:w="2835" w:type="dxa"/>
            <w:noWrap w:val="0"/>
            <w:vAlign w:val="center"/>
          </w:tcPr>
          <w:p>
            <w:pPr>
              <w:pStyle w:val="20"/>
              <w:jc w:val="center"/>
            </w:pPr>
            <w:r>
              <w:t>事故救援覆盖率（%）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安全事故处理完成率</w:t>
            </w:r>
          </w:p>
        </w:tc>
        <w:tc>
          <w:tcPr>
            <w:tcW w:w="2835" w:type="dxa"/>
            <w:noWrap w:val="0"/>
            <w:vAlign w:val="center"/>
          </w:tcPr>
          <w:p>
            <w:pPr>
              <w:pStyle w:val="20"/>
              <w:jc w:val="center"/>
            </w:pPr>
            <w:r>
              <w:t>反映安全事故处理情况</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事故当事人满意度</w:t>
            </w:r>
          </w:p>
        </w:tc>
        <w:tc>
          <w:tcPr>
            <w:tcW w:w="2835" w:type="dxa"/>
            <w:noWrap w:val="0"/>
            <w:vAlign w:val="center"/>
          </w:tcPr>
          <w:p>
            <w:pPr>
              <w:pStyle w:val="20"/>
              <w:jc w:val="center"/>
            </w:pPr>
            <w:r>
              <w:t>事故当事人满意度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bl>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、2022年河北省重大应急活动通信保障能力提升项目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1.购置相关设备提升应急通信保障能力。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设备购置数量</w:t>
            </w:r>
          </w:p>
        </w:tc>
        <w:tc>
          <w:tcPr>
            <w:tcW w:w="2835" w:type="dxa"/>
            <w:noWrap w:val="0"/>
            <w:vAlign w:val="center"/>
          </w:tcPr>
          <w:p>
            <w:pPr>
              <w:pStyle w:val="20"/>
              <w:jc w:val="center"/>
            </w:pPr>
            <w:r>
              <w:t>设备购置数量</w:t>
            </w:r>
          </w:p>
        </w:tc>
        <w:tc>
          <w:tcPr>
            <w:tcW w:w="2551" w:type="dxa"/>
            <w:noWrap w:val="0"/>
            <w:vAlign w:val="center"/>
          </w:tcPr>
          <w:p>
            <w:pPr>
              <w:pStyle w:val="20"/>
              <w:jc w:val="center"/>
            </w:pPr>
            <w:r>
              <w:t>≥10件</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设备达标率</w:t>
            </w:r>
          </w:p>
        </w:tc>
        <w:tc>
          <w:tcPr>
            <w:tcW w:w="2835" w:type="dxa"/>
            <w:noWrap w:val="0"/>
            <w:vAlign w:val="center"/>
          </w:tcPr>
          <w:p>
            <w:pPr>
              <w:pStyle w:val="20"/>
              <w:jc w:val="center"/>
            </w:pPr>
            <w:r>
              <w:t>设备达标率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购置及时率</w:t>
            </w:r>
          </w:p>
        </w:tc>
        <w:tc>
          <w:tcPr>
            <w:tcW w:w="2835" w:type="dxa"/>
            <w:noWrap w:val="0"/>
            <w:vAlign w:val="center"/>
          </w:tcPr>
          <w:p>
            <w:pPr>
              <w:pStyle w:val="20"/>
              <w:jc w:val="center"/>
            </w:pPr>
            <w:r>
              <w:t>购置及时率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≤5.49万元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通信工作完成率</w:t>
            </w:r>
          </w:p>
        </w:tc>
        <w:tc>
          <w:tcPr>
            <w:tcW w:w="2835" w:type="dxa"/>
            <w:noWrap w:val="0"/>
            <w:vAlign w:val="center"/>
          </w:tcPr>
          <w:p>
            <w:pPr>
              <w:pStyle w:val="20"/>
              <w:jc w:val="center"/>
            </w:pPr>
            <w:r>
              <w:t>通信工作完成率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设备购置数量</w:t>
            </w:r>
          </w:p>
        </w:tc>
        <w:tc>
          <w:tcPr>
            <w:tcW w:w="2835" w:type="dxa"/>
            <w:noWrap w:val="0"/>
            <w:vAlign w:val="center"/>
          </w:tcPr>
          <w:p>
            <w:pPr>
              <w:pStyle w:val="20"/>
              <w:jc w:val="center"/>
            </w:pPr>
            <w:r>
              <w:t>设备购置数量</w:t>
            </w:r>
          </w:p>
        </w:tc>
        <w:tc>
          <w:tcPr>
            <w:tcW w:w="2551" w:type="dxa"/>
            <w:noWrap w:val="0"/>
            <w:vAlign w:val="center"/>
          </w:tcPr>
          <w:p>
            <w:pPr>
              <w:pStyle w:val="20"/>
              <w:jc w:val="center"/>
            </w:pPr>
            <w:r>
              <w:t>≥10件</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、2022年救灾工作经费绩效目标表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社会稳定水平</w:t>
            </w:r>
          </w:p>
        </w:tc>
        <w:tc>
          <w:tcPr>
            <w:tcW w:w="2835" w:type="dxa"/>
            <w:noWrap w:val="0"/>
            <w:vAlign w:val="center"/>
          </w:tcPr>
          <w:p>
            <w:pPr>
              <w:pStyle w:val="20"/>
              <w:jc w:val="center"/>
            </w:pPr>
            <w:r>
              <w:t>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、2022年森林消防专项--办公费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办公费使用单位</w:t>
            </w:r>
          </w:p>
        </w:tc>
        <w:tc>
          <w:tcPr>
            <w:tcW w:w="2835" w:type="dxa"/>
            <w:noWrap w:val="0"/>
            <w:vAlign w:val="center"/>
          </w:tcPr>
          <w:p>
            <w:pPr>
              <w:pStyle w:val="20"/>
              <w:jc w:val="center"/>
            </w:pPr>
            <w:r>
              <w:t>办公费使用单位</w:t>
            </w:r>
          </w:p>
        </w:tc>
        <w:tc>
          <w:tcPr>
            <w:tcW w:w="2551" w:type="dxa"/>
            <w:noWrap w:val="0"/>
            <w:vAlign w:val="center"/>
          </w:tcPr>
          <w:p>
            <w:pPr>
              <w:pStyle w:val="20"/>
              <w:jc w:val="center"/>
            </w:pPr>
            <w:r>
              <w:t>4个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办公费使用单位</w:t>
            </w:r>
          </w:p>
        </w:tc>
        <w:tc>
          <w:tcPr>
            <w:tcW w:w="2835" w:type="dxa"/>
            <w:noWrap w:val="0"/>
            <w:vAlign w:val="center"/>
          </w:tcPr>
          <w:p>
            <w:pPr>
              <w:pStyle w:val="20"/>
              <w:jc w:val="center"/>
            </w:pPr>
            <w:r>
              <w:t>办公费使用单位</w:t>
            </w:r>
          </w:p>
        </w:tc>
        <w:tc>
          <w:tcPr>
            <w:tcW w:w="2551" w:type="dxa"/>
            <w:noWrap w:val="0"/>
            <w:vAlign w:val="center"/>
          </w:tcPr>
          <w:p>
            <w:pPr>
              <w:pStyle w:val="20"/>
              <w:jc w:val="center"/>
            </w:pPr>
            <w:r>
              <w:t>4个</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、2022年森林消防专项--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1.为保障森防队防火车日常开支巡查，做到早发现、早处理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车辆安全运行率</w:t>
            </w:r>
          </w:p>
        </w:tc>
        <w:tc>
          <w:tcPr>
            <w:tcW w:w="2835" w:type="dxa"/>
            <w:noWrap w:val="0"/>
            <w:vAlign w:val="center"/>
          </w:tcPr>
          <w:p>
            <w:pPr>
              <w:pStyle w:val="20"/>
              <w:jc w:val="center"/>
            </w:pPr>
            <w:r>
              <w:t>车辆安全运行率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设备（含车辆和专用耗材）到位及</w:t>
            </w:r>
          </w:p>
        </w:tc>
        <w:tc>
          <w:tcPr>
            <w:tcW w:w="2835" w:type="dxa"/>
            <w:noWrap w:val="0"/>
            <w:vAlign w:val="center"/>
          </w:tcPr>
          <w:p>
            <w:pPr>
              <w:pStyle w:val="20"/>
              <w:jc w:val="center"/>
            </w:pPr>
            <w:r>
              <w:t>设备（含车辆和专用耗材）到位及时率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≤20万元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经济损失挽回率</w:t>
            </w:r>
          </w:p>
        </w:tc>
        <w:tc>
          <w:tcPr>
            <w:tcW w:w="2835" w:type="dxa"/>
            <w:noWrap w:val="0"/>
            <w:vAlign w:val="center"/>
          </w:tcPr>
          <w:p>
            <w:pPr>
              <w:pStyle w:val="20"/>
              <w:jc w:val="center"/>
            </w:pPr>
            <w:r>
              <w:t>经济损失挽回率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按照文件规定</w:t>
            </w:r>
          </w:p>
        </w:tc>
      </w:tr>
    </w:tbl>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、2022年森林消防专项--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取暖温度</w:t>
            </w:r>
          </w:p>
        </w:tc>
        <w:tc>
          <w:tcPr>
            <w:tcW w:w="2835" w:type="dxa"/>
            <w:noWrap w:val="0"/>
            <w:vAlign w:val="center"/>
          </w:tcPr>
          <w:p>
            <w:pPr>
              <w:pStyle w:val="20"/>
              <w:jc w:val="center"/>
            </w:pPr>
            <w:r>
              <w:t>取暖温度</w:t>
            </w:r>
          </w:p>
        </w:tc>
        <w:tc>
          <w:tcPr>
            <w:tcW w:w="2551" w:type="dxa"/>
            <w:noWrap w:val="0"/>
            <w:vAlign w:val="center"/>
          </w:tcPr>
          <w:p>
            <w:pPr>
              <w:pStyle w:val="20"/>
              <w:jc w:val="center"/>
            </w:pPr>
            <w:r>
              <w:t>≥20度</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供暖及时率</w:t>
            </w:r>
          </w:p>
        </w:tc>
        <w:tc>
          <w:tcPr>
            <w:tcW w:w="2835" w:type="dxa"/>
            <w:noWrap w:val="0"/>
            <w:vAlign w:val="center"/>
          </w:tcPr>
          <w:p>
            <w:pPr>
              <w:pStyle w:val="20"/>
              <w:jc w:val="center"/>
            </w:pPr>
            <w:r>
              <w:t>供暖及时率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项目实现功能率</w:t>
            </w:r>
          </w:p>
        </w:tc>
        <w:tc>
          <w:tcPr>
            <w:tcW w:w="2835" w:type="dxa"/>
            <w:noWrap w:val="0"/>
            <w:vAlign w:val="center"/>
          </w:tcPr>
          <w:p>
            <w:pPr>
              <w:pStyle w:val="20"/>
              <w:jc w:val="center"/>
            </w:pPr>
            <w:r>
              <w:t>项目实现功能率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、2022年森林消防专项--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取暖温度</w:t>
            </w:r>
          </w:p>
        </w:tc>
        <w:tc>
          <w:tcPr>
            <w:tcW w:w="2835" w:type="dxa"/>
            <w:noWrap w:val="0"/>
            <w:vAlign w:val="center"/>
          </w:tcPr>
          <w:p>
            <w:pPr>
              <w:pStyle w:val="20"/>
              <w:jc w:val="center"/>
            </w:pPr>
            <w:r>
              <w:t>取暖温度</w:t>
            </w:r>
          </w:p>
        </w:tc>
        <w:tc>
          <w:tcPr>
            <w:tcW w:w="2551" w:type="dxa"/>
            <w:noWrap w:val="0"/>
            <w:vAlign w:val="center"/>
          </w:tcPr>
          <w:p>
            <w:pPr>
              <w:pStyle w:val="20"/>
              <w:jc w:val="center"/>
            </w:pPr>
            <w:r>
              <w:t>≥20度</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供暖及时率</w:t>
            </w:r>
          </w:p>
        </w:tc>
        <w:tc>
          <w:tcPr>
            <w:tcW w:w="2835" w:type="dxa"/>
            <w:noWrap w:val="0"/>
            <w:vAlign w:val="center"/>
          </w:tcPr>
          <w:p>
            <w:pPr>
              <w:pStyle w:val="20"/>
              <w:jc w:val="center"/>
            </w:pPr>
            <w:r>
              <w:t>供暖及时率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项目实现功能率</w:t>
            </w:r>
          </w:p>
        </w:tc>
        <w:tc>
          <w:tcPr>
            <w:tcW w:w="2835" w:type="dxa"/>
            <w:noWrap w:val="0"/>
            <w:vAlign w:val="center"/>
          </w:tcPr>
          <w:p>
            <w:pPr>
              <w:pStyle w:val="20"/>
              <w:jc w:val="center"/>
            </w:pPr>
            <w:r>
              <w:t>项目实现功能率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按照文件规定</w:t>
            </w:r>
          </w:p>
        </w:tc>
      </w:tr>
    </w:tbl>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、2022年森林消防专项——人员经费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人员数量</w:t>
            </w:r>
          </w:p>
        </w:tc>
        <w:tc>
          <w:tcPr>
            <w:tcW w:w="2835" w:type="dxa"/>
            <w:noWrap w:val="0"/>
            <w:vAlign w:val="center"/>
          </w:tcPr>
          <w:p>
            <w:pPr>
              <w:pStyle w:val="20"/>
              <w:jc w:val="center"/>
            </w:pPr>
            <w:r>
              <w:t>人员数量</w:t>
            </w:r>
          </w:p>
        </w:tc>
        <w:tc>
          <w:tcPr>
            <w:tcW w:w="2551" w:type="dxa"/>
            <w:noWrap w:val="0"/>
            <w:vAlign w:val="center"/>
          </w:tcPr>
          <w:p>
            <w:pPr>
              <w:pStyle w:val="20"/>
              <w:jc w:val="center"/>
            </w:pPr>
            <w:r>
              <w:t>≤130人</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人员经费执行率</w:t>
            </w:r>
          </w:p>
        </w:tc>
        <w:tc>
          <w:tcPr>
            <w:tcW w:w="2835" w:type="dxa"/>
            <w:noWrap w:val="0"/>
            <w:vAlign w:val="center"/>
          </w:tcPr>
          <w:p>
            <w:pPr>
              <w:pStyle w:val="20"/>
              <w:jc w:val="center"/>
            </w:pPr>
            <w:r>
              <w:t>人员经费执行率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人员发放及时率</w:t>
            </w:r>
          </w:p>
        </w:tc>
        <w:tc>
          <w:tcPr>
            <w:tcW w:w="2835" w:type="dxa"/>
            <w:noWrap w:val="0"/>
            <w:vAlign w:val="center"/>
          </w:tcPr>
          <w:p>
            <w:pPr>
              <w:pStyle w:val="20"/>
              <w:jc w:val="center"/>
            </w:pPr>
            <w:r>
              <w:t>人员发放及时率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≤694.81万元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人员数量</w:t>
            </w:r>
          </w:p>
        </w:tc>
        <w:tc>
          <w:tcPr>
            <w:tcW w:w="2835" w:type="dxa"/>
            <w:noWrap w:val="0"/>
            <w:vAlign w:val="center"/>
          </w:tcPr>
          <w:p>
            <w:pPr>
              <w:pStyle w:val="20"/>
              <w:jc w:val="center"/>
            </w:pPr>
            <w:r>
              <w:t>人员数量</w:t>
            </w:r>
          </w:p>
        </w:tc>
        <w:tc>
          <w:tcPr>
            <w:tcW w:w="2551" w:type="dxa"/>
            <w:noWrap w:val="0"/>
            <w:vAlign w:val="center"/>
          </w:tcPr>
          <w:p>
            <w:pPr>
              <w:pStyle w:val="20"/>
              <w:jc w:val="center"/>
            </w:pPr>
            <w:r>
              <w:t>≤130人</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、2022年县武警中队应急救援装备购置项目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eastAsia="zh-CN"/>
              </w:rPr>
            </w:pPr>
            <w:r>
              <w:t>1按照文件要求为县武警中队配置应急救援装备</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设备购置数量</w:t>
            </w:r>
          </w:p>
        </w:tc>
        <w:tc>
          <w:tcPr>
            <w:tcW w:w="2835" w:type="dxa"/>
            <w:noWrap w:val="0"/>
            <w:vAlign w:val="center"/>
          </w:tcPr>
          <w:p>
            <w:pPr>
              <w:pStyle w:val="20"/>
              <w:jc w:val="center"/>
            </w:pPr>
            <w:r>
              <w:t>设备购置数量</w:t>
            </w:r>
          </w:p>
        </w:tc>
        <w:tc>
          <w:tcPr>
            <w:tcW w:w="2551" w:type="dxa"/>
            <w:noWrap w:val="0"/>
            <w:vAlign w:val="center"/>
          </w:tcPr>
          <w:p>
            <w:pPr>
              <w:pStyle w:val="20"/>
              <w:jc w:val="center"/>
            </w:pPr>
            <w:r>
              <w:t>200件</w:t>
            </w:r>
          </w:p>
        </w:tc>
        <w:tc>
          <w:tcPr>
            <w:tcW w:w="2268" w:type="dxa"/>
            <w:noWrap w:val="0"/>
            <w:vAlign w:val="center"/>
          </w:tcPr>
          <w:p>
            <w:pPr>
              <w:pStyle w:val="20"/>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购置设备达标率</w:t>
            </w:r>
          </w:p>
        </w:tc>
        <w:tc>
          <w:tcPr>
            <w:tcW w:w="2835" w:type="dxa"/>
            <w:noWrap w:val="0"/>
            <w:vAlign w:val="center"/>
          </w:tcPr>
          <w:p>
            <w:pPr>
              <w:pStyle w:val="20"/>
              <w:jc w:val="center"/>
            </w:pPr>
            <w:r>
              <w:t>购置设备达标率</w:t>
            </w:r>
          </w:p>
        </w:tc>
        <w:tc>
          <w:tcPr>
            <w:tcW w:w="2551" w:type="dxa"/>
            <w:noWrap w:val="0"/>
            <w:vAlign w:val="center"/>
          </w:tcPr>
          <w:p>
            <w:pPr>
              <w:pStyle w:val="20"/>
              <w:jc w:val="center"/>
            </w:pPr>
            <w:r>
              <w:t>≥95%</w:t>
            </w:r>
          </w:p>
        </w:tc>
        <w:tc>
          <w:tcPr>
            <w:tcW w:w="2268" w:type="dxa"/>
            <w:noWrap w:val="0"/>
            <w:vAlign w:val="center"/>
          </w:tcPr>
          <w:p>
            <w:pPr>
              <w:pStyle w:val="20"/>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≤10.37万元</w:t>
            </w:r>
          </w:p>
        </w:tc>
        <w:tc>
          <w:tcPr>
            <w:tcW w:w="2268" w:type="dxa"/>
            <w:noWrap w:val="0"/>
            <w:vAlign w:val="center"/>
          </w:tcPr>
          <w:p>
            <w:pPr>
              <w:pStyle w:val="20"/>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≥95%</w:t>
            </w:r>
          </w:p>
        </w:tc>
        <w:tc>
          <w:tcPr>
            <w:tcW w:w="2268" w:type="dxa"/>
            <w:noWrap w:val="0"/>
            <w:vAlign w:val="center"/>
          </w:tcPr>
          <w:p>
            <w:pPr>
              <w:pStyle w:val="20"/>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群众满意度</w:t>
            </w:r>
          </w:p>
        </w:tc>
        <w:tc>
          <w:tcPr>
            <w:tcW w:w="2835" w:type="dxa"/>
            <w:noWrap w:val="0"/>
            <w:vAlign w:val="center"/>
          </w:tcPr>
          <w:p>
            <w:pPr>
              <w:pStyle w:val="20"/>
              <w:jc w:val="center"/>
            </w:pPr>
            <w:r>
              <w:t>群众满意度</w:t>
            </w:r>
          </w:p>
        </w:tc>
        <w:tc>
          <w:tcPr>
            <w:tcW w:w="2551" w:type="dxa"/>
            <w:noWrap w:val="0"/>
            <w:vAlign w:val="center"/>
          </w:tcPr>
          <w:p>
            <w:pPr>
              <w:pStyle w:val="20"/>
              <w:jc w:val="center"/>
            </w:pPr>
            <w:r>
              <w:t>≥95%</w:t>
            </w:r>
          </w:p>
        </w:tc>
        <w:tc>
          <w:tcPr>
            <w:tcW w:w="2268" w:type="dxa"/>
            <w:noWrap w:val="0"/>
            <w:vAlign w:val="center"/>
          </w:tcPr>
          <w:p>
            <w:pPr>
              <w:pStyle w:val="20"/>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设备购置数量</w:t>
            </w:r>
          </w:p>
        </w:tc>
        <w:tc>
          <w:tcPr>
            <w:tcW w:w="2835" w:type="dxa"/>
            <w:noWrap w:val="0"/>
            <w:vAlign w:val="center"/>
          </w:tcPr>
          <w:p>
            <w:pPr>
              <w:pStyle w:val="20"/>
              <w:jc w:val="center"/>
            </w:pPr>
            <w:r>
              <w:t>设备购置数量</w:t>
            </w:r>
          </w:p>
        </w:tc>
        <w:tc>
          <w:tcPr>
            <w:tcW w:w="2551" w:type="dxa"/>
            <w:noWrap w:val="0"/>
            <w:vAlign w:val="center"/>
          </w:tcPr>
          <w:p>
            <w:pPr>
              <w:pStyle w:val="20"/>
              <w:jc w:val="center"/>
            </w:pPr>
            <w:r>
              <w:t>200件</w:t>
            </w:r>
          </w:p>
        </w:tc>
        <w:tc>
          <w:tcPr>
            <w:tcW w:w="2268" w:type="dxa"/>
            <w:noWrap w:val="0"/>
            <w:vAlign w:val="center"/>
          </w:tcPr>
          <w:p>
            <w:pPr>
              <w:pStyle w:val="20"/>
              <w:jc w:val="center"/>
            </w:pPr>
            <w:r>
              <w:t>上级文件要求</w:t>
            </w:r>
          </w:p>
        </w:tc>
      </w:tr>
    </w:tbl>
    <w:p/>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color w:val="000000"/>
          <w:sz w:val="28"/>
        </w:rPr>
        <w:t>、2022年应急救援指挥中心网费、电费、取暖费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网络运转完好率</w:t>
            </w:r>
          </w:p>
        </w:tc>
        <w:tc>
          <w:tcPr>
            <w:tcW w:w="2835" w:type="dxa"/>
            <w:noWrap w:val="0"/>
            <w:vAlign w:val="center"/>
          </w:tcPr>
          <w:p>
            <w:pPr>
              <w:pStyle w:val="20"/>
              <w:jc w:val="center"/>
            </w:pPr>
            <w:r>
              <w:t>网络运转完好率</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缴费及时性</w:t>
            </w:r>
          </w:p>
        </w:tc>
        <w:tc>
          <w:tcPr>
            <w:tcW w:w="2835" w:type="dxa"/>
            <w:noWrap w:val="0"/>
            <w:vAlign w:val="center"/>
          </w:tcPr>
          <w:p>
            <w:pPr>
              <w:pStyle w:val="20"/>
              <w:jc w:val="center"/>
            </w:pPr>
            <w:r>
              <w:t>缴费及时性</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≤7.09万元</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全年服务天数（≥**天）</w:t>
            </w:r>
          </w:p>
        </w:tc>
        <w:tc>
          <w:tcPr>
            <w:tcW w:w="2835" w:type="dxa"/>
            <w:noWrap w:val="0"/>
            <w:vAlign w:val="center"/>
          </w:tcPr>
          <w:p>
            <w:pPr>
              <w:pStyle w:val="20"/>
              <w:jc w:val="center"/>
            </w:pPr>
            <w:r>
              <w:t>全年服务天数（≥**天）</w:t>
            </w:r>
          </w:p>
        </w:tc>
        <w:tc>
          <w:tcPr>
            <w:tcW w:w="2551" w:type="dxa"/>
            <w:noWrap w:val="0"/>
            <w:vAlign w:val="center"/>
          </w:tcPr>
          <w:p>
            <w:pPr>
              <w:pStyle w:val="20"/>
              <w:jc w:val="center"/>
            </w:pPr>
            <w:r>
              <w:t>≥360天</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使用对象满意度</w:t>
            </w:r>
          </w:p>
        </w:tc>
        <w:tc>
          <w:tcPr>
            <w:tcW w:w="2835" w:type="dxa"/>
            <w:noWrap w:val="0"/>
            <w:vAlign w:val="center"/>
          </w:tcPr>
          <w:p>
            <w:pPr>
              <w:pStyle w:val="20"/>
              <w:jc w:val="center"/>
            </w:pPr>
            <w:r>
              <w:t>使用对象满意度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按照合同约定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、2022年应急救援指挥中心运营维护费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运营平台数量</w:t>
            </w:r>
          </w:p>
        </w:tc>
        <w:tc>
          <w:tcPr>
            <w:tcW w:w="2835" w:type="dxa"/>
            <w:noWrap w:val="0"/>
            <w:vAlign w:val="center"/>
          </w:tcPr>
          <w:p>
            <w:pPr>
              <w:pStyle w:val="20"/>
              <w:jc w:val="center"/>
            </w:pPr>
            <w:r>
              <w:t>运营平台数量</w:t>
            </w:r>
          </w:p>
        </w:tc>
        <w:tc>
          <w:tcPr>
            <w:tcW w:w="2551" w:type="dxa"/>
            <w:noWrap w:val="0"/>
            <w:vAlign w:val="center"/>
          </w:tcPr>
          <w:p>
            <w:pPr>
              <w:pStyle w:val="20"/>
              <w:jc w:val="center"/>
            </w:pPr>
            <w:r>
              <w:t>1个</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保障运营管理效果</w:t>
            </w:r>
          </w:p>
        </w:tc>
        <w:tc>
          <w:tcPr>
            <w:tcW w:w="2835" w:type="dxa"/>
            <w:noWrap w:val="0"/>
            <w:vAlign w:val="center"/>
          </w:tcPr>
          <w:p>
            <w:pPr>
              <w:pStyle w:val="20"/>
              <w:jc w:val="center"/>
            </w:pPr>
            <w:r>
              <w:t>保障运营管理效果</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故障维护及时率</w:t>
            </w:r>
          </w:p>
        </w:tc>
        <w:tc>
          <w:tcPr>
            <w:tcW w:w="2835" w:type="dxa"/>
            <w:noWrap w:val="0"/>
            <w:vAlign w:val="center"/>
          </w:tcPr>
          <w:p>
            <w:pPr>
              <w:pStyle w:val="20"/>
              <w:jc w:val="center"/>
            </w:pPr>
            <w:r>
              <w:t>故障维护及时率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≤19.3万元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ind w:firstLine="420" w:firstLineChars="200"/>
              <w:jc w:val="both"/>
            </w:pPr>
            <w:r>
              <w:t>按照文件规定</w:t>
            </w:r>
          </w:p>
          <w:p>
            <w:pPr>
              <w:pStyle w:val="2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运营平台数量</w:t>
            </w:r>
          </w:p>
        </w:tc>
        <w:tc>
          <w:tcPr>
            <w:tcW w:w="2835" w:type="dxa"/>
            <w:noWrap w:val="0"/>
            <w:vAlign w:val="center"/>
          </w:tcPr>
          <w:p>
            <w:pPr>
              <w:pStyle w:val="20"/>
              <w:jc w:val="center"/>
            </w:pPr>
            <w:r>
              <w:t>运营平台数量</w:t>
            </w:r>
          </w:p>
        </w:tc>
        <w:tc>
          <w:tcPr>
            <w:tcW w:w="2551" w:type="dxa"/>
            <w:noWrap w:val="0"/>
            <w:vAlign w:val="center"/>
          </w:tcPr>
          <w:p>
            <w:pPr>
              <w:pStyle w:val="20"/>
              <w:jc w:val="center"/>
            </w:pPr>
            <w:r>
              <w:t>1个</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、2022年应急局政务网通信费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1.保障局机关网络正常使用。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完成项目数量</w:t>
            </w:r>
          </w:p>
        </w:tc>
        <w:tc>
          <w:tcPr>
            <w:tcW w:w="2835" w:type="dxa"/>
            <w:noWrap w:val="0"/>
            <w:vAlign w:val="center"/>
          </w:tcPr>
          <w:p>
            <w:pPr>
              <w:pStyle w:val="20"/>
              <w:jc w:val="center"/>
            </w:pPr>
            <w:r>
              <w:t>完成项目数量</w:t>
            </w:r>
          </w:p>
        </w:tc>
        <w:tc>
          <w:tcPr>
            <w:tcW w:w="2551" w:type="dxa"/>
            <w:noWrap w:val="0"/>
            <w:vAlign w:val="center"/>
          </w:tcPr>
          <w:p>
            <w:pPr>
              <w:pStyle w:val="20"/>
              <w:jc w:val="center"/>
            </w:pPr>
            <w:r>
              <w:t>1条</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正常使用天数</w:t>
            </w:r>
          </w:p>
        </w:tc>
        <w:tc>
          <w:tcPr>
            <w:tcW w:w="2835" w:type="dxa"/>
            <w:noWrap w:val="0"/>
            <w:vAlign w:val="center"/>
          </w:tcPr>
          <w:p>
            <w:pPr>
              <w:pStyle w:val="20"/>
              <w:jc w:val="center"/>
            </w:pPr>
            <w:r>
              <w:t>正常使用天数</w:t>
            </w:r>
          </w:p>
        </w:tc>
        <w:tc>
          <w:tcPr>
            <w:tcW w:w="2551" w:type="dxa"/>
            <w:noWrap w:val="0"/>
            <w:vAlign w:val="center"/>
          </w:tcPr>
          <w:p>
            <w:pPr>
              <w:pStyle w:val="20"/>
              <w:jc w:val="center"/>
            </w:pPr>
            <w:r>
              <w:t>≥300天</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工作任务完成的及时率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总成本</w:t>
            </w:r>
          </w:p>
        </w:tc>
        <w:tc>
          <w:tcPr>
            <w:tcW w:w="2835" w:type="dxa"/>
            <w:noWrap w:val="0"/>
            <w:vAlign w:val="center"/>
          </w:tcPr>
          <w:p>
            <w:pPr>
              <w:pStyle w:val="20"/>
              <w:jc w:val="center"/>
            </w:pPr>
            <w:r>
              <w:t>总成本</w:t>
            </w:r>
          </w:p>
        </w:tc>
        <w:tc>
          <w:tcPr>
            <w:tcW w:w="2551" w:type="dxa"/>
            <w:noWrap w:val="0"/>
            <w:vAlign w:val="center"/>
          </w:tcPr>
          <w:p>
            <w:pPr>
              <w:pStyle w:val="20"/>
              <w:jc w:val="center"/>
            </w:pPr>
            <w:r>
              <w:t>≤1.2万元</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受益总人数</w:t>
            </w:r>
          </w:p>
        </w:tc>
        <w:tc>
          <w:tcPr>
            <w:tcW w:w="2835" w:type="dxa"/>
            <w:noWrap w:val="0"/>
            <w:vAlign w:val="center"/>
          </w:tcPr>
          <w:p>
            <w:pPr>
              <w:pStyle w:val="20"/>
              <w:jc w:val="center"/>
            </w:pPr>
            <w:r>
              <w:t>受益总人数</w:t>
            </w:r>
          </w:p>
        </w:tc>
        <w:tc>
          <w:tcPr>
            <w:tcW w:w="2551" w:type="dxa"/>
            <w:noWrap w:val="0"/>
            <w:vAlign w:val="center"/>
          </w:tcPr>
          <w:p>
            <w:pPr>
              <w:pStyle w:val="20"/>
              <w:jc w:val="center"/>
            </w:pPr>
            <w:r>
              <w:t>≥60人</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完成项目数量</w:t>
            </w:r>
          </w:p>
        </w:tc>
        <w:tc>
          <w:tcPr>
            <w:tcW w:w="2835" w:type="dxa"/>
            <w:noWrap w:val="0"/>
            <w:vAlign w:val="center"/>
          </w:tcPr>
          <w:p>
            <w:pPr>
              <w:pStyle w:val="20"/>
              <w:jc w:val="center"/>
            </w:pPr>
            <w:r>
              <w:t>完成项目数量</w:t>
            </w:r>
          </w:p>
        </w:tc>
        <w:tc>
          <w:tcPr>
            <w:tcW w:w="2551" w:type="dxa"/>
            <w:noWrap w:val="0"/>
            <w:vAlign w:val="center"/>
          </w:tcPr>
          <w:p>
            <w:pPr>
              <w:pStyle w:val="20"/>
              <w:jc w:val="center"/>
            </w:pPr>
            <w:r>
              <w:t>1条</w:t>
            </w:r>
          </w:p>
        </w:tc>
        <w:tc>
          <w:tcPr>
            <w:tcW w:w="2268" w:type="dxa"/>
            <w:noWrap w:val="0"/>
            <w:vAlign w:val="center"/>
          </w:tcPr>
          <w:p>
            <w:pPr>
              <w:pStyle w:val="20"/>
              <w:jc w:val="center"/>
            </w:pPr>
            <w:r>
              <w:t>按照合同约定</w:t>
            </w:r>
          </w:p>
        </w:tc>
      </w:tr>
    </w:tbl>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、2022年应急物资储备库房--储备物资保养费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1.对应急物资储备库房中的设备类物资进行维护保养，让设备始终处于正常使用状态。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保养的机器数量</w:t>
            </w:r>
          </w:p>
        </w:tc>
        <w:tc>
          <w:tcPr>
            <w:tcW w:w="2835" w:type="dxa"/>
            <w:noWrap w:val="0"/>
            <w:vAlign w:val="center"/>
          </w:tcPr>
          <w:p>
            <w:pPr>
              <w:pStyle w:val="20"/>
              <w:jc w:val="center"/>
            </w:pPr>
            <w:r>
              <w:t>保养的机器数量</w:t>
            </w:r>
          </w:p>
        </w:tc>
        <w:tc>
          <w:tcPr>
            <w:tcW w:w="2551" w:type="dxa"/>
            <w:noWrap w:val="0"/>
            <w:vAlign w:val="center"/>
          </w:tcPr>
          <w:p>
            <w:pPr>
              <w:pStyle w:val="20"/>
              <w:jc w:val="center"/>
            </w:pPr>
            <w:r>
              <w:t>≥52台</w:t>
            </w:r>
          </w:p>
        </w:tc>
        <w:tc>
          <w:tcPr>
            <w:tcW w:w="2268" w:type="dxa"/>
            <w:noWrap w:val="0"/>
            <w:vAlign w:val="center"/>
          </w:tcPr>
          <w:p>
            <w:pPr>
              <w:pStyle w:val="20"/>
              <w:jc w:val="center"/>
            </w:pPr>
            <w:r>
              <w:t>按照实际库存设备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保养设备达标率</w:t>
            </w:r>
          </w:p>
        </w:tc>
        <w:tc>
          <w:tcPr>
            <w:tcW w:w="2835" w:type="dxa"/>
            <w:noWrap w:val="0"/>
            <w:vAlign w:val="center"/>
          </w:tcPr>
          <w:p>
            <w:pPr>
              <w:pStyle w:val="20"/>
              <w:jc w:val="center"/>
            </w:pPr>
            <w:r>
              <w:t>保养设备达标率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及时率</w:t>
            </w:r>
          </w:p>
        </w:tc>
        <w:tc>
          <w:tcPr>
            <w:tcW w:w="2835" w:type="dxa"/>
            <w:noWrap w:val="0"/>
            <w:vAlign w:val="center"/>
          </w:tcPr>
          <w:p>
            <w:pPr>
              <w:pStyle w:val="20"/>
              <w:jc w:val="center"/>
            </w:pPr>
            <w:r>
              <w:t>设备保养的及时率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≤1.2万元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≥5次</w:t>
            </w:r>
          </w:p>
        </w:tc>
        <w:tc>
          <w:tcPr>
            <w:tcW w:w="2268" w:type="dxa"/>
            <w:noWrap w:val="0"/>
            <w:vAlign w:val="center"/>
          </w:tcPr>
          <w:p>
            <w:pPr>
              <w:pStyle w:val="20"/>
              <w:jc w:val="center"/>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保养的机器数量</w:t>
            </w:r>
          </w:p>
        </w:tc>
        <w:tc>
          <w:tcPr>
            <w:tcW w:w="2835" w:type="dxa"/>
            <w:noWrap w:val="0"/>
            <w:vAlign w:val="center"/>
          </w:tcPr>
          <w:p>
            <w:pPr>
              <w:pStyle w:val="20"/>
              <w:jc w:val="center"/>
            </w:pPr>
            <w:r>
              <w:t>保养的机器数量</w:t>
            </w:r>
          </w:p>
        </w:tc>
        <w:tc>
          <w:tcPr>
            <w:tcW w:w="2551" w:type="dxa"/>
            <w:noWrap w:val="0"/>
            <w:vAlign w:val="center"/>
          </w:tcPr>
          <w:p>
            <w:pPr>
              <w:pStyle w:val="20"/>
              <w:jc w:val="center"/>
            </w:pPr>
            <w:r>
              <w:t>≥52台</w:t>
            </w:r>
          </w:p>
        </w:tc>
        <w:tc>
          <w:tcPr>
            <w:tcW w:w="2268" w:type="dxa"/>
            <w:noWrap w:val="0"/>
            <w:vAlign w:val="center"/>
          </w:tcPr>
          <w:p>
            <w:pPr>
              <w:pStyle w:val="20"/>
              <w:jc w:val="center"/>
            </w:pPr>
            <w:r>
              <w:t>按照实际库存设备</w:t>
            </w:r>
          </w:p>
        </w:tc>
      </w:tr>
    </w:tbl>
    <w:p/>
    <w:p/>
    <w:p/>
    <w:p/>
    <w:p/>
    <w:p/>
    <w:p/>
    <w:p/>
    <w:p/>
    <w:p/>
    <w:p/>
    <w:p/>
    <w:p/>
    <w:p/>
    <w:p/>
    <w:p/>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25</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2022年应急物资储备库房--物资搬运费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1.保障应急储备物资及时出入库，发挥最大效益，最大限度保障人民群众生命财产损失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搬运物资使用人次</w:t>
            </w:r>
          </w:p>
        </w:tc>
        <w:tc>
          <w:tcPr>
            <w:tcW w:w="2835" w:type="dxa"/>
            <w:noWrap w:val="0"/>
            <w:vAlign w:val="center"/>
          </w:tcPr>
          <w:p>
            <w:pPr>
              <w:pStyle w:val="20"/>
              <w:jc w:val="center"/>
            </w:pPr>
            <w:r>
              <w:t>搬运物资使用人次</w:t>
            </w:r>
          </w:p>
        </w:tc>
        <w:tc>
          <w:tcPr>
            <w:tcW w:w="2551" w:type="dxa"/>
            <w:noWrap w:val="0"/>
            <w:vAlign w:val="center"/>
          </w:tcPr>
          <w:p>
            <w:pPr>
              <w:pStyle w:val="20"/>
              <w:jc w:val="center"/>
            </w:pPr>
            <w:r>
              <w:t>≥45人次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完成搬运任务率</w:t>
            </w:r>
          </w:p>
        </w:tc>
        <w:tc>
          <w:tcPr>
            <w:tcW w:w="2835" w:type="dxa"/>
            <w:noWrap w:val="0"/>
            <w:vAlign w:val="center"/>
          </w:tcPr>
          <w:p>
            <w:pPr>
              <w:pStyle w:val="20"/>
              <w:jc w:val="center"/>
            </w:pPr>
            <w:r>
              <w:t>完成搬运任务率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搬运物资使用人次</w:t>
            </w:r>
          </w:p>
        </w:tc>
        <w:tc>
          <w:tcPr>
            <w:tcW w:w="2835" w:type="dxa"/>
            <w:noWrap w:val="0"/>
            <w:vAlign w:val="center"/>
          </w:tcPr>
          <w:p>
            <w:pPr>
              <w:pStyle w:val="20"/>
              <w:jc w:val="center"/>
            </w:pPr>
            <w:r>
              <w:t>搬运物资使用人次</w:t>
            </w:r>
          </w:p>
        </w:tc>
        <w:tc>
          <w:tcPr>
            <w:tcW w:w="2551" w:type="dxa"/>
            <w:noWrap w:val="0"/>
            <w:vAlign w:val="center"/>
          </w:tcPr>
          <w:p>
            <w:pPr>
              <w:pStyle w:val="20"/>
              <w:jc w:val="center"/>
            </w:pPr>
            <w:r>
              <w:t>≥45人次</w:t>
            </w:r>
          </w:p>
        </w:tc>
        <w:tc>
          <w:tcPr>
            <w:tcW w:w="2268" w:type="dxa"/>
            <w:noWrap w:val="0"/>
            <w:vAlign w:val="center"/>
          </w:tcPr>
          <w:p>
            <w:pPr>
              <w:pStyle w:val="20"/>
              <w:jc w:val="center"/>
            </w:pPr>
            <w:r>
              <w:t>按照文件规定</w:t>
            </w:r>
          </w:p>
        </w:tc>
      </w:tr>
    </w:tbl>
    <w:p/>
    <w:p/>
    <w:p/>
    <w:p/>
    <w:p/>
    <w:p/>
    <w:p/>
    <w:p/>
    <w:p/>
    <w:p/>
    <w:p/>
    <w:p/>
    <w:p/>
    <w:p/>
    <w:p/>
    <w:p/>
    <w:p/>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2022年应急物资储备库房——电费取暖费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1.保障应急物资储备库房日常用电及取暖用电。</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用电单位数量</w:t>
            </w:r>
          </w:p>
        </w:tc>
        <w:tc>
          <w:tcPr>
            <w:tcW w:w="2835" w:type="dxa"/>
            <w:noWrap w:val="0"/>
            <w:vAlign w:val="center"/>
          </w:tcPr>
          <w:p>
            <w:pPr>
              <w:pStyle w:val="20"/>
              <w:jc w:val="center"/>
            </w:pPr>
            <w:r>
              <w:t>用电单位数量</w:t>
            </w:r>
          </w:p>
        </w:tc>
        <w:tc>
          <w:tcPr>
            <w:tcW w:w="2551" w:type="dxa"/>
            <w:noWrap w:val="0"/>
            <w:vAlign w:val="center"/>
          </w:tcPr>
          <w:p>
            <w:pPr>
              <w:pStyle w:val="20"/>
              <w:jc w:val="center"/>
            </w:pPr>
            <w:r>
              <w:t>1处</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实际供电天数</w:t>
            </w:r>
          </w:p>
        </w:tc>
        <w:tc>
          <w:tcPr>
            <w:tcW w:w="2835" w:type="dxa"/>
            <w:noWrap w:val="0"/>
            <w:vAlign w:val="center"/>
          </w:tcPr>
          <w:p>
            <w:pPr>
              <w:pStyle w:val="20"/>
              <w:jc w:val="center"/>
            </w:pPr>
            <w:r>
              <w:t>实际供电天数</w:t>
            </w:r>
          </w:p>
        </w:tc>
        <w:tc>
          <w:tcPr>
            <w:tcW w:w="2551" w:type="dxa"/>
            <w:noWrap w:val="0"/>
            <w:vAlign w:val="center"/>
          </w:tcPr>
          <w:p>
            <w:pPr>
              <w:pStyle w:val="20"/>
              <w:jc w:val="center"/>
            </w:pPr>
            <w:r>
              <w:t>≥360天</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≤1.5万元</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用电单位数量</w:t>
            </w:r>
          </w:p>
        </w:tc>
        <w:tc>
          <w:tcPr>
            <w:tcW w:w="2835" w:type="dxa"/>
            <w:noWrap w:val="0"/>
            <w:vAlign w:val="center"/>
          </w:tcPr>
          <w:p>
            <w:pPr>
              <w:pStyle w:val="20"/>
              <w:jc w:val="center"/>
            </w:pPr>
            <w:r>
              <w:t>用电单位数量</w:t>
            </w:r>
          </w:p>
        </w:tc>
        <w:tc>
          <w:tcPr>
            <w:tcW w:w="2551" w:type="dxa"/>
            <w:noWrap w:val="0"/>
            <w:vAlign w:val="center"/>
          </w:tcPr>
          <w:p>
            <w:pPr>
              <w:pStyle w:val="20"/>
              <w:jc w:val="center"/>
            </w:pPr>
            <w:r>
              <w:t>1处</w:t>
            </w:r>
          </w:p>
        </w:tc>
        <w:tc>
          <w:tcPr>
            <w:tcW w:w="2268" w:type="dxa"/>
            <w:noWrap w:val="0"/>
            <w:vAlign w:val="center"/>
          </w:tcPr>
          <w:p>
            <w:pPr>
              <w:pStyle w:val="20"/>
              <w:jc w:val="center"/>
            </w:pPr>
            <w:r>
              <w:t>按照文件要求</w:t>
            </w:r>
          </w:p>
        </w:tc>
      </w:tr>
    </w:tbl>
    <w:p/>
    <w:p/>
    <w:p/>
    <w:p/>
    <w:p/>
    <w:p/>
    <w:p/>
    <w:p/>
    <w:p/>
    <w:p/>
    <w:p/>
    <w:p/>
    <w:p/>
    <w:p/>
    <w:p/>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、2022年应急物资储备库房——租赁费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覆盖率</w:t>
            </w:r>
          </w:p>
        </w:tc>
        <w:tc>
          <w:tcPr>
            <w:tcW w:w="2835" w:type="dxa"/>
            <w:noWrap w:val="0"/>
            <w:vAlign w:val="center"/>
          </w:tcPr>
          <w:p>
            <w:pPr>
              <w:pStyle w:val="20"/>
              <w:jc w:val="center"/>
            </w:pPr>
            <w:r>
              <w:t>覆盖率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物资入库及时率</w:t>
            </w:r>
          </w:p>
        </w:tc>
        <w:tc>
          <w:tcPr>
            <w:tcW w:w="2835" w:type="dxa"/>
            <w:noWrap w:val="0"/>
            <w:vAlign w:val="center"/>
          </w:tcPr>
          <w:p>
            <w:pPr>
              <w:pStyle w:val="20"/>
              <w:jc w:val="center"/>
            </w:pPr>
            <w:r>
              <w:t>物资入库及时率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≤19.8万元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、2022年应急预案修订、评审费用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完成预案修订数量</w:t>
            </w:r>
          </w:p>
        </w:tc>
        <w:tc>
          <w:tcPr>
            <w:tcW w:w="2835" w:type="dxa"/>
            <w:noWrap w:val="0"/>
            <w:vAlign w:val="center"/>
          </w:tcPr>
          <w:p>
            <w:pPr>
              <w:pStyle w:val="20"/>
              <w:jc w:val="center"/>
            </w:pPr>
            <w:r>
              <w:t>完成预案修订数量</w:t>
            </w:r>
          </w:p>
        </w:tc>
        <w:tc>
          <w:tcPr>
            <w:tcW w:w="2551" w:type="dxa"/>
            <w:noWrap w:val="0"/>
            <w:vAlign w:val="center"/>
          </w:tcPr>
          <w:p>
            <w:pPr>
              <w:pStyle w:val="20"/>
              <w:jc w:val="center"/>
            </w:pPr>
            <w:r>
              <w:t>2项</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6个月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≤5万元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w:t>
            </w:r>
          </w:p>
        </w:tc>
        <w:tc>
          <w:tcPr>
            <w:tcW w:w="2835" w:type="dxa"/>
            <w:noWrap w:val="0"/>
            <w:vAlign w:val="center"/>
          </w:tcPr>
          <w:p>
            <w:pPr>
              <w:pStyle w:val="20"/>
              <w:jc w:val="center"/>
            </w:pPr>
            <w:r>
              <w:t>项目实现功能</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服务对象的满意度</w:t>
            </w:r>
          </w:p>
        </w:tc>
        <w:tc>
          <w:tcPr>
            <w:tcW w:w="2835" w:type="dxa"/>
            <w:noWrap w:val="0"/>
            <w:vAlign w:val="center"/>
          </w:tcPr>
          <w:p>
            <w:pPr>
              <w:pStyle w:val="20"/>
              <w:jc w:val="center"/>
            </w:pPr>
            <w:r>
              <w:t>服务对象的满意度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完成预案修订数量</w:t>
            </w:r>
          </w:p>
        </w:tc>
        <w:tc>
          <w:tcPr>
            <w:tcW w:w="2835" w:type="dxa"/>
            <w:noWrap w:val="0"/>
            <w:vAlign w:val="center"/>
          </w:tcPr>
          <w:p>
            <w:pPr>
              <w:pStyle w:val="20"/>
              <w:jc w:val="center"/>
            </w:pPr>
            <w:r>
              <w:t>完成预案修订数量</w:t>
            </w:r>
          </w:p>
        </w:tc>
        <w:tc>
          <w:tcPr>
            <w:tcW w:w="2551" w:type="dxa"/>
            <w:noWrap w:val="0"/>
            <w:vAlign w:val="center"/>
          </w:tcPr>
          <w:p>
            <w:pPr>
              <w:pStyle w:val="20"/>
              <w:jc w:val="center"/>
            </w:pPr>
            <w:r>
              <w:t>2项</w:t>
            </w:r>
          </w:p>
        </w:tc>
        <w:tc>
          <w:tcPr>
            <w:tcW w:w="2268" w:type="dxa"/>
            <w:noWrap w:val="0"/>
            <w:vAlign w:val="center"/>
          </w:tcPr>
          <w:p>
            <w:pPr>
              <w:pStyle w:val="20"/>
              <w:jc w:val="center"/>
            </w:pPr>
            <w:r>
              <w:t>按照文件规定</w:t>
            </w:r>
          </w:p>
        </w:tc>
      </w:tr>
    </w:tbl>
    <w:p/>
    <w:p/>
    <w:p/>
    <w:p/>
    <w:p/>
    <w:p/>
    <w:p/>
    <w:p/>
    <w:p/>
    <w:p/>
    <w:p/>
    <w:p/>
    <w:p/>
    <w:p/>
    <w:p/>
    <w:p/>
    <w:p/>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、2022年应急装备维护保养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机器正常使用效率</w:t>
            </w:r>
          </w:p>
        </w:tc>
        <w:tc>
          <w:tcPr>
            <w:tcW w:w="2835" w:type="dxa"/>
            <w:noWrap w:val="0"/>
            <w:vAlign w:val="center"/>
          </w:tcPr>
          <w:p>
            <w:pPr>
              <w:pStyle w:val="20"/>
              <w:jc w:val="center"/>
            </w:pPr>
            <w:r>
              <w:t>机器正常使用效率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保养的及时性</w:t>
            </w:r>
          </w:p>
        </w:tc>
        <w:tc>
          <w:tcPr>
            <w:tcW w:w="2835" w:type="dxa"/>
            <w:noWrap w:val="0"/>
            <w:vAlign w:val="center"/>
          </w:tcPr>
          <w:p>
            <w:pPr>
              <w:pStyle w:val="20"/>
              <w:jc w:val="center"/>
            </w:pPr>
            <w:r>
              <w:t>保养的及时性</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≥1次</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按照文件规定</w:t>
            </w:r>
          </w:p>
        </w:tc>
      </w:tr>
    </w:tbl>
    <w:p/>
    <w:p/>
    <w:p/>
    <w:p/>
    <w:p/>
    <w:p/>
    <w:p/>
    <w:p/>
    <w:p/>
    <w:p/>
    <w:p/>
    <w:p/>
    <w:p/>
    <w:p/>
    <w:p/>
    <w:p/>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30</w:t>
      </w:r>
      <w:r>
        <w:rPr>
          <w:rFonts w:ascii="方正仿宋_GBK" w:hAnsi="方正仿宋_GBK" w:eastAsia="方正仿宋_GBK" w:cs="方正仿宋_GBK"/>
          <w:b/>
          <w:bCs w:val="0"/>
          <w:color w:val="000000"/>
          <w:sz w:val="28"/>
        </w:rPr>
        <w:t>、2022年政策性农房保险项目（县级配套）</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1.完成涞水县县域内农村户口住房保险续保工作，保障农户损失降到最低</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购买保险公司承办救助案例数量</w:t>
            </w:r>
          </w:p>
        </w:tc>
        <w:tc>
          <w:tcPr>
            <w:tcW w:w="2835" w:type="dxa"/>
            <w:noWrap w:val="0"/>
            <w:vAlign w:val="center"/>
          </w:tcPr>
          <w:p>
            <w:pPr>
              <w:pStyle w:val="20"/>
              <w:jc w:val="center"/>
            </w:pPr>
            <w:r>
              <w:t>购买保险公司承办救助案例数量</w:t>
            </w:r>
          </w:p>
        </w:tc>
        <w:tc>
          <w:tcPr>
            <w:tcW w:w="2551" w:type="dxa"/>
            <w:noWrap w:val="0"/>
            <w:vAlign w:val="center"/>
          </w:tcPr>
          <w:p>
            <w:pPr>
              <w:pStyle w:val="20"/>
              <w:jc w:val="center"/>
            </w:pPr>
            <w:r>
              <w:t>≥20户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农房保险试点县农户参保率</w:t>
            </w:r>
          </w:p>
        </w:tc>
        <w:tc>
          <w:tcPr>
            <w:tcW w:w="2835" w:type="dxa"/>
            <w:noWrap w:val="0"/>
            <w:vAlign w:val="center"/>
          </w:tcPr>
          <w:p>
            <w:pPr>
              <w:pStyle w:val="20"/>
              <w:jc w:val="center"/>
            </w:pPr>
            <w:r>
              <w:t>农房保险试点县农户参保率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按规定时限缴纳保险</w:t>
            </w:r>
          </w:p>
        </w:tc>
        <w:tc>
          <w:tcPr>
            <w:tcW w:w="2835" w:type="dxa"/>
            <w:noWrap w:val="0"/>
            <w:vAlign w:val="center"/>
          </w:tcPr>
          <w:p>
            <w:pPr>
              <w:pStyle w:val="20"/>
              <w:jc w:val="center"/>
            </w:pPr>
            <w:r>
              <w:t>按规定时限缴纳保险</w:t>
            </w:r>
          </w:p>
        </w:tc>
        <w:tc>
          <w:tcPr>
            <w:tcW w:w="2551" w:type="dxa"/>
            <w:noWrap w:val="0"/>
            <w:vAlign w:val="center"/>
          </w:tcPr>
          <w:p>
            <w:pPr>
              <w:pStyle w:val="20"/>
              <w:jc w:val="center"/>
            </w:pPr>
            <w:r>
              <w:t>5每年5月份续保</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社会保险补贴人均标准</w:t>
            </w:r>
          </w:p>
        </w:tc>
        <w:tc>
          <w:tcPr>
            <w:tcW w:w="2835" w:type="dxa"/>
            <w:noWrap w:val="0"/>
            <w:vAlign w:val="center"/>
          </w:tcPr>
          <w:p>
            <w:pPr>
              <w:pStyle w:val="20"/>
              <w:jc w:val="center"/>
            </w:pPr>
            <w:r>
              <w:t>社会保险补贴人均标准</w:t>
            </w:r>
          </w:p>
        </w:tc>
        <w:tc>
          <w:tcPr>
            <w:tcW w:w="2551" w:type="dxa"/>
            <w:noWrap w:val="0"/>
            <w:vAlign w:val="center"/>
          </w:tcPr>
          <w:p>
            <w:pPr>
              <w:pStyle w:val="20"/>
              <w:jc w:val="center"/>
            </w:pPr>
            <w:r>
              <w:t>2元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群众生命 财产保护率</w:t>
            </w:r>
          </w:p>
        </w:tc>
        <w:tc>
          <w:tcPr>
            <w:tcW w:w="2835" w:type="dxa"/>
            <w:noWrap w:val="0"/>
            <w:vAlign w:val="center"/>
          </w:tcPr>
          <w:p>
            <w:pPr>
              <w:pStyle w:val="20"/>
              <w:jc w:val="center"/>
            </w:pPr>
            <w:r>
              <w:t>群众生命 财产保护率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受益人满意程度</w:t>
            </w:r>
          </w:p>
        </w:tc>
        <w:tc>
          <w:tcPr>
            <w:tcW w:w="2835" w:type="dxa"/>
            <w:noWrap w:val="0"/>
            <w:vAlign w:val="center"/>
          </w:tcPr>
          <w:p>
            <w:pPr>
              <w:pStyle w:val="20"/>
              <w:jc w:val="center"/>
            </w:pPr>
            <w:r>
              <w:t>受益人满意程度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购买保险公司承办救助案例数量</w:t>
            </w:r>
          </w:p>
        </w:tc>
        <w:tc>
          <w:tcPr>
            <w:tcW w:w="2835" w:type="dxa"/>
            <w:noWrap w:val="0"/>
            <w:vAlign w:val="center"/>
          </w:tcPr>
          <w:p>
            <w:pPr>
              <w:pStyle w:val="20"/>
              <w:jc w:val="center"/>
            </w:pPr>
            <w:r>
              <w:t>购买保险公司承办救助案例数量</w:t>
            </w:r>
          </w:p>
        </w:tc>
        <w:tc>
          <w:tcPr>
            <w:tcW w:w="2551" w:type="dxa"/>
            <w:noWrap w:val="0"/>
            <w:vAlign w:val="center"/>
          </w:tcPr>
          <w:p>
            <w:pPr>
              <w:pStyle w:val="20"/>
              <w:jc w:val="center"/>
            </w:pPr>
            <w:r>
              <w:t>≥20户</w:t>
            </w:r>
          </w:p>
        </w:tc>
        <w:tc>
          <w:tcPr>
            <w:tcW w:w="2268" w:type="dxa"/>
            <w:noWrap w:val="0"/>
            <w:vAlign w:val="center"/>
          </w:tcPr>
          <w:p>
            <w:pPr>
              <w:pStyle w:val="20"/>
              <w:jc w:val="center"/>
            </w:pPr>
            <w:r>
              <w:t>按照文件规定</w:t>
            </w:r>
          </w:p>
        </w:tc>
      </w:tr>
    </w:tbl>
    <w:p/>
    <w:p/>
    <w:p/>
    <w:p/>
    <w:p/>
    <w:p/>
    <w:p/>
    <w:p/>
    <w:p/>
    <w:p/>
    <w:p/>
    <w:p/>
    <w:p/>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31</w:t>
      </w:r>
      <w:r>
        <w:rPr>
          <w:rFonts w:ascii="方正仿宋_GBK" w:hAnsi="方正仿宋_GBK" w:eastAsia="方正仿宋_GBK" w:cs="方正仿宋_GBK"/>
          <w:b/>
          <w:bCs w:val="0"/>
          <w:color w:val="000000"/>
          <w:sz w:val="28"/>
        </w:rPr>
        <w:t>、2022年自然灾害救助专项资金（冀财建【2021】235号）</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1.为县域内农村户口住房缴纳农房保险。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农村住房保险参保户数</w:t>
            </w:r>
          </w:p>
        </w:tc>
        <w:tc>
          <w:tcPr>
            <w:tcW w:w="2835" w:type="dxa"/>
            <w:noWrap w:val="0"/>
            <w:vAlign w:val="center"/>
          </w:tcPr>
          <w:p>
            <w:pPr>
              <w:pStyle w:val="20"/>
              <w:jc w:val="center"/>
            </w:pPr>
            <w:r>
              <w:t>农村住房保险参保户数</w:t>
            </w:r>
          </w:p>
        </w:tc>
        <w:tc>
          <w:tcPr>
            <w:tcW w:w="2551" w:type="dxa"/>
            <w:noWrap w:val="0"/>
            <w:vAlign w:val="center"/>
          </w:tcPr>
          <w:p>
            <w:pPr>
              <w:pStyle w:val="20"/>
              <w:jc w:val="center"/>
            </w:pPr>
            <w:r>
              <w:t>91429户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农房保险试点县农户参保率</w:t>
            </w:r>
          </w:p>
        </w:tc>
        <w:tc>
          <w:tcPr>
            <w:tcW w:w="2835" w:type="dxa"/>
            <w:noWrap w:val="0"/>
            <w:vAlign w:val="center"/>
          </w:tcPr>
          <w:p>
            <w:pPr>
              <w:pStyle w:val="20"/>
              <w:jc w:val="center"/>
            </w:pPr>
            <w:r>
              <w:t>农房保险试点县农户参保率</w:t>
            </w:r>
          </w:p>
        </w:tc>
        <w:tc>
          <w:tcPr>
            <w:tcW w:w="2551" w:type="dxa"/>
            <w:noWrap w:val="0"/>
            <w:vAlign w:val="center"/>
          </w:tcPr>
          <w:p>
            <w:pPr>
              <w:pStyle w:val="20"/>
              <w:jc w:val="center"/>
            </w:pPr>
            <w:r>
              <w:t>100%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按规定时限缴纳保险</w:t>
            </w:r>
          </w:p>
        </w:tc>
        <w:tc>
          <w:tcPr>
            <w:tcW w:w="2835" w:type="dxa"/>
            <w:noWrap w:val="0"/>
            <w:vAlign w:val="center"/>
          </w:tcPr>
          <w:p>
            <w:pPr>
              <w:pStyle w:val="20"/>
              <w:jc w:val="center"/>
            </w:pPr>
            <w:r>
              <w:t>按规定时限缴纳保险</w:t>
            </w:r>
          </w:p>
        </w:tc>
        <w:tc>
          <w:tcPr>
            <w:tcW w:w="2551" w:type="dxa"/>
            <w:noWrap w:val="0"/>
            <w:vAlign w:val="center"/>
          </w:tcPr>
          <w:p>
            <w:pPr>
              <w:pStyle w:val="20"/>
              <w:jc w:val="center"/>
            </w:pPr>
            <w:r>
              <w:t>5月</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≤64万元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满意率</w:t>
            </w:r>
          </w:p>
        </w:tc>
        <w:tc>
          <w:tcPr>
            <w:tcW w:w="2835" w:type="dxa"/>
            <w:noWrap w:val="0"/>
            <w:vAlign w:val="center"/>
          </w:tcPr>
          <w:p>
            <w:pPr>
              <w:pStyle w:val="20"/>
              <w:jc w:val="center"/>
            </w:pPr>
            <w:r>
              <w:t>满意率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农村住房保险参保户数</w:t>
            </w:r>
          </w:p>
        </w:tc>
        <w:tc>
          <w:tcPr>
            <w:tcW w:w="2835" w:type="dxa"/>
            <w:noWrap w:val="0"/>
            <w:vAlign w:val="center"/>
          </w:tcPr>
          <w:p>
            <w:pPr>
              <w:pStyle w:val="20"/>
              <w:jc w:val="center"/>
            </w:pPr>
            <w:r>
              <w:t>农村住房保险参保户数</w:t>
            </w:r>
          </w:p>
        </w:tc>
        <w:tc>
          <w:tcPr>
            <w:tcW w:w="2551" w:type="dxa"/>
            <w:noWrap w:val="0"/>
            <w:vAlign w:val="center"/>
          </w:tcPr>
          <w:p>
            <w:pPr>
              <w:pStyle w:val="20"/>
              <w:jc w:val="center"/>
            </w:pPr>
            <w:r>
              <w:t>91429户</w:t>
            </w:r>
          </w:p>
        </w:tc>
        <w:tc>
          <w:tcPr>
            <w:tcW w:w="2268" w:type="dxa"/>
            <w:noWrap w:val="0"/>
            <w:vAlign w:val="center"/>
          </w:tcPr>
          <w:p>
            <w:pPr>
              <w:pStyle w:val="20"/>
              <w:jc w:val="center"/>
            </w:pPr>
            <w:r>
              <w:t>按照文件规定</w:t>
            </w:r>
          </w:p>
        </w:tc>
      </w:tr>
    </w:tbl>
    <w:p/>
    <w:p/>
    <w:p/>
    <w:p/>
    <w:p/>
    <w:p/>
    <w:p/>
    <w:p/>
    <w:p/>
    <w:p/>
    <w:p/>
    <w:p/>
    <w:p/>
    <w:p/>
    <w:p/>
    <w:p/>
    <w:p/>
    <w:p>
      <w:pPr>
        <w:spacing w:before="0" w:after="0"/>
        <w:ind w:firstLine="560"/>
        <w:jc w:val="left"/>
        <w:outlineLvl w:val="3"/>
      </w:pPr>
      <w:bookmarkStart w:id="13" w:name="_Toc_3_3_0000000015"/>
      <w:r>
        <w:rPr>
          <w:rFonts w:hint="eastAsia" w:ascii="方正仿宋_GBK" w:hAnsi="方正仿宋_GBK" w:eastAsia="方正仿宋_GBK" w:cs="方正仿宋_GBK"/>
          <w:b/>
          <w:bCs w:val="0"/>
          <w:color w:val="000000"/>
          <w:sz w:val="28"/>
          <w:lang w:val="en-US" w:eastAsia="zh-CN"/>
        </w:rPr>
        <w:t>32</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color w:val="000000"/>
          <w:sz w:val="28"/>
        </w:rPr>
        <w:t>2022年自然灾害生活救助专项经费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救助准确率</w:t>
            </w:r>
          </w:p>
        </w:tc>
        <w:tc>
          <w:tcPr>
            <w:tcW w:w="2835" w:type="dxa"/>
            <w:noWrap w:val="0"/>
            <w:vAlign w:val="center"/>
          </w:tcPr>
          <w:p>
            <w:pPr>
              <w:pStyle w:val="20"/>
              <w:jc w:val="center"/>
            </w:pPr>
            <w:r>
              <w:t>救助准确率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救助及时率</w:t>
            </w:r>
          </w:p>
        </w:tc>
        <w:tc>
          <w:tcPr>
            <w:tcW w:w="2835" w:type="dxa"/>
            <w:noWrap w:val="0"/>
            <w:vAlign w:val="center"/>
          </w:tcPr>
          <w:p>
            <w:pPr>
              <w:pStyle w:val="20"/>
              <w:jc w:val="center"/>
            </w:pPr>
            <w:r>
              <w:t>救助及时率</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促进社会稳定水平</w:t>
            </w:r>
          </w:p>
        </w:tc>
        <w:tc>
          <w:tcPr>
            <w:tcW w:w="2835" w:type="dxa"/>
            <w:noWrap w:val="0"/>
            <w:vAlign w:val="center"/>
          </w:tcPr>
          <w:p>
            <w:pPr>
              <w:pStyle w:val="20"/>
              <w:jc w:val="center"/>
            </w:pPr>
            <w:r>
              <w:t>促进社会稳定水平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受灾群众对救助满意度</w:t>
            </w:r>
          </w:p>
        </w:tc>
        <w:tc>
          <w:tcPr>
            <w:tcW w:w="2835" w:type="dxa"/>
            <w:noWrap w:val="0"/>
            <w:vAlign w:val="center"/>
          </w:tcPr>
          <w:p>
            <w:pPr>
              <w:pStyle w:val="20"/>
              <w:jc w:val="center"/>
            </w:pPr>
            <w:r>
              <w:t>受灾群众对救助满意度</w:t>
            </w:r>
          </w:p>
        </w:tc>
        <w:tc>
          <w:tcPr>
            <w:tcW w:w="2551" w:type="dxa"/>
            <w:noWrap w:val="0"/>
            <w:vAlign w:val="center"/>
          </w:tcPr>
          <w:p>
            <w:pPr>
              <w:pStyle w:val="20"/>
              <w:jc w:val="center"/>
            </w:pPr>
            <w:r>
              <w:t>≥90%</w:t>
            </w:r>
          </w:p>
        </w:tc>
        <w:tc>
          <w:tcPr>
            <w:tcW w:w="2268" w:type="dxa"/>
            <w:noWrap w:val="0"/>
            <w:vAlign w:val="center"/>
          </w:tcPr>
          <w:p>
            <w:pPr>
              <w:pStyle w:val="20"/>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按照文件规定</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560"/>
        <w:rPr>
          <w:rFonts w:ascii="方正仿宋_GBK" w:hAnsi="方正仿宋_GBK" w:eastAsia="方正仿宋_GBK" w:cs="方正仿宋_GBK"/>
          <w:b/>
          <w:bCs w:val="0"/>
          <w:color w:val="000000"/>
          <w:sz w:val="28"/>
        </w:rPr>
      </w:pPr>
      <w:r>
        <w:rPr>
          <w:rFonts w:ascii="方正仿宋_GBK" w:hAnsi="方正仿宋_GBK" w:eastAsia="方正仿宋_GBK" w:cs="方正仿宋_GBK"/>
          <w:b/>
          <w:bCs w:val="0"/>
          <w:color w:val="000000"/>
          <w:sz w:val="28"/>
        </w:rPr>
        <w:t>33.第一次全国自然灾害综合风险普查项目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rPr>
                <w:sz w:val="21"/>
                <w:szCs w:val="21"/>
              </w:rPr>
              <w:t>1.完成全国第一次自然灾害风险普查，为自然灾害防治提供科学依据。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数量指标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≥1套</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质量指标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符合全省自然灾害普查质量要求</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符合全省自然灾害普查质量要求</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≥90%</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时效指标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灾害风险普查项目周期</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灾害风险普查项目周期</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≤1年</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成本指标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资金成本</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资金成本</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≤25万元</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社会效益指标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自然灾害风险普查率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自然灾害风险普查率</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≥90%</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服务对象满意度指标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满意率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满意率</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≥90%</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数量指标</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835"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551"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≥1套</w:t>
            </w:r>
          </w:p>
        </w:tc>
        <w:tc>
          <w:tcPr>
            <w:tcW w:w="2268" w:type="dxa"/>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bl>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r>
        <w:rPr>
          <w:rFonts w:eastAsia="方正仿宋_GBK"/>
          <w:color w:val="000000"/>
          <w:sz w:val="28"/>
        </w:rPr>
        <w:t>2022年，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局安排政府采购预算</w:t>
      </w:r>
      <w:r>
        <w:rPr>
          <w:rFonts w:hint="eastAsia" w:eastAsia="方正仿宋_GBK"/>
          <w:color w:val="000000"/>
          <w:sz w:val="28"/>
          <w:lang w:val="en-US" w:eastAsia="zh-CN"/>
        </w:rPr>
        <w:t>120.36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w:t>
            </w:r>
            <w:r>
              <w:t>县</w:t>
            </w:r>
            <w:r>
              <w:rPr>
                <w:rFonts w:hint="eastAsia"/>
                <w:lang w:eastAsia="zh-CN"/>
              </w:rPr>
              <w:t>应急管理</w:t>
            </w:r>
            <w:r>
              <w:t>局</w:t>
            </w:r>
          </w:p>
        </w:tc>
        <w:tc>
          <w:tcPr>
            <w:tcW w:w="8676" w:type="dxa"/>
            <w:gridSpan w:val="9"/>
            <w:tcBorders>
              <w:top w:val="single" w:color="FFFFFF" w:sz="6" w:space="0"/>
              <w:left w:val="single" w:color="FFFFFF" w:sz="6" w:space="0"/>
              <w:right w:val="single" w:color="FFFFFF" w:sz="6" w:space="0"/>
            </w:tcBorders>
            <w:noWrap w:val="0"/>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8"/>
            </w:pPr>
            <w:r>
              <w:t>政府采购项目来源</w:t>
            </w:r>
          </w:p>
        </w:tc>
        <w:tc>
          <w:tcPr>
            <w:tcW w:w="1134" w:type="dxa"/>
            <w:vMerge w:val="restart"/>
            <w:noWrap w:val="0"/>
            <w:vAlign w:val="center"/>
          </w:tcPr>
          <w:p>
            <w:pPr>
              <w:pStyle w:val="18"/>
            </w:pPr>
            <w:r>
              <w:t>采购物品名称</w:t>
            </w:r>
          </w:p>
        </w:tc>
        <w:tc>
          <w:tcPr>
            <w:tcW w:w="1134" w:type="dxa"/>
            <w:vMerge w:val="restart"/>
            <w:noWrap w:val="0"/>
            <w:vAlign w:val="center"/>
          </w:tcPr>
          <w:p>
            <w:pPr>
              <w:pStyle w:val="18"/>
            </w:pPr>
            <w:r>
              <w:t>政府采购目录序号</w:t>
            </w:r>
          </w:p>
        </w:tc>
        <w:tc>
          <w:tcPr>
            <w:tcW w:w="709" w:type="dxa"/>
            <w:vMerge w:val="restart"/>
            <w:noWrap w:val="0"/>
            <w:vAlign w:val="center"/>
          </w:tcPr>
          <w:p>
            <w:pPr>
              <w:pStyle w:val="18"/>
            </w:pPr>
            <w:r>
              <w:t>计量  单位</w:t>
            </w:r>
          </w:p>
        </w:tc>
        <w:tc>
          <w:tcPr>
            <w:tcW w:w="850" w:type="dxa"/>
            <w:vMerge w:val="restart"/>
            <w:noWrap w:val="0"/>
            <w:vAlign w:val="center"/>
          </w:tcPr>
          <w:p>
            <w:pPr>
              <w:pStyle w:val="18"/>
            </w:pPr>
            <w:r>
              <w:t>数量</w:t>
            </w:r>
          </w:p>
        </w:tc>
        <w:tc>
          <w:tcPr>
            <w:tcW w:w="850" w:type="dxa"/>
            <w:vMerge w:val="restart"/>
            <w:noWrap w:val="0"/>
            <w:vAlign w:val="center"/>
          </w:tcPr>
          <w:p>
            <w:pPr>
              <w:pStyle w:val="18"/>
            </w:pPr>
            <w:r>
              <w:t>单价</w:t>
            </w:r>
          </w:p>
        </w:tc>
        <w:tc>
          <w:tcPr>
            <w:tcW w:w="7712" w:type="dxa"/>
            <w:gridSpan w:val="8"/>
            <w:noWrap w:val="0"/>
            <w:vAlign w:val="center"/>
          </w:tcPr>
          <w:p>
            <w:pPr>
              <w:pStyle w:val="18"/>
            </w:pPr>
            <w:r>
              <w:t>政府采购金额（当年部门预算安排资金）</w:t>
            </w:r>
          </w:p>
        </w:tc>
        <w:tc>
          <w:tcPr>
            <w:tcW w:w="964" w:type="dxa"/>
            <w:vMerge w:val="restart"/>
            <w:noWrap w:val="0"/>
            <w:vAlign w:val="center"/>
          </w:tcPr>
          <w:p>
            <w:pPr>
              <w:pStyle w:val="1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8"/>
            </w:pPr>
            <w:r>
              <w:t>项目名称</w:t>
            </w:r>
          </w:p>
        </w:tc>
        <w:tc>
          <w:tcPr>
            <w:tcW w:w="964" w:type="dxa"/>
            <w:noWrap w:val="0"/>
            <w:vAlign w:val="center"/>
          </w:tcPr>
          <w:p>
            <w:pPr>
              <w:pStyle w:val="18"/>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8"/>
            </w:pPr>
            <w:r>
              <w:t>合计</w:t>
            </w:r>
          </w:p>
        </w:tc>
        <w:tc>
          <w:tcPr>
            <w:tcW w:w="964" w:type="dxa"/>
            <w:noWrap w:val="0"/>
            <w:vAlign w:val="center"/>
          </w:tcPr>
          <w:p>
            <w:pPr>
              <w:pStyle w:val="18"/>
            </w:pPr>
            <w:r>
              <w:t>一般公共预算拨款</w:t>
            </w:r>
          </w:p>
        </w:tc>
        <w:tc>
          <w:tcPr>
            <w:tcW w:w="964" w:type="dxa"/>
            <w:noWrap w:val="0"/>
            <w:vAlign w:val="center"/>
          </w:tcPr>
          <w:p>
            <w:pPr>
              <w:pStyle w:val="18"/>
            </w:pPr>
            <w:r>
              <w:t>基金预算拨款</w:t>
            </w:r>
          </w:p>
        </w:tc>
        <w:tc>
          <w:tcPr>
            <w:tcW w:w="964" w:type="dxa"/>
            <w:noWrap w:val="0"/>
            <w:vAlign w:val="center"/>
          </w:tcPr>
          <w:p>
            <w:pPr>
              <w:pStyle w:val="18"/>
            </w:pPr>
            <w:r>
              <w:t>国有资本经营预算拨款</w:t>
            </w:r>
          </w:p>
        </w:tc>
        <w:tc>
          <w:tcPr>
            <w:tcW w:w="964" w:type="dxa"/>
            <w:noWrap w:val="0"/>
            <w:vAlign w:val="center"/>
          </w:tcPr>
          <w:p>
            <w:pPr>
              <w:pStyle w:val="18"/>
            </w:pPr>
            <w:r>
              <w:t>财政专户核拨</w:t>
            </w:r>
          </w:p>
        </w:tc>
        <w:tc>
          <w:tcPr>
            <w:tcW w:w="964" w:type="dxa"/>
            <w:noWrap w:val="0"/>
            <w:vAlign w:val="center"/>
          </w:tcPr>
          <w:p>
            <w:pPr>
              <w:pStyle w:val="18"/>
            </w:pPr>
            <w:r>
              <w:t>单位    资金</w:t>
            </w:r>
          </w:p>
        </w:tc>
        <w:tc>
          <w:tcPr>
            <w:tcW w:w="964" w:type="dxa"/>
            <w:noWrap w:val="0"/>
            <w:vAlign w:val="center"/>
          </w:tcPr>
          <w:p>
            <w:pPr>
              <w:pStyle w:val="18"/>
            </w:pPr>
            <w:r>
              <w:t>财政拨    款结转</w:t>
            </w:r>
          </w:p>
        </w:tc>
        <w:tc>
          <w:tcPr>
            <w:tcW w:w="964" w:type="dxa"/>
            <w:noWrap w:val="0"/>
            <w:vAlign w:val="center"/>
          </w:tcPr>
          <w:p>
            <w:pPr>
              <w:pStyle w:val="18"/>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22"/>
            </w:pPr>
            <w:r>
              <w:t>合  计</w:t>
            </w:r>
          </w:p>
        </w:tc>
        <w:tc>
          <w:tcPr>
            <w:tcW w:w="964" w:type="dxa"/>
            <w:noWrap w:val="0"/>
            <w:vAlign w:val="center"/>
          </w:tcPr>
          <w:p>
            <w:pPr>
              <w:pStyle w:val="23"/>
            </w:pPr>
          </w:p>
        </w:tc>
        <w:tc>
          <w:tcPr>
            <w:tcW w:w="1134" w:type="dxa"/>
            <w:noWrap w:val="0"/>
            <w:vAlign w:val="center"/>
          </w:tcPr>
          <w:p>
            <w:pPr>
              <w:pStyle w:val="24"/>
            </w:pPr>
          </w:p>
        </w:tc>
        <w:tc>
          <w:tcPr>
            <w:tcW w:w="1134" w:type="dxa"/>
            <w:noWrap w:val="0"/>
            <w:vAlign w:val="center"/>
          </w:tcPr>
          <w:p>
            <w:pPr>
              <w:pStyle w:val="24"/>
            </w:pPr>
          </w:p>
        </w:tc>
        <w:tc>
          <w:tcPr>
            <w:tcW w:w="709" w:type="dxa"/>
            <w:noWrap w:val="0"/>
            <w:vAlign w:val="center"/>
          </w:tcPr>
          <w:p>
            <w:pPr>
              <w:pStyle w:val="22"/>
            </w:pPr>
          </w:p>
        </w:tc>
        <w:tc>
          <w:tcPr>
            <w:tcW w:w="850" w:type="dxa"/>
            <w:noWrap w:val="0"/>
            <w:vAlign w:val="center"/>
          </w:tcPr>
          <w:p>
            <w:pPr>
              <w:pStyle w:val="23"/>
            </w:pPr>
          </w:p>
        </w:tc>
        <w:tc>
          <w:tcPr>
            <w:tcW w:w="850" w:type="dxa"/>
            <w:noWrap w:val="0"/>
            <w:vAlign w:val="center"/>
          </w:tcPr>
          <w:p>
            <w:pPr>
              <w:pStyle w:val="23"/>
            </w:pPr>
          </w:p>
        </w:tc>
        <w:tc>
          <w:tcPr>
            <w:tcW w:w="964" w:type="dxa"/>
            <w:noWrap w:val="0"/>
            <w:vAlign w:val="center"/>
          </w:tcPr>
          <w:p>
            <w:r>
              <w:rPr>
                <w:rFonts w:hint="eastAsia"/>
                <w:lang w:val="en-US" w:eastAsia="zh-CN"/>
              </w:rPr>
              <w:t>120.36</w:t>
            </w:r>
          </w:p>
        </w:tc>
        <w:tc>
          <w:tcPr>
            <w:tcW w:w="964" w:type="dxa"/>
            <w:noWrap w:val="0"/>
            <w:vAlign w:val="center"/>
          </w:tcPr>
          <w:p>
            <w:r>
              <w:rPr>
                <w:rFonts w:hint="eastAsia"/>
                <w:lang w:val="en-US" w:eastAsia="zh-CN"/>
              </w:rPr>
              <w:t>120.36</w:t>
            </w: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r>
              <w:rPr>
                <w:rFonts w:hint="eastAsia"/>
                <w:lang w:val="en-US" w:eastAsia="zh-CN"/>
              </w:rPr>
              <w:t>38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22"/>
            </w:pPr>
            <w:r>
              <w:rPr>
                <w:rFonts w:hint="eastAsia"/>
                <w:lang w:eastAsia="zh-CN"/>
              </w:rPr>
              <w:t>涞水</w:t>
            </w:r>
            <w:r>
              <w:t>县财政局（本级）小计</w:t>
            </w:r>
          </w:p>
        </w:tc>
        <w:tc>
          <w:tcPr>
            <w:tcW w:w="964" w:type="dxa"/>
            <w:noWrap w:val="0"/>
            <w:vAlign w:val="center"/>
          </w:tcPr>
          <w:p>
            <w:pPr>
              <w:pStyle w:val="23"/>
            </w:pPr>
          </w:p>
        </w:tc>
        <w:tc>
          <w:tcPr>
            <w:tcW w:w="1134" w:type="dxa"/>
            <w:noWrap w:val="0"/>
            <w:vAlign w:val="center"/>
          </w:tcPr>
          <w:p>
            <w:pPr>
              <w:pStyle w:val="24"/>
            </w:pPr>
          </w:p>
        </w:tc>
        <w:tc>
          <w:tcPr>
            <w:tcW w:w="1134" w:type="dxa"/>
            <w:noWrap w:val="0"/>
            <w:vAlign w:val="center"/>
          </w:tcPr>
          <w:p>
            <w:pPr>
              <w:pStyle w:val="24"/>
            </w:pPr>
          </w:p>
        </w:tc>
        <w:tc>
          <w:tcPr>
            <w:tcW w:w="709" w:type="dxa"/>
            <w:noWrap w:val="0"/>
            <w:vAlign w:val="center"/>
          </w:tcPr>
          <w:p>
            <w:pPr>
              <w:pStyle w:val="22"/>
            </w:pPr>
          </w:p>
        </w:tc>
        <w:tc>
          <w:tcPr>
            <w:tcW w:w="850" w:type="dxa"/>
            <w:noWrap w:val="0"/>
            <w:vAlign w:val="center"/>
          </w:tcPr>
          <w:p>
            <w:pPr>
              <w:pStyle w:val="23"/>
            </w:pPr>
          </w:p>
        </w:tc>
        <w:tc>
          <w:tcPr>
            <w:tcW w:w="850" w:type="dxa"/>
            <w:noWrap w:val="0"/>
            <w:vAlign w:val="center"/>
          </w:tcPr>
          <w:p>
            <w:pPr>
              <w:pStyle w:val="23"/>
            </w:pPr>
          </w:p>
        </w:tc>
        <w:tc>
          <w:tcPr>
            <w:tcW w:w="964" w:type="dxa"/>
            <w:noWrap w:val="0"/>
            <w:vAlign w:val="center"/>
          </w:tcPr>
          <w:p>
            <w:pPr>
              <w:rPr>
                <w:rFonts w:hint="default" w:eastAsia="方正书宋_GBK"/>
                <w:lang w:val="en-US" w:eastAsia="zh-CN"/>
              </w:rPr>
            </w:pPr>
            <w:r>
              <w:rPr>
                <w:rFonts w:hint="eastAsia"/>
                <w:lang w:val="en-US" w:eastAsia="zh-CN"/>
              </w:rPr>
              <w:t>120.36</w:t>
            </w:r>
          </w:p>
        </w:tc>
        <w:tc>
          <w:tcPr>
            <w:tcW w:w="964" w:type="dxa"/>
            <w:noWrap w:val="0"/>
            <w:vAlign w:val="center"/>
          </w:tcPr>
          <w:p>
            <w:r>
              <w:rPr>
                <w:rFonts w:hint="eastAsia"/>
                <w:lang w:val="en-US" w:eastAsia="zh-CN"/>
              </w:rPr>
              <w:t>120.36</w:t>
            </w: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p>
        </w:tc>
        <w:tc>
          <w:tcPr>
            <w:tcW w:w="964" w:type="dxa"/>
            <w:noWrap w:val="0"/>
            <w:vAlign w:val="center"/>
          </w:tcPr>
          <w:p>
            <w:pPr>
              <w:pStyle w:val="23"/>
            </w:pPr>
            <w:r>
              <w:rPr>
                <w:rFonts w:hint="eastAsia"/>
                <w:lang w:val="en-US" w:eastAsia="zh-CN"/>
              </w:rPr>
              <w:t>38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防汛物资储备项目</w:t>
            </w:r>
          </w:p>
        </w:tc>
        <w:tc>
          <w:tcPr>
            <w:tcW w:w="964" w:type="dxa"/>
            <w:noWrap w:val="0"/>
            <w:vAlign w:val="center"/>
          </w:tcPr>
          <w:p>
            <w:pPr>
              <w:spacing w:line="300" w:lineRule="exact"/>
              <w:jc w:val="center"/>
            </w:pPr>
            <w:r>
              <w:rPr>
                <w:rFonts w:hint="eastAsia" w:ascii="方正书宋_GBK" w:eastAsia="方正书宋_GBK"/>
                <w:lang w:val="en-US" w:eastAsia="zh-CN"/>
              </w:rPr>
              <w:t>38</w:t>
            </w:r>
          </w:p>
        </w:tc>
        <w:tc>
          <w:tcPr>
            <w:tcW w:w="1134" w:type="dxa"/>
            <w:noWrap w:val="0"/>
            <w:vAlign w:val="center"/>
          </w:tcPr>
          <w:p>
            <w:pPr>
              <w:spacing w:line="300" w:lineRule="exact"/>
              <w:jc w:val="center"/>
            </w:pPr>
            <w:r>
              <w:rPr>
                <w:rFonts w:hint="eastAsia" w:ascii="方正书宋_GBK" w:eastAsia="方正书宋_GBK"/>
                <w:color w:val="000000"/>
                <w:lang w:eastAsia="zh-CN"/>
              </w:rPr>
              <w:t>防汛物资</w:t>
            </w:r>
          </w:p>
        </w:tc>
        <w:tc>
          <w:tcPr>
            <w:tcW w:w="1134" w:type="dxa"/>
            <w:noWrap w:val="0"/>
            <w:vAlign w:val="center"/>
          </w:tcPr>
          <w:p>
            <w:pPr>
              <w:spacing w:line="300" w:lineRule="exact"/>
              <w:jc w:val="center"/>
            </w:pPr>
            <w:r>
              <w:rPr>
                <w:rFonts w:hint="eastAsia" w:ascii="方正书宋_GBK" w:eastAsia="方正书宋_GBK"/>
                <w:color w:val="000000"/>
                <w:lang w:val="en-US" w:eastAsia="zh-CN"/>
              </w:rPr>
              <w:t>A9999</w:t>
            </w:r>
          </w:p>
        </w:tc>
        <w:tc>
          <w:tcPr>
            <w:tcW w:w="709" w:type="dxa"/>
            <w:noWrap w:val="0"/>
            <w:vAlign w:val="center"/>
          </w:tcPr>
          <w:p>
            <w:pPr>
              <w:spacing w:line="300" w:lineRule="exact"/>
              <w:jc w:val="center"/>
            </w:pPr>
            <w:r>
              <w:rPr>
                <w:rFonts w:hint="eastAsia" w:ascii="方正书宋_GBK" w:eastAsia="方正书宋_GBK"/>
                <w:lang w:eastAsia="zh-CN"/>
              </w:rPr>
              <w:t>批</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jc w:val="center"/>
            </w:pPr>
            <w:r>
              <w:rPr>
                <w:rFonts w:hint="eastAsia" w:ascii="方正书宋_GBK" w:eastAsia="方正书宋_GBK"/>
                <w:lang w:val="en-US" w:eastAsia="zh-CN"/>
              </w:rPr>
              <w:t>38</w:t>
            </w:r>
          </w:p>
        </w:tc>
        <w:tc>
          <w:tcPr>
            <w:tcW w:w="964" w:type="dxa"/>
            <w:noWrap w:val="0"/>
            <w:vAlign w:val="center"/>
          </w:tcPr>
          <w:p>
            <w:pPr>
              <w:spacing w:line="300" w:lineRule="exact"/>
              <w:jc w:val="center"/>
            </w:pPr>
            <w:r>
              <w:rPr>
                <w:rFonts w:hint="eastAsia" w:ascii="方正书宋_GBK" w:eastAsia="方正书宋_GBK"/>
                <w:lang w:val="en-US" w:eastAsia="zh-CN"/>
              </w:rPr>
              <w:t>38</w:t>
            </w:r>
          </w:p>
        </w:tc>
        <w:tc>
          <w:tcPr>
            <w:tcW w:w="964" w:type="dxa"/>
            <w:noWrap w:val="0"/>
            <w:vAlign w:val="center"/>
          </w:tcPr>
          <w:p>
            <w:pPr>
              <w:spacing w:line="300" w:lineRule="exact"/>
              <w:jc w:val="center"/>
            </w:pPr>
            <w:r>
              <w:rPr>
                <w:rFonts w:hint="eastAsia" w:ascii="方正书宋_GBK" w:eastAsia="方正书宋_GBK"/>
                <w:lang w:val="en-US" w:eastAsia="zh-CN"/>
              </w:rPr>
              <w:t>38</w:t>
            </w: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r>
              <w:rPr>
                <w:rFonts w:hint="eastAsia"/>
                <w:lang w:val="en-US" w:eastAsia="zh-CN"/>
              </w:rPr>
              <w:t>38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政策性农房保险项目</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1134" w:type="dxa"/>
            <w:noWrap w:val="0"/>
            <w:vAlign w:val="center"/>
          </w:tcPr>
          <w:p>
            <w:pPr>
              <w:spacing w:line="300" w:lineRule="exact"/>
              <w:jc w:val="center"/>
            </w:pPr>
            <w:r>
              <w:rPr>
                <w:rFonts w:hint="eastAsia" w:ascii="方正书宋_GBK" w:eastAsia="方正书宋_GBK"/>
                <w:lang w:eastAsia="zh-CN"/>
              </w:rPr>
              <w:t>服务</w:t>
            </w:r>
          </w:p>
        </w:tc>
        <w:tc>
          <w:tcPr>
            <w:tcW w:w="1134" w:type="dxa"/>
            <w:noWrap w:val="0"/>
            <w:vAlign w:val="center"/>
          </w:tcPr>
          <w:p>
            <w:pPr>
              <w:spacing w:line="300" w:lineRule="exact"/>
              <w:jc w:val="center"/>
            </w:pPr>
            <w:r>
              <w:rPr>
                <w:rFonts w:hint="eastAsia" w:ascii="方正书宋_GBK" w:eastAsia="方正书宋_GBK"/>
                <w:color w:val="000000"/>
                <w:lang w:val="en-US" w:eastAsia="zh-CN"/>
              </w:rPr>
              <w:t>C15040299</w:t>
            </w:r>
          </w:p>
        </w:tc>
        <w:tc>
          <w:tcPr>
            <w:tcW w:w="709" w:type="dxa"/>
            <w:noWrap w:val="0"/>
            <w:vAlign w:val="center"/>
          </w:tcPr>
          <w:p>
            <w:pPr>
              <w:spacing w:line="300" w:lineRule="exact"/>
              <w:jc w:val="center"/>
            </w:pPr>
            <w:r>
              <w:rPr>
                <w:rFonts w:hint="eastAsia" w:ascii="方正书宋_GBK" w:eastAsia="方正书宋_GBK"/>
                <w:lang w:eastAsia="zh-CN"/>
              </w:rPr>
              <w:t>户</w:t>
            </w:r>
          </w:p>
        </w:tc>
        <w:tc>
          <w:tcPr>
            <w:tcW w:w="850" w:type="dxa"/>
            <w:noWrap w:val="0"/>
            <w:vAlign w:val="center"/>
          </w:tcPr>
          <w:p>
            <w:pPr>
              <w:spacing w:line="300" w:lineRule="exact"/>
              <w:jc w:val="center"/>
            </w:pPr>
            <w:r>
              <w:rPr>
                <w:rFonts w:hint="eastAsia" w:ascii="方正书宋_GBK" w:eastAsia="方正书宋_GBK"/>
                <w:lang w:val="en-US" w:eastAsia="zh-CN"/>
              </w:rPr>
              <w:t>91429</w:t>
            </w:r>
          </w:p>
        </w:tc>
        <w:tc>
          <w:tcPr>
            <w:tcW w:w="850" w:type="dxa"/>
            <w:noWrap w:val="0"/>
            <w:vAlign w:val="center"/>
          </w:tcPr>
          <w:p>
            <w:pPr>
              <w:spacing w:line="300" w:lineRule="exact"/>
              <w:ind w:right="105" w:rightChars="0"/>
              <w:jc w:val="center"/>
            </w:pPr>
            <w:r>
              <w:rPr>
                <w:rFonts w:hint="eastAsia" w:ascii="方正书宋_GBK" w:eastAsia="方正书宋_GBK"/>
                <w:lang w:val="en-US" w:eastAsia="zh-CN"/>
              </w:rPr>
              <w:t>9</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涞水县应急管理</w:t>
      </w:r>
      <w:r>
        <w:rPr>
          <w:rFonts w:eastAsia="方正仿宋_GBK"/>
          <w:color w:val="000000"/>
          <w:sz w:val="28"/>
        </w:rPr>
        <w:t>局（含所属单位）上年末固定资产金额为</w:t>
      </w:r>
      <w:r>
        <w:rPr>
          <w:rFonts w:hint="eastAsia" w:eastAsia="方正仿宋_GBK"/>
          <w:color w:val="000000"/>
          <w:sz w:val="28"/>
          <w:lang w:val="en-US" w:eastAsia="zh-CN"/>
        </w:rPr>
        <w:t>599.83</w:t>
      </w:r>
      <w:r>
        <w:rPr>
          <w:rFonts w:eastAsia="方正仿宋_GBK"/>
          <w:color w:val="000000"/>
          <w:sz w:val="28"/>
        </w:rPr>
        <w:t>万元（详见下表）。</w:t>
      </w:r>
      <w:r>
        <w:rPr>
          <w:rFonts w:hint="eastAsia" w:eastAsia="方正仿宋_GBK"/>
          <w:color w:val="000000"/>
          <w:sz w:val="28"/>
          <w:lang w:val="en-US" w:eastAsia="zh-CN"/>
        </w:rPr>
        <w:t>2022年</w:t>
      </w:r>
      <w:r>
        <w:rPr>
          <w:rFonts w:eastAsia="方正仿宋_GBK"/>
          <w:color w:val="000000"/>
          <w:sz w:val="28"/>
        </w:rPr>
        <w:t>拟购置固定资产总额为</w:t>
      </w:r>
      <w:r>
        <w:rPr>
          <w:rFonts w:hint="eastAsia" w:eastAsia="方正仿宋_GBK"/>
          <w:color w:val="000000"/>
          <w:sz w:val="28"/>
          <w:lang w:eastAsia="zh-CN"/>
        </w:rPr>
        <w:t>10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w:t>
            </w:r>
            <w:r>
              <w:rPr>
                <w:rFonts w:hint="eastAsia"/>
                <w:lang w:eastAsia="zh-CN"/>
              </w:rPr>
              <w:t>涞水县应急管理</w:t>
            </w:r>
            <w:r>
              <w:t>局</w:t>
            </w:r>
          </w:p>
        </w:tc>
        <w:tc>
          <w:tcPr>
            <w:tcW w:w="5669" w:type="dxa"/>
            <w:tcBorders>
              <w:top w:val="single" w:color="FFFFFF" w:sz="6" w:space="0"/>
              <w:left w:val="single" w:color="FFFFFF" w:sz="6" w:space="0"/>
              <w:right w:val="single" w:color="FFFFFF" w:sz="6" w:space="0"/>
            </w:tcBorders>
            <w:noWrap w:val="0"/>
            <w:vAlign w:val="center"/>
          </w:tcPr>
          <w:p>
            <w:pPr>
              <w:pStyle w:val="15"/>
            </w:pPr>
            <w:r>
              <w:t>截止时间：2021-12-31</w:t>
            </w:r>
          </w:p>
        </w:tc>
      </w:tr>
    </w:tbl>
    <w:p>
      <w:pPr>
        <w:rPr>
          <w:rFonts w:ascii="方正小标宋_GBK" w:hAnsi="方正小标宋_GBK" w:eastAsia="方正小标宋_GBK" w:cs="方正小标宋_GBK"/>
          <w:color w:val="000000"/>
          <w:sz w:val="36"/>
          <w:lang w:eastAsia="zh-CN"/>
        </w:rPr>
      </w:pP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pStyle w:val="18"/>
            </w:pPr>
            <w:r>
              <w:rPr>
                <w:rFonts w:hint="eastAsia"/>
              </w:rPr>
              <w:t>项  目</w:t>
            </w:r>
          </w:p>
        </w:tc>
        <w:tc>
          <w:tcPr>
            <w:tcW w:w="2835" w:type="dxa"/>
            <w:tcBorders>
              <w:top w:val="single" w:color="auto" w:sz="4" w:space="0"/>
              <w:left w:val="nil"/>
              <w:bottom w:val="nil"/>
              <w:right w:val="single" w:color="auto" w:sz="4" w:space="0"/>
            </w:tcBorders>
            <w:noWrap w:val="0"/>
            <w:vAlign w:val="center"/>
          </w:tcPr>
          <w:p>
            <w:pPr>
              <w:pStyle w:val="18"/>
            </w:pPr>
            <w:r>
              <w:rPr>
                <w:rFonts w:hint="eastAsia"/>
              </w:rPr>
              <w:t>数量</w:t>
            </w:r>
          </w:p>
        </w:tc>
        <w:tc>
          <w:tcPr>
            <w:tcW w:w="2835" w:type="dxa"/>
            <w:tcBorders>
              <w:top w:val="single" w:color="auto" w:sz="4" w:space="0"/>
              <w:left w:val="nil"/>
              <w:bottom w:val="single" w:color="auto" w:sz="4" w:space="0"/>
              <w:right w:val="single" w:color="auto" w:sz="4" w:space="0"/>
            </w:tcBorders>
            <w:noWrap w:val="0"/>
            <w:vAlign w:val="center"/>
          </w:tcPr>
          <w:p>
            <w:pPr>
              <w:pStyle w:val="18"/>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Calibri" w:hAnsi="Calibri" w:eastAsia="宋体" w:cs="宋体"/>
                <w:kern w:val="2"/>
                <w:sz w:val="21"/>
                <w:szCs w:val="21"/>
              </w:rPr>
            </w:pPr>
            <w:r>
              <w:rPr>
                <w:rFonts w:hint="eastAsia" w:ascii="Calibri" w:hAnsi="Calibri" w:eastAsia="宋体" w:cs="宋体"/>
                <w:kern w:val="2"/>
                <w:sz w:val="21"/>
                <w:szCs w:val="21"/>
                <w:lang w:val="zh-CN"/>
              </w:rPr>
              <w:t>政府招待所办公，无单独办公用房</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val="en-US" w:eastAsia="zh-CN"/>
              </w:rPr>
              <w:t>9</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343.83</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256</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val="en-US"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ascii="黑体" w:hAnsi="黑体" w:eastAsia="黑体" w:cs="黑体"/>
          <w:color w:val="000000"/>
          <w:sz w:val="32"/>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bookmarkStart w:id="16" w:name="_Toc_3_3_0000000018"/>
    </w:p>
    <w:p>
      <w:pPr>
        <w:spacing w:before="10" w:after="10"/>
        <w:ind w:firstLine="640"/>
        <w:outlineLvl w:val="2"/>
      </w:pPr>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8178B"/>
    <w:multiLevelType w:val="singleLevel"/>
    <w:tmpl w:val="F50817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jY4NDEyZTliNTM4NmE4MmFmNjE3OGVjYzk2Y2E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4382FF3"/>
    <w:rsid w:val="05412745"/>
    <w:rsid w:val="054B4674"/>
    <w:rsid w:val="0571302A"/>
    <w:rsid w:val="065B5A96"/>
    <w:rsid w:val="067C48EC"/>
    <w:rsid w:val="08BF7326"/>
    <w:rsid w:val="0A5E16A3"/>
    <w:rsid w:val="0D680167"/>
    <w:rsid w:val="0E5E4367"/>
    <w:rsid w:val="103B4960"/>
    <w:rsid w:val="10CC55B8"/>
    <w:rsid w:val="127E6D86"/>
    <w:rsid w:val="12A52565"/>
    <w:rsid w:val="12B368F4"/>
    <w:rsid w:val="148F527B"/>
    <w:rsid w:val="14B52807"/>
    <w:rsid w:val="17EE3297"/>
    <w:rsid w:val="18E17253"/>
    <w:rsid w:val="190D5D59"/>
    <w:rsid w:val="19C97CDC"/>
    <w:rsid w:val="1B6775FA"/>
    <w:rsid w:val="1BF93971"/>
    <w:rsid w:val="1C0E141E"/>
    <w:rsid w:val="1D0739C8"/>
    <w:rsid w:val="1DD03BF2"/>
    <w:rsid w:val="1F001077"/>
    <w:rsid w:val="1F851821"/>
    <w:rsid w:val="1FDC6E9A"/>
    <w:rsid w:val="210716D3"/>
    <w:rsid w:val="268F5E6B"/>
    <w:rsid w:val="287473B8"/>
    <w:rsid w:val="29507662"/>
    <w:rsid w:val="2B0F45C8"/>
    <w:rsid w:val="2EF76884"/>
    <w:rsid w:val="30C32D3C"/>
    <w:rsid w:val="312C768A"/>
    <w:rsid w:val="341964B7"/>
    <w:rsid w:val="342235AD"/>
    <w:rsid w:val="342235BE"/>
    <w:rsid w:val="365A7BD3"/>
    <w:rsid w:val="36606F50"/>
    <w:rsid w:val="36617CA1"/>
    <w:rsid w:val="36F86858"/>
    <w:rsid w:val="37826121"/>
    <w:rsid w:val="37CF26CA"/>
    <w:rsid w:val="3A660F6E"/>
    <w:rsid w:val="3A8E64E2"/>
    <w:rsid w:val="3B780B00"/>
    <w:rsid w:val="3C793F97"/>
    <w:rsid w:val="3CB449FB"/>
    <w:rsid w:val="3CED611F"/>
    <w:rsid w:val="3D1D6158"/>
    <w:rsid w:val="3D591081"/>
    <w:rsid w:val="3D85696B"/>
    <w:rsid w:val="3D9F7A2D"/>
    <w:rsid w:val="3EE17BD1"/>
    <w:rsid w:val="40A0012E"/>
    <w:rsid w:val="40F97454"/>
    <w:rsid w:val="42440BA3"/>
    <w:rsid w:val="42A47894"/>
    <w:rsid w:val="43034DB5"/>
    <w:rsid w:val="45181F0B"/>
    <w:rsid w:val="45FE550D"/>
    <w:rsid w:val="469072DA"/>
    <w:rsid w:val="48BA73C9"/>
    <w:rsid w:val="499F0DB5"/>
    <w:rsid w:val="4A113A61"/>
    <w:rsid w:val="4A6E08DD"/>
    <w:rsid w:val="4ADF590D"/>
    <w:rsid w:val="4B827794"/>
    <w:rsid w:val="4CD64AED"/>
    <w:rsid w:val="4EDC0108"/>
    <w:rsid w:val="4F11440F"/>
    <w:rsid w:val="50055E16"/>
    <w:rsid w:val="50A3118B"/>
    <w:rsid w:val="50F32112"/>
    <w:rsid w:val="52326C6A"/>
    <w:rsid w:val="525E0E06"/>
    <w:rsid w:val="54166E36"/>
    <w:rsid w:val="56431446"/>
    <w:rsid w:val="5818245E"/>
    <w:rsid w:val="597231E9"/>
    <w:rsid w:val="5B01542B"/>
    <w:rsid w:val="5B2B4256"/>
    <w:rsid w:val="5CAA28C1"/>
    <w:rsid w:val="5D577585"/>
    <w:rsid w:val="5FAA1AFC"/>
    <w:rsid w:val="5FE315A4"/>
    <w:rsid w:val="618868A7"/>
    <w:rsid w:val="62735356"/>
    <w:rsid w:val="62D401DF"/>
    <w:rsid w:val="63043D0B"/>
    <w:rsid w:val="661A55F3"/>
    <w:rsid w:val="6744501E"/>
    <w:rsid w:val="67572146"/>
    <w:rsid w:val="696F20FA"/>
    <w:rsid w:val="69C40BA2"/>
    <w:rsid w:val="69EB1780"/>
    <w:rsid w:val="6BA53BB1"/>
    <w:rsid w:val="6C1162EE"/>
    <w:rsid w:val="6C4361D9"/>
    <w:rsid w:val="6D5E2B60"/>
    <w:rsid w:val="6DE36C13"/>
    <w:rsid w:val="6E8F1FFB"/>
    <w:rsid w:val="6EE43AE3"/>
    <w:rsid w:val="6FA77717"/>
    <w:rsid w:val="70F116CB"/>
    <w:rsid w:val="714300F4"/>
    <w:rsid w:val="71F15DA2"/>
    <w:rsid w:val="72387EB3"/>
    <w:rsid w:val="73090E37"/>
    <w:rsid w:val="73A53D69"/>
    <w:rsid w:val="744A6D40"/>
    <w:rsid w:val="76684E25"/>
    <w:rsid w:val="79621333"/>
    <w:rsid w:val="796C512E"/>
    <w:rsid w:val="79AD6A52"/>
    <w:rsid w:val="79FD682D"/>
    <w:rsid w:val="7B32750E"/>
    <w:rsid w:val="7F0B5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footnote text"/>
    <w:basedOn w:val="1"/>
    <w:unhideWhenUsed/>
    <w:qFormat/>
    <w:uiPriority w:val="0"/>
    <w:pPr>
      <w:snapToGrid w:val="0"/>
      <w:jc w:val="left"/>
    </w:pPr>
    <w:rPr>
      <w:sz w:val="18"/>
      <w:szCs w:val="18"/>
    </w:r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otnote reference"/>
    <w:unhideWhenUsed/>
    <w:qFormat/>
    <w:uiPriority w:val="0"/>
    <w:rPr>
      <w:vertAlign w:val="superscript"/>
    </w:rPr>
  </w:style>
  <w:style w:type="character" w:customStyle="1" w:styleId="13">
    <w:name w:val="页脚 Char"/>
    <w:basedOn w:val="11"/>
    <w:link w:val="3"/>
    <w:qFormat/>
    <w:uiPriority w:val="99"/>
    <w:rPr>
      <w:rFonts w:eastAsia="Times New Roman"/>
      <w:sz w:val="18"/>
      <w:szCs w:val="18"/>
      <w:lang w:eastAsia="uk-UA"/>
    </w:rPr>
  </w:style>
  <w:style w:type="character" w:customStyle="1" w:styleId="14">
    <w:name w:val="页眉 Char"/>
    <w:basedOn w:val="11"/>
    <w:link w:val="4"/>
    <w:qFormat/>
    <w:uiPriority w:val="99"/>
    <w:rPr>
      <w:rFonts w:eastAsia="Times New Roman"/>
      <w:sz w:val="18"/>
      <w:szCs w:val="18"/>
      <w:lang w:eastAsia="uk-UA"/>
    </w:rPr>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19456</Words>
  <Characters>21879</Characters>
  <Lines>107</Lines>
  <Paragraphs>30</Paragraphs>
  <TotalTime>2</TotalTime>
  <ScaleCrop>false</ScaleCrop>
  <LinksUpToDate>false</LinksUpToDate>
  <CharactersWithSpaces>22094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2022-06-16T02:32:00Z</cp:lastPrinted>
  <dcterms:modified xsi:type="dcterms:W3CDTF">2023-12-29T08:05:49Z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27DB91BBF31049D0806A200A49C1F7A8</vt:lpwstr>
  </property>
</Properties>
</file>