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Toc414983408"/>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涞水县消防救援大队</w:t>
      </w:r>
      <w:r>
        <w:rPr>
          <w:rFonts w:hint="eastAsia" w:ascii="方正小标宋简体" w:hAnsi="方正小标宋简体" w:eastAsia="方正小标宋简体" w:cs="方正小标宋简体"/>
          <w:b w:val="0"/>
          <w:bCs w:val="0"/>
          <w:sz w:val="44"/>
          <w:szCs w:val="44"/>
        </w:rPr>
        <w:t>部门预算信息公开目录</w:t>
      </w:r>
    </w:p>
    <w:p>
      <w:pPr>
        <w:jc w:val="center"/>
        <w:rPr>
          <w:rFonts w:hint="eastAsia" w:ascii="方正小标宋简体" w:hAnsi="方正小标宋简体" w:eastAsia="方正小标宋简体" w:cs="方正小标宋简体"/>
          <w:b w:val="0"/>
          <w:bCs w:val="0"/>
          <w:sz w:val="44"/>
          <w:szCs w:val="44"/>
        </w:rPr>
      </w:pP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一、202</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年部门预算公开表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b/>
          <w:bCs/>
          <w:sz w:val="30"/>
          <w:szCs w:val="30"/>
        </w:rPr>
        <w:t>二、202</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年预算说明</w:t>
      </w:r>
    </w:p>
    <w:p>
      <w:pPr>
        <w:numPr>
          <w:ilvl w:val="0"/>
          <w:numId w:val="2"/>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部门职责、机构设置等基本情况</w:t>
      </w:r>
      <w:r>
        <w:rPr>
          <w:rFonts w:hint="eastAsia" w:ascii="仿宋_GB2312" w:hAnsi="仿宋_GB2312" w:eastAsia="仿宋_GB2312" w:cs="仿宋_GB2312"/>
          <w:sz w:val="30"/>
          <w:szCs w:val="30"/>
          <w:lang w:val="en-US" w:eastAsia="zh-CN"/>
        </w:rPr>
        <w:t>.............................................................12</w:t>
      </w:r>
    </w:p>
    <w:p>
      <w:pPr>
        <w:ind w:firstLine="64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2、部门预算安排总体情况</w:t>
      </w:r>
      <w:r>
        <w:rPr>
          <w:rFonts w:hint="eastAsia" w:ascii="仿宋_GB2312" w:hAnsi="仿宋_GB2312" w:eastAsia="仿宋_GB2312" w:cs="仿宋_GB2312"/>
          <w:sz w:val="30"/>
          <w:szCs w:val="30"/>
          <w:lang w:val="en-US" w:eastAsia="zh-CN"/>
        </w:rPr>
        <w:t>.....................................................................14</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3、机关运行经费安排情况</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4、财政拨款“三公”经费预算情况及增减变化原因</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5、绩效预算信息情况</w:t>
      </w:r>
      <w:r>
        <w:rPr>
          <w:rFonts w:hint="eastAsia" w:ascii="仿宋_GB2312" w:hAnsi="仿宋_GB2312" w:eastAsia="仿宋_GB2312" w:cs="仿宋_GB2312"/>
          <w:sz w:val="30"/>
          <w:szCs w:val="30"/>
          <w:lang w:val="en-US" w:eastAsia="zh-CN"/>
        </w:rPr>
        <w:t>.........................................................................15</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6、政府采购预算情况</w:t>
      </w:r>
      <w:r>
        <w:rPr>
          <w:rFonts w:hint="eastAsia" w:ascii="仿宋_GB2312" w:hAnsi="仿宋_GB2312" w:eastAsia="仿宋_GB2312" w:cs="仿宋_GB2312"/>
          <w:sz w:val="30"/>
          <w:szCs w:val="30"/>
          <w:lang w:val="en-US" w:eastAsia="zh-CN"/>
        </w:rPr>
        <w:t>.........................................................................23</w:t>
      </w:r>
    </w:p>
    <w:p>
      <w:pPr>
        <w:autoSpaceDE w:val="0"/>
        <w:autoSpaceDN w:val="0"/>
        <w:adjustRightInd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7、国有资产信息情况</w:t>
      </w:r>
      <w:r>
        <w:rPr>
          <w:rFonts w:hint="eastAsia" w:ascii="仿宋_GB2312" w:hAnsi="仿宋_GB2312" w:eastAsia="仿宋_GB2312" w:cs="仿宋_GB2312"/>
          <w:sz w:val="30"/>
          <w:szCs w:val="30"/>
          <w:lang w:val="en-US" w:eastAsia="zh-CN"/>
        </w:rPr>
        <w:t>.........................................................................24</w:t>
      </w:r>
    </w:p>
    <w:p>
      <w:pPr>
        <w:numPr>
          <w:ilvl w:val="0"/>
          <w:numId w:val="3"/>
        </w:numPr>
        <w:autoSpaceDE w:val="0"/>
        <w:autoSpaceDN w:val="0"/>
        <w:adjustRightInd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专业名词解释</w:t>
      </w:r>
      <w:r>
        <w:rPr>
          <w:rFonts w:hint="eastAsia" w:ascii="仿宋_GB2312" w:hAnsi="仿宋_GB2312" w:eastAsia="仿宋_GB2312" w:cs="仿宋_GB2312"/>
          <w:sz w:val="30"/>
          <w:szCs w:val="30"/>
          <w:lang w:val="en-US" w:eastAsia="zh-CN"/>
        </w:rPr>
        <w:t>.............................................................................25</w:t>
      </w:r>
    </w:p>
    <w:p>
      <w:pPr>
        <w:numPr>
          <w:ilvl w:val="0"/>
          <w:numId w:val="0"/>
        </w:numPr>
        <w:autoSpaceDE w:val="0"/>
        <w:autoSpaceDN w:val="0"/>
        <w:adjustRightInd w:val="0"/>
        <w:jc w:val="left"/>
        <w:rPr>
          <w:rFonts w:hint="eastAsia" w:ascii="宋体" w:hAnsi="宋体" w:eastAsia="宋体" w:cs="宋体"/>
          <w:i w:val="0"/>
          <w:color w:val="000000"/>
          <w:kern w:val="0"/>
          <w:sz w:val="32"/>
          <w:szCs w:val="32"/>
          <w:u w:val="none"/>
          <w:lang w:val="en-US" w:eastAsia="zh-CN" w:bidi="ar-SA"/>
        </w:rPr>
        <w:sectPr>
          <w:footerReference r:id="rId3" w:type="default"/>
          <w:footerReference r:id="rId4" w:type="even"/>
          <w:pgSz w:w="16840" w:h="11900" w:orient="landscape"/>
          <w:pgMar w:top="1361" w:right="1020" w:bottom="1361" w:left="1020" w:header="720" w:footer="720" w:gutter="0"/>
          <w:pgNumType w:fmt="decimal" w:start="1"/>
          <w:cols w:space="720" w:num="1"/>
        </w:sect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9、其他需要说明的事项</w:t>
      </w:r>
      <w:bookmarkEnd w:id="0"/>
      <w:bookmarkStart w:id="1" w:name="_Toc_2_2_0000000002"/>
      <w:r>
        <w:rPr>
          <w:rFonts w:hint="eastAsia" w:ascii="仿宋_GB2312" w:hAnsi="仿宋_GB2312" w:eastAsia="仿宋_GB2312" w:cs="仿宋_GB2312"/>
          <w:sz w:val="30"/>
          <w:szCs w:val="30"/>
          <w:lang w:val="en-US" w:eastAsia="zh-CN"/>
        </w:rPr>
        <w:t>.......................................................................25</w:t>
      </w:r>
    </w:p>
    <w:tbl>
      <w:tblPr>
        <w:tblStyle w:val="9"/>
        <w:tblW w:w="1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4038"/>
        <w:gridCol w:w="4049"/>
        <w:gridCol w:w="3236"/>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1"/>
    <w:tbl>
      <w:tblPr>
        <w:tblStyle w:val="9"/>
        <w:tblW w:w="15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0"/>
        <w:gridCol w:w="2200"/>
        <w:gridCol w:w="2139"/>
        <w:gridCol w:w="2181"/>
        <w:gridCol w:w="933"/>
        <w:gridCol w:w="933"/>
        <w:gridCol w:w="888"/>
        <w:gridCol w:w="888"/>
        <w:gridCol w:w="890"/>
        <w:gridCol w:w="891"/>
        <w:gridCol w:w="889"/>
        <w:gridCol w:w="889"/>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2" w:name="_Toc_2_2_0000000003"/>
            <w:r>
              <w:rPr>
                <w:rFonts w:hint="eastAsia" w:ascii="宋体" w:hAnsi="宋体" w:eastAsia="宋体" w:cs="宋体"/>
                <w:i w:val="0"/>
                <w:color w:val="000000"/>
                <w:kern w:val="0"/>
                <w:sz w:val="32"/>
                <w:szCs w:val="32"/>
                <w:u w:val="none"/>
                <w:lang w:val="en-US" w:eastAsia="zh-CN" w:bidi="ar-SA"/>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3"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1"/>
        <w:gridCol w:w="2858"/>
        <w:gridCol w:w="2858"/>
        <w:gridCol w:w="2857"/>
        <w:gridCol w:w="1167"/>
        <w:gridCol w:w="1169"/>
        <w:gridCol w:w="1168"/>
        <w:gridCol w:w="1167"/>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3"/>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2498"/>
        <w:gridCol w:w="1243"/>
        <w:gridCol w:w="2550"/>
        <w:gridCol w:w="735"/>
        <w:gridCol w:w="2370"/>
        <w:gridCol w:w="742"/>
        <w:gridCol w:w="1913"/>
        <w:gridCol w:w="168"/>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73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7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101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1799"/>
        <w:gridCol w:w="2586"/>
        <w:gridCol w:w="2098"/>
        <w:gridCol w:w="1376"/>
        <w:gridCol w:w="1620"/>
        <w:gridCol w:w="1377"/>
        <w:gridCol w:w="3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5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4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7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7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79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842.99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2947"/>
        <w:gridCol w:w="2947"/>
        <w:gridCol w:w="2948"/>
        <w:gridCol w:w="2781"/>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4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7"/>
        <w:gridCol w:w="3949"/>
        <w:gridCol w:w="3884"/>
        <w:gridCol w:w="817"/>
        <w:gridCol w:w="2389"/>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预算年度：2022</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3"/>
        <w:gridCol w:w="3188"/>
        <w:gridCol w:w="3285"/>
        <w:gridCol w:w="2400"/>
        <w:gridCol w:w="2940"/>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预算年度：2022</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5"/>
        <w:gridCol w:w="2271"/>
        <w:gridCol w:w="3338"/>
        <w:gridCol w:w="3222"/>
        <w:gridCol w:w="2685"/>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预算年度：2022</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5" w:type="default"/>
          <w:footerReference r:id="rId6" w:type="even"/>
          <w:pgSz w:w="16840" w:h="11900" w:orient="landscape"/>
          <w:pgMar w:top="1361" w:right="1020" w:bottom="1361" w:left="1020" w:header="720" w:footer="720" w:gutter="0"/>
          <w:pgNumType w:fmt="decimal" w:start="1"/>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涞水县消防救援大队202</w:t>
      </w:r>
      <w:r>
        <w:rPr>
          <w:rFonts w:hint="eastAsia" w:ascii="方正小标宋_GBK" w:hAnsi="宋体" w:eastAsia="方正小标宋_GBK" w:cs="宋体"/>
          <w:bCs/>
          <w:sz w:val="44"/>
          <w:szCs w:val="44"/>
          <w:lang w:val="en-US" w:eastAsia="zh-CN"/>
        </w:rPr>
        <w:t>2</w:t>
      </w:r>
      <w:r>
        <w:rPr>
          <w:rFonts w:hint="eastAsia" w:ascii="方正小标宋_GBK" w:hAnsi="宋体" w:eastAsia="方正小标宋_GBK" w:cs="宋体"/>
          <w:bCs/>
          <w:sz w:val="44"/>
          <w:szCs w:val="44"/>
        </w:rPr>
        <w:t>年部门预算信息公开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spacing w:line="560" w:lineRule="exact"/>
        <w:jc w:val="center"/>
        <w:rPr>
          <w:rFonts w:hint="eastAsia" w:ascii="方正小标宋_GBK" w:hAnsi="宋体" w:eastAsia="方正小标宋_GBK" w:cs="宋体"/>
          <w:bCs/>
          <w:sz w:val="44"/>
          <w:szCs w:val="44"/>
        </w:rPr>
      </w:pPr>
    </w:p>
    <w:p>
      <w:pPr>
        <w:wordWrap/>
        <w:spacing w:after="0" w:afterLines="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11" w:name="_GoBack"/>
      <w:bookmarkEnd w:id="11"/>
      <w:r>
        <w:rPr>
          <w:rFonts w:hint="eastAsia" w:ascii="仿宋_GB2312" w:eastAsia="仿宋_GB2312"/>
          <w:sz w:val="32"/>
          <w:szCs w:val="32"/>
          <w:lang w:eastAsia="zh-CN"/>
        </w:rPr>
        <w:t>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涞水县消防救援大队2022</w:t>
      </w:r>
      <w:r>
        <w:rPr>
          <w:rFonts w:hint="eastAsia" w:ascii="仿宋_GB2312" w:eastAsia="仿宋_GB2312"/>
          <w:sz w:val="32"/>
          <w:szCs w:val="32"/>
        </w:rPr>
        <w:t>年部门预算公开如下：</w:t>
      </w:r>
    </w:p>
    <w:p>
      <w:pPr>
        <w:spacing w:line="560" w:lineRule="exact"/>
        <w:jc w:val="left"/>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一、部门职责、机构设置等基本情况</w:t>
      </w: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1、部门职责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ind w:firstLine="640" w:firstLineChars="200"/>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ind w:firstLine="640" w:firstLineChars="200"/>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ind w:firstLine="640" w:firstLineChars="200"/>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部门机构设置情况</w:t>
      </w:r>
    </w:p>
    <w:tbl>
      <w:tblPr>
        <w:tblStyle w:val="9"/>
        <w:tblW w:w="13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8"/>
        <w:gridCol w:w="1784"/>
        <w:gridCol w:w="1448"/>
        <w:gridCol w:w="2435"/>
        <w:gridCol w:w="958"/>
        <w:gridCol w:w="745"/>
        <w:gridCol w:w="675"/>
        <w:gridCol w:w="641"/>
        <w:gridCol w:w="717"/>
        <w:gridCol w:w="676"/>
        <w:gridCol w:w="646"/>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18"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sz w:val="24"/>
              </w:rPr>
              <w:t>825涞水县消防救援大队</w:t>
            </w:r>
          </w:p>
        </w:tc>
        <w:tc>
          <w:tcPr>
            <w:tcW w:w="4041"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548"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784"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44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435"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95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420"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358"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00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2548"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784"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44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435"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95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spacing w:line="560" w:lineRule="exact"/>
        <w:jc w:val="left"/>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二、部门预算安排总体情况</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1、收入情况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年预算总收入</w:t>
      </w:r>
      <w:r>
        <w:rPr>
          <w:rFonts w:hint="eastAsia" w:ascii="仿宋" w:hAnsi="仿宋" w:eastAsia="仿宋" w:cs="仿宋"/>
          <w:sz w:val="32"/>
          <w:szCs w:val="32"/>
          <w:lang w:val="en-US" w:eastAsia="zh-CN"/>
        </w:rPr>
        <w:t>842.99</w:t>
      </w:r>
      <w:r>
        <w:rPr>
          <w:rFonts w:hint="eastAsia" w:ascii="仿宋" w:hAnsi="仿宋" w:eastAsia="仿宋" w:cs="仿宋"/>
          <w:sz w:val="32"/>
          <w:szCs w:val="32"/>
        </w:rPr>
        <w:t>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842.99万元（</w:t>
      </w:r>
      <w:r>
        <w:rPr>
          <w:rFonts w:hint="eastAsia" w:ascii="仿宋" w:hAnsi="仿宋" w:eastAsia="仿宋" w:cs="仿宋"/>
          <w:sz w:val="32"/>
          <w:szCs w:val="32"/>
        </w:rPr>
        <w:t>财政拨款收入8</w:t>
      </w:r>
      <w:r>
        <w:rPr>
          <w:rFonts w:hint="eastAsia" w:ascii="仿宋" w:hAnsi="仿宋" w:eastAsia="仿宋" w:cs="仿宋"/>
          <w:sz w:val="32"/>
          <w:szCs w:val="32"/>
          <w:lang w:val="en-US" w:eastAsia="zh-CN"/>
        </w:rPr>
        <w:t>30</w:t>
      </w:r>
      <w:r>
        <w:rPr>
          <w:rFonts w:hint="eastAsia" w:ascii="仿宋" w:hAnsi="仿宋" w:eastAsia="仿宋" w:cs="仿宋"/>
          <w:sz w:val="32"/>
          <w:szCs w:val="32"/>
        </w:rPr>
        <w:t>万元，上级一般公共预算安排转移支付收入</w:t>
      </w:r>
      <w:r>
        <w:rPr>
          <w:rFonts w:hint="eastAsia" w:ascii="仿宋" w:hAnsi="仿宋" w:eastAsia="仿宋" w:cs="仿宋"/>
          <w:sz w:val="32"/>
          <w:szCs w:val="32"/>
          <w:lang w:val="en-US" w:eastAsia="zh-CN"/>
        </w:rPr>
        <w:t>12.99</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spacing w:line="56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2、支出情况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全年总支出</w:t>
      </w:r>
      <w:r>
        <w:rPr>
          <w:rFonts w:hint="eastAsia" w:ascii="仿宋" w:hAnsi="仿宋" w:eastAsia="仿宋" w:cs="仿宋"/>
          <w:sz w:val="32"/>
          <w:szCs w:val="32"/>
          <w:lang w:val="en-US" w:eastAsia="zh-CN"/>
        </w:rPr>
        <w:t>842.99</w:t>
      </w:r>
      <w:r>
        <w:rPr>
          <w:rFonts w:hint="eastAsia" w:ascii="仿宋" w:hAnsi="仿宋" w:eastAsia="仿宋" w:cs="仿宋"/>
          <w:sz w:val="32"/>
          <w:szCs w:val="32"/>
        </w:rPr>
        <w:t>万元，其中项目支出</w:t>
      </w:r>
      <w:r>
        <w:rPr>
          <w:rFonts w:hint="eastAsia" w:ascii="仿宋" w:hAnsi="仿宋" w:eastAsia="仿宋" w:cs="仿宋"/>
          <w:sz w:val="32"/>
          <w:szCs w:val="32"/>
          <w:lang w:val="en-US" w:eastAsia="zh-CN"/>
        </w:rPr>
        <w:t>842.99</w:t>
      </w:r>
      <w:r>
        <w:rPr>
          <w:rFonts w:hint="eastAsia" w:ascii="仿宋" w:hAnsi="仿宋" w:eastAsia="仿宋" w:cs="仿宋"/>
          <w:sz w:val="32"/>
          <w:szCs w:val="32"/>
        </w:rPr>
        <w:t>万元。</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比上年增减情况：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与202</w:t>
      </w:r>
      <w:r>
        <w:rPr>
          <w:rFonts w:hint="eastAsia" w:ascii="仿宋" w:hAnsi="仿宋" w:eastAsia="仿宋" w:cs="仿宋"/>
          <w:sz w:val="32"/>
          <w:szCs w:val="32"/>
          <w:lang w:val="en-US" w:eastAsia="zh-CN"/>
        </w:rPr>
        <w:t>1</w:t>
      </w:r>
      <w:r>
        <w:rPr>
          <w:rFonts w:hint="eastAsia" w:ascii="仿宋" w:hAnsi="仿宋" w:eastAsia="仿宋" w:cs="仿宋"/>
          <w:sz w:val="32"/>
          <w:szCs w:val="32"/>
        </w:rPr>
        <w:t>年度相比，我单位预算总收入</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62.09</w:t>
      </w:r>
      <w:r>
        <w:rPr>
          <w:rFonts w:hint="eastAsia" w:ascii="仿宋" w:hAnsi="仿宋" w:eastAsia="仿宋" w:cs="仿宋"/>
          <w:sz w:val="32"/>
          <w:szCs w:val="32"/>
        </w:rPr>
        <w:t>万元，项目支出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62.09</w:t>
      </w:r>
      <w:r>
        <w:rPr>
          <w:rFonts w:hint="eastAsia" w:ascii="仿宋" w:hAnsi="仿宋" w:eastAsia="仿宋" w:cs="仿宋"/>
          <w:sz w:val="32"/>
          <w:szCs w:val="32"/>
        </w:rPr>
        <w:t>万元</w:t>
      </w:r>
      <w:r>
        <w:rPr>
          <w:rFonts w:hint="eastAsia" w:ascii="仿宋" w:hAnsi="仿宋" w:eastAsia="仿宋" w:cs="仿宋"/>
          <w:sz w:val="32"/>
          <w:szCs w:val="32"/>
          <w:lang w:eastAsia="zh-CN"/>
        </w:rPr>
        <w:t>，主要是减少了“智慧消防建设”等项目支出</w:t>
      </w:r>
      <w:r>
        <w:rPr>
          <w:rFonts w:hint="eastAsia" w:ascii="仿宋" w:hAnsi="仿宋" w:eastAsia="仿宋" w:cs="仿宋"/>
          <w:sz w:val="32"/>
          <w:szCs w:val="32"/>
        </w:rPr>
        <w:t>。</w:t>
      </w: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我部门，</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190万元。</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四、202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年一般公共预算拨款“三公”经费预算情况</w:t>
      </w:r>
    </w:p>
    <w:p>
      <w:pPr>
        <w:ind w:firstLine="627" w:firstLineChars="196"/>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2022年我部门无三公经费预算，空表列示。</w:t>
      </w:r>
    </w:p>
    <w:tbl>
      <w:tblPr>
        <w:tblStyle w:val="9"/>
        <w:tblpPr w:leftFromText="180" w:rightFromText="180" w:vertAnchor="text" w:horzAnchor="page" w:tblpX="2624" w:tblpY="402"/>
        <w:tblOverlap w:val="never"/>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1706"/>
        <w:gridCol w:w="1612"/>
        <w:gridCol w:w="1311"/>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170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202</w:t>
            </w:r>
            <w:r>
              <w:rPr>
                <w:rFonts w:hint="eastAsia" w:ascii="宋体" w:hAnsi="宋体" w:eastAsia="宋体" w:cs="宋体"/>
                <w:sz w:val="22"/>
                <w:szCs w:val="22"/>
                <w:lang w:val="en-US" w:eastAsia="zh-CN"/>
              </w:rPr>
              <w:t>2</w:t>
            </w:r>
            <w:r>
              <w:rPr>
                <w:rFonts w:hint="eastAsia" w:ascii="宋体" w:hAnsi="宋体" w:eastAsia="宋体" w:cs="宋体"/>
                <w:sz w:val="22"/>
                <w:szCs w:val="22"/>
              </w:rPr>
              <w:t>年度预算</w:t>
            </w:r>
          </w:p>
        </w:tc>
        <w:tc>
          <w:tcPr>
            <w:tcW w:w="161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2021年度预算</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增减金额</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170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61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170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61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170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12"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170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12"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0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170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612"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311"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963"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560" w:lineRule="exact"/>
        <w:jc w:val="lef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p>
    <w:p>
      <w:pPr>
        <w:spacing w:line="560" w:lineRule="exact"/>
        <w:jc w:val="left"/>
        <w:rPr>
          <w:rFonts w:hint="eastAsia" w:ascii="仿宋_GB2312" w:hAnsi="仿宋" w:eastAsia="仿宋_GB2312" w:cs="仿宋"/>
          <w:sz w:val="32"/>
          <w:szCs w:val="32"/>
        </w:rPr>
      </w:pPr>
    </w:p>
    <w:p>
      <w:pPr>
        <w:spacing w:line="560" w:lineRule="exact"/>
        <w:jc w:val="left"/>
        <w:rPr>
          <w:rFonts w:hint="eastAsia" w:ascii="仿宋_GB2312" w:hAnsi="仿宋" w:eastAsia="仿宋_GB2312" w:cs="仿宋"/>
          <w:sz w:val="32"/>
          <w:szCs w:val="32"/>
        </w:rPr>
      </w:pPr>
    </w:p>
    <w:p>
      <w:pPr>
        <w:spacing w:line="560" w:lineRule="exact"/>
        <w:jc w:val="left"/>
        <w:rPr>
          <w:rFonts w:hint="eastAsia" w:ascii="仿宋_GB2312" w:hAnsi="仿宋" w:eastAsia="仿宋_GB2312" w:cs="仿宋"/>
          <w:sz w:val="32"/>
          <w:szCs w:val="32"/>
        </w:rPr>
      </w:pPr>
    </w:p>
    <w:p>
      <w:pPr>
        <w:spacing w:line="560" w:lineRule="exact"/>
        <w:jc w:val="left"/>
        <w:rPr>
          <w:rFonts w:hint="eastAsia" w:ascii="仿宋_GB2312" w:hAnsi="仿宋" w:eastAsia="仿宋_GB2312" w:cs="仿宋"/>
          <w:sz w:val="32"/>
          <w:szCs w:val="32"/>
        </w:rPr>
      </w:pPr>
    </w:p>
    <w:p>
      <w:pPr>
        <w:spacing w:line="560" w:lineRule="exact"/>
        <w:jc w:val="left"/>
        <w:rPr>
          <w:rFonts w:hint="eastAsia" w:ascii="仿宋_GB2312" w:hAnsi="仿宋" w:eastAsia="仿宋_GB2312" w:cs="仿宋"/>
          <w:b/>
          <w:bCs/>
          <w:sz w:val="32"/>
          <w:szCs w:val="32"/>
        </w:rPr>
      </w:pPr>
      <w:r>
        <w:rPr>
          <w:rFonts w:hint="eastAsia" w:ascii="黑体" w:hAnsi="黑体" w:eastAsia="黑体" w:cs="黑体"/>
          <w:b w:val="0"/>
          <w:bCs w:val="0"/>
          <w:sz w:val="32"/>
          <w:szCs w:val="32"/>
        </w:rPr>
        <w:t>五、绩效预算信息情况</w:t>
      </w:r>
    </w:p>
    <w:p>
      <w:pPr>
        <w:ind w:firstLine="640" w:firstLineChars="200"/>
        <w:jc w:val="left"/>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以习近平新时代中国特色社会主义思想为指导，全面贯彻落实党的十九大和十九届二中、三中、四中、五中</w:t>
      </w:r>
      <w:r>
        <w:rPr>
          <w:rFonts w:hint="eastAsia" w:ascii="仿宋_GB2312" w:eastAsia="仿宋_GB2312"/>
          <w:sz w:val="32"/>
          <w:szCs w:val="32"/>
          <w:lang w:eastAsia="zh-CN"/>
        </w:rPr>
        <w:t>、六中</w:t>
      </w:r>
      <w:r>
        <w:rPr>
          <w:rFonts w:hint="eastAsia" w:ascii="仿宋_GB2312" w:eastAsia="仿宋_GB2312"/>
          <w:sz w:val="32"/>
          <w:szCs w:val="32"/>
        </w:rPr>
        <w:t>全会精神,深入贯彻习近平总书记重要训词精神和应急管理重要论述，以高质量发展为主题，以改革创新为根本动力，以防范化解重大安全风险为主线，以专项整治三年行动集中攻坚为抓手，以满足人民日益增长的安全需要为根本目的，加快进消防治理体系和治理能力现代化，努力实现改革政策全面落地、工作机制全面优化、专业能力全面提升、职能作用全面凸显、基层基础全面夯实“五个全面”的发展目标，全力保护人民群众生命财产安全和维护社会稳定，为建设宜居宜业宜游新涞水创造良好的消防安全环境。</w:t>
      </w:r>
    </w:p>
    <w:p>
      <w:pPr>
        <w:spacing w:line="500" w:lineRule="exact"/>
        <w:ind w:firstLine="640" w:firstLineChars="200"/>
        <w:jc w:val="left"/>
        <w:outlineLvl w:val="1"/>
        <w:rPr>
          <w:rFonts w:hAnsi="宋体"/>
          <w:sz w:val="32"/>
          <w:szCs w:val="32"/>
        </w:rPr>
      </w:pPr>
      <w:r>
        <w:rPr>
          <w:rFonts w:hint="eastAsia" w:ascii="楷体" w:hAnsi="楷体" w:eastAsia="楷体" w:cs="楷体"/>
          <w:sz w:val="32"/>
          <w:szCs w:val="32"/>
        </w:rPr>
        <w:t>（二）分项绩效目标</w:t>
      </w:r>
    </w:p>
    <w:p>
      <w:pPr>
        <w:ind w:firstLine="643" w:firstLineChars="200"/>
        <w:rPr>
          <w:rFonts w:hint="eastAsia" w:ascii="仿宋_GB2312" w:eastAsia="仿宋_GB2312"/>
          <w:sz w:val="32"/>
          <w:szCs w:val="32"/>
        </w:rPr>
      </w:pPr>
      <w:r>
        <w:rPr>
          <w:rFonts w:hint="eastAsia" w:ascii="仿宋_GB2312" w:eastAsia="仿宋_GB2312"/>
          <w:b/>
          <w:bCs/>
          <w:sz w:val="32"/>
          <w:szCs w:val="32"/>
        </w:rPr>
        <w:t>1、加强消防安全综合监管</w:t>
      </w:r>
    </w:p>
    <w:p>
      <w:pPr>
        <w:ind w:firstLine="640" w:firstLineChars="200"/>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ind w:firstLine="640" w:firstLineChars="200"/>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ind w:firstLine="640" w:firstLineChars="200"/>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ind w:firstLine="640" w:firstLineChars="200"/>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ind w:firstLine="643" w:firstLineChars="200"/>
        <w:rPr>
          <w:rFonts w:ascii="仿宋_GB2312" w:eastAsia="仿宋_GB2312"/>
          <w:sz w:val="32"/>
          <w:szCs w:val="32"/>
        </w:rPr>
      </w:pPr>
      <w:r>
        <w:rPr>
          <w:rFonts w:hint="eastAsia" w:ascii="仿宋_GB2312" w:eastAsia="仿宋_GB2312"/>
          <w:b/>
          <w:bCs/>
          <w:sz w:val="32"/>
          <w:szCs w:val="32"/>
        </w:rPr>
        <w:t>3、加强消防宣传教育培训工作</w:t>
      </w:r>
    </w:p>
    <w:p>
      <w:pPr>
        <w:ind w:firstLine="640" w:firstLineChars="200"/>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ind w:firstLine="640" w:firstLineChars="200"/>
        <w:rPr>
          <w:rFonts w:eastAsia="方正仿宋_GBK"/>
          <w:sz w:val="28"/>
        </w:rPr>
      </w:pPr>
      <w:r>
        <w:rPr>
          <w:rFonts w:hint="eastAsia" w:ascii="仿宋_GB2312" w:eastAsia="仿宋_GB2312"/>
          <w:sz w:val="32"/>
          <w:szCs w:val="32"/>
        </w:rPr>
        <w:t>绩效指标：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spacing w:line="500" w:lineRule="exact"/>
        <w:ind w:firstLine="640" w:firstLineChars="200"/>
        <w:jc w:val="left"/>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ind w:firstLine="643" w:firstLineChars="200"/>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ind w:firstLine="643" w:firstLineChars="200"/>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ind w:firstLine="643" w:firstLineChars="200"/>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ind w:firstLine="643" w:firstLineChars="200"/>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按要求开展上年度部门预算绩效自评和重点评价工作，对评价中发现的问题及时整改，调整优化支出结构，提高财政资金使用效益。</w:t>
      </w:r>
    </w:p>
    <w:p>
      <w:pPr>
        <w:ind w:firstLine="643" w:firstLineChars="200"/>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仿宋" w:hAnsi="仿宋" w:eastAsia="仿宋" w:cs="仿宋"/>
          <w:sz w:val="32"/>
          <w:szCs w:val="32"/>
        </w:rPr>
      </w:pPr>
      <w:r>
        <w:rPr>
          <w:rFonts w:hint="eastAsia" w:ascii="楷体" w:hAnsi="楷体" w:eastAsia="楷体" w:cs="楷体"/>
          <w:b w:val="0"/>
          <w:bCs/>
          <w:sz w:val="32"/>
          <w:szCs w:val="32"/>
        </w:rPr>
        <w:t>（四）项目绩效目标</w:t>
      </w:r>
    </w:p>
    <w:p>
      <w:pPr>
        <w:spacing w:before="0" w:after="0"/>
        <w:ind w:firstLine="560"/>
        <w:jc w:val="left"/>
        <w:outlineLvl w:val="3"/>
      </w:pPr>
      <w:bookmarkStart w:id="4" w:name="_Toc_4_4_0000000004"/>
      <w:r>
        <w:rPr>
          <w:rFonts w:ascii="方正仿宋_GBK" w:hAnsi="方正仿宋_GBK" w:eastAsia="方正仿宋_GBK" w:cs="方正仿宋_GBK"/>
          <w:color w:val="000000"/>
          <w:sz w:val="28"/>
        </w:rPr>
        <w:t>1.2022年“智慧消防”运营维护费绩效目标表</w:t>
      </w:r>
      <w:bookmarkEnd w:id="4"/>
    </w:p>
    <w:tbl>
      <w:tblPr>
        <w:tblStyle w:val="9"/>
        <w:tblW w:w="148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2"/>
        <w:gridCol w:w="2052"/>
        <w:gridCol w:w="2052"/>
        <w:gridCol w:w="2052"/>
        <w:gridCol w:w="2051"/>
        <w:gridCol w:w="1"/>
        <w:gridCol w:w="2057"/>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12317" w:type="dxa"/>
            <w:gridSpan w:val="7"/>
            <w:tcBorders>
              <w:top w:val="single" w:color="FFFFFF" w:sz="6" w:space="0"/>
              <w:left w:val="single" w:color="FFFFFF" w:sz="6" w:space="0"/>
              <w:right w:val="single" w:color="FFFFFF" w:sz="6" w:space="0"/>
            </w:tcBorders>
            <w:vAlign w:val="center"/>
          </w:tcPr>
          <w:p>
            <w:pPr>
              <w:pStyle w:val="22"/>
            </w:pPr>
            <w:r>
              <w:t>825涞水县消防救援大队本级</w:t>
            </w:r>
          </w:p>
        </w:tc>
        <w:tc>
          <w:tcPr>
            <w:tcW w:w="2582" w:type="dxa"/>
            <w:tcBorders>
              <w:top w:val="single" w:color="FFFFFF" w:sz="6" w:space="0"/>
              <w:left w:val="single" w:color="FFFFFF" w:sz="6" w:space="0"/>
              <w:right w:val="single" w:color="FFFFFF" w:sz="6" w:space="0"/>
            </w:tcBorders>
            <w:vAlign w:val="center"/>
          </w:tcPr>
          <w:p>
            <w:pPr>
              <w:pStyle w:val="17"/>
              <w:jc w:val="both"/>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052" w:type="dxa"/>
            <w:vAlign w:val="center"/>
          </w:tcPr>
          <w:p>
            <w:pPr>
              <w:pStyle w:val="16"/>
            </w:pPr>
            <w:r>
              <w:t>项目编码</w:t>
            </w:r>
          </w:p>
        </w:tc>
        <w:tc>
          <w:tcPr>
            <w:tcW w:w="4104" w:type="dxa"/>
            <w:gridSpan w:val="2"/>
            <w:vAlign w:val="center"/>
          </w:tcPr>
          <w:p>
            <w:pPr>
              <w:pStyle w:val="18"/>
            </w:pPr>
            <w:r>
              <w:t>13062322P007659100013</w:t>
            </w:r>
          </w:p>
        </w:tc>
        <w:tc>
          <w:tcPr>
            <w:tcW w:w="2052" w:type="dxa"/>
            <w:vAlign w:val="center"/>
          </w:tcPr>
          <w:p>
            <w:pPr>
              <w:pStyle w:val="16"/>
            </w:pPr>
            <w:r>
              <w:t>项目名称</w:t>
            </w:r>
          </w:p>
        </w:tc>
        <w:tc>
          <w:tcPr>
            <w:tcW w:w="6691" w:type="dxa"/>
            <w:gridSpan w:val="4"/>
            <w:vAlign w:val="center"/>
          </w:tcPr>
          <w:p>
            <w:pPr>
              <w:pStyle w:val="18"/>
            </w:pPr>
            <w:r>
              <w:t>2022年“智慧消防”运营维护费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052" w:type="dxa"/>
            <w:vMerge w:val="restart"/>
            <w:vAlign w:val="center"/>
          </w:tcPr>
          <w:p>
            <w:pPr>
              <w:pStyle w:val="16"/>
            </w:pPr>
            <w:r>
              <w:t>预算规模及资金用途</w:t>
            </w:r>
          </w:p>
        </w:tc>
        <w:tc>
          <w:tcPr>
            <w:tcW w:w="2052" w:type="dxa"/>
            <w:vAlign w:val="center"/>
          </w:tcPr>
          <w:p>
            <w:pPr>
              <w:pStyle w:val="16"/>
            </w:pPr>
            <w:r>
              <w:t>预算数</w:t>
            </w:r>
          </w:p>
        </w:tc>
        <w:tc>
          <w:tcPr>
            <w:tcW w:w="2052" w:type="dxa"/>
            <w:vAlign w:val="center"/>
          </w:tcPr>
          <w:p>
            <w:pPr>
              <w:pStyle w:val="18"/>
            </w:pPr>
            <w:r>
              <w:t>47.00</w:t>
            </w:r>
          </w:p>
        </w:tc>
        <w:tc>
          <w:tcPr>
            <w:tcW w:w="2052" w:type="dxa"/>
            <w:vAlign w:val="center"/>
          </w:tcPr>
          <w:p>
            <w:pPr>
              <w:pStyle w:val="16"/>
            </w:pPr>
            <w:r>
              <w:t>其中：财政    资金</w:t>
            </w:r>
          </w:p>
        </w:tc>
        <w:tc>
          <w:tcPr>
            <w:tcW w:w="2051" w:type="dxa"/>
            <w:vAlign w:val="center"/>
          </w:tcPr>
          <w:p>
            <w:pPr>
              <w:pStyle w:val="18"/>
            </w:pPr>
            <w:r>
              <w:t>47.00</w:t>
            </w:r>
          </w:p>
        </w:tc>
        <w:tc>
          <w:tcPr>
            <w:tcW w:w="2058" w:type="dxa"/>
            <w:gridSpan w:val="2"/>
            <w:vAlign w:val="center"/>
          </w:tcPr>
          <w:p>
            <w:pPr>
              <w:pStyle w:val="16"/>
            </w:pPr>
            <w:r>
              <w:t>其他资金</w:t>
            </w:r>
          </w:p>
        </w:tc>
        <w:tc>
          <w:tcPr>
            <w:tcW w:w="258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052" w:type="dxa"/>
            <w:vMerge w:val="continue"/>
            <w:vAlign w:val="top"/>
          </w:tcPr>
          <w:p/>
        </w:tc>
        <w:tc>
          <w:tcPr>
            <w:tcW w:w="12847" w:type="dxa"/>
            <w:gridSpan w:val="7"/>
            <w:vAlign w:val="center"/>
          </w:tcPr>
          <w:p>
            <w:pPr>
              <w:pStyle w:val="18"/>
            </w:pPr>
            <w:r>
              <w:t>全面提升我县社会火灾防控能力、灭火应急救援能力，实现“传统消防”向“现代化消防”转变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052" w:type="dxa"/>
            <w:vMerge w:val="restart"/>
            <w:vAlign w:val="center"/>
          </w:tcPr>
          <w:p>
            <w:pPr>
              <w:pStyle w:val="16"/>
            </w:pPr>
            <w:r>
              <w:t>资金支出计划（%）</w:t>
            </w:r>
          </w:p>
        </w:tc>
        <w:tc>
          <w:tcPr>
            <w:tcW w:w="4104" w:type="dxa"/>
            <w:gridSpan w:val="2"/>
            <w:vAlign w:val="center"/>
          </w:tcPr>
          <w:p>
            <w:pPr>
              <w:pStyle w:val="16"/>
            </w:pPr>
            <w:r>
              <w:t>3月底</w:t>
            </w:r>
          </w:p>
        </w:tc>
        <w:tc>
          <w:tcPr>
            <w:tcW w:w="2052" w:type="dxa"/>
            <w:vAlign w:val="center"/>
          </w:tcPr>
          <w:p>
            <w:pPr>
              <w:pStyle w:val="16"/>
            </w:pPr>
            <w:r>
              <w:t>6月底</w:t>
            </w:r>
          </w:p>
        </w:tc>
        <w:tc>
          <w:tcPr>
            <w:tcW w:w="2052" w:type="dxa"/>
            <w:gridSpan w:val="2"/>
            <w:vAlign w:val="center"/>
          </w:tcPr>
          <w:p>
            <w:pPr>
              <w:pStyle w:val="16"/>
            </w:pPr>
            <w:r>
              <w:t>10月底</w:t>
            </w:r>
          </w:p>
        </w:tc>
        <w:tc>
          <w:tcPr>
            <w:tcW w:w="463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052" w:type="dxa"/>
            <w:vMerge w:val="continue"/>
            <w:vAlign w:val="top"/>
          </w:tcPr>
          <w:p/>
        </w:tc>
        <w:tc>
          <w:tcPr>
            <w:tcW w:w="4104" w:type="dxa"/>
            <w:gridSpan w:val="2"/>
            <w:vAlign w:val="center"/>
          </w:tcPr>
          <w:p>
            <w:pPr>
              <w:pStyle w:val="19"/>
            </w:pPr>
            <w:r>
              <w:t>30%</w:t>
            </w:r>
          </w:p>
        </w:tc>
        <w:tc>
          <w:tcPr>
            <w:tcW w:w="2052" w:type="dxa"/>
            <w:vAlign w:val="center"/>
          </w:tcPr>
          <w:p>
            <w:pPr>
              <w:pStyle w:val="19"/>
            </w:pPr>
            <w:r>
              <w:t>60%</w:t>
            </w:r>
          </w:p>
        </w:tc>
        <w:tc>
          <w:tcPr>
            <w:tcW w:w="2052" w:type="dxa"/>
            <w:gridSpan w:val="2"/>
            <w:vAlign w:val="center"/>
          </w:tcPr>
          <w:p>
            <w:pPr>
              <w:pStyle w:val="19"/>
            </w:pPr>
            <w:r>
              <w:t>80%</w:t>
            </w:r>
          </w:p>
        </w:tc>
        <w:tc>
          <w:tcPr>
            <w:tcW w:w="463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2052" w:type="dxa"/>
            <w:vAlign w:val="center"/>
          </w:tcPr>
          <w:p>
            <w:pPr>
              <w:pStyle w:val="16"/>
            </w:pPr>
            <w:r>
              <w:t>绩效目标</w:t>
            </w:r>
          </w:p>
        </w:tc>
        <w:tc>
          <w:tcPr>
            <w:tcW w:w="12847" w:type="dxa"/>
            <w:gridSpan w:val="7"/>
            <w:vAlign w:val="center"/>
          </w:tcPr>
          <w:p>
            <w:pPr>
              <w:pStyle w:val="18"/>
            </w:pPr>
            <w:r>
              <w:t>1.通过实施本项目，保障智慧消防设备及监控得到正常运营维护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4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5"/>
        <w:gridCol w:w="2036"/>
        <w:gridCol w:w="2721"/>
        <w:gridCol w:w="3385"/>
        <w:gridCol w:w="2035"/>
        <w:gridCol w:w="2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2035" w:type="dxa"/>
            <w:vAlign w:val="center"/>
          </w:tcPr>
          <w:p>
            <w:pPr>
              <w:pStyle w:val="16"/>
            </w:pPr>
            <w:r>
              <w:t>一级指标</w:t>
            </w:r>
          </w:p>
        </w:tc>
        <w:tc>
          <w:tcPr>
            <w:tcW w:w="2036" w:type="dxa"/>
            <w:vAlign w:val="center"/>
          </w:tcPr>
          <w:p>
            <w:pPr>
              <w:pStyle w:val="16"/>
            </w:pPr>
            <w:r>
              <w:t>二级指标</w:t>
            </w:r>
          </w:p>
        </w:tc>
        <w:tc>
          <w:tcPr>
            <w:tcW w:w="2721" w:type="dxa"/>
            <w:vAlign w:val="center"/>
          </w:tcPr>
          <w:p>
            <w:pPr>
              <w:pStyle w:val="16"/>
            </w:pPr>
            <w:r>
              <w:t>三级指标</w:t>
            </w:r>
          </w:p>
        </w:tc>
        <w:tc>
          <w:tcPr>
            <w:tcW w:w="3385" w:type="dxa"/>
            <w:vAlign w:val="center"/>
          </w:tcPr>
          <w:p>
            <w:pPr>
              <w:pStyle w:val="16"/>
            </w:pPr>
            <w:r>
              <w:t>绩效指标描述</w:t>
            </w:r>
          </w:p>
        </w:tc>
        <w:tc>
          <w:tcPr>
            <w:tcW w:w="2035" w:type="dxa"/>
            <w:vAlign w:val="center"/>
          </w:tcPr>
          <w:p>
            <w:pPr>
              <w:pStyle w:val="16"/>
            </w:pPr>
            <w:r>
              <w:t>指标值</w:t>
            </w:r>
          </w:p>
        </w:tc>
        <w:tc>
          <w:tcPr>
            <w:tcW w:w="258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35" w:type="dxa"/>
            <w:vMerge w:val="restart"/>
            <w:vAlign w:val="center"/>
          </w:tcPr>
          <w:p>
            <w:pPr>
              <w:pStyle w:val="19"/>
            </w:pPr>
            <w:r>
              <w:t>产出指标</w:t>
            </w:r>
          </w:p>
        </w:tc>
        <w:tc>
          <w:tcPr>
            <w:tcW w:w="2036" w:type="dxa"/>
            <w:vAlign w:val="center"/>
          </w:tcPr>
          <w:p>
            <w:pPr>
              <w:pStyle w:val="18"/>
            </w:pPr>
            <w:r>
              <w:t>数量指标</w:t>
            </w:r>
          </w:p>
        </w:tc>
        <w:tc>
          <w:tcPr>
            <w:tcW w:w="2721" w:type="dxa"/>
            <w:vAlign w:val="center"/>
          </w:tcPr>
          <w:p>
            <w:pPr>
              <w:pStyle w:val="18"/>
            </w:pPr>
            <w:r>
              <w:t>智慧消防运营服务单位数量</w:t>
            </w:r>
          </w:p>
        </w:tc>
        <w:tc>
          <w:tcPr>
            <w:tcW w:w="3385" w:type="dxa"/>
            <w:vAlign w:val="center"/>
          </w:tcPr>
          <w:p>
            <w:pPr>
              <w:pStyle w:val="18"/>
            </w:pPr>
            <w:r>
              <w:t>需运营服务单位40家</w:t>
            </w:r>
          </w:p>
        </w:tc>
        <w:tc>
          <w:tcPr>
            <w:tcW w:w="2035" w:type="dxa"/>
            <w:vAlign w:val="center"/>
          </w:tcPr>
          <w:p>
            <w:pPr>
              <w:pStyle w:val="18"/>
            </w:pPr>
            <w:r>
              <w:t>≥40家</w:t>
            </w:r>
          </w:p>
        </w:tc>
        <w:tc>
          <w:tcPr>
            <w:tcW w:w="2585" w:type="dxa"/>
            <w:vAlign w:val="center"/>
          </w:tcPr>
          <w:p>
            <w:pPr>
              <w:pStyle w:val="18"/>
            </w:pPr>
            <w:r>
              <w:t>项目结算说明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35" w:type="dxa"/>
            <w:vMerge w:val="continue"/>
            <w:vAlign w:val="center"/>
          </w:tcPr>
          <w:p/>
        </w:tc>
        <w:tc>
          <w:tcPr>
            <w:tcW w:w="2036" w:type="dxa"/>
            <w:vAlign w:val="center"/>
          </w:tcPr>
          <w:p>
            <w:pPr>
              <w:pStyle w:val="18"/>
            </w:pPr>
            <w:r>
              <w:t>质量指标</w:t>
            </w:r>
          </w:p>
        </w:tc>
        <w:tc>
          <w:tcPr>
            <w:tcW w:w="2721" w:type="dxa"/>
            <w:vAlign w:val="center"/>
          </w:tcPr>
          <w:p>
            <w:pPr>
              <w:pStyle w:val="18"/>
            </w:pPr>
            <w:r>
              <w:t>远程监控平台运营服务</w:t>
            </w:r>
          </w:p>
        </w:tc>
        <w:tc>
          <w:tcPr>
            <w:tcW w:w="3385" w:type="dxa"/>
            <w:vAlign w:val="center"/>
          </w:tcPr>
          <w:p>
            <w:pPr>
              <w:pStyle w:val="18"/>
            </w:pPr>
            <w:r>
              <w:t>远程监控平台运营服务验收合格率</w:t>
            </w:r>
          </w:p>
        </w:tc>
        <w:tc>
          <w:tcPr>
            <w:tcW w:w="2035" w:type="dxa"/>
            <w:vAlign w:val="center"/>
          </w:tcPr>
          <w:p>
            <w:pPr>
              <w:pStyle w:val="18"/>
            </w:pPr>
            <w:r>
              <w:t>≥95百分比</w:t>
            </w:r>
          </w:p>
        </w:tc>
        <w:tc>
          <w:tcPr>
            <w:tcW w:w="2585" w:type="dxa"/>
            <w:vAlign w:val="center"/>
          </w:tcPr>
          <w:p>
            <w:pPr>
              <w:pStyle w:val="18"/>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35" w:type="dxa"/>
            <w:vMerge w:val="continue"/>
            <w:vAlign w:val="center"/>
          </w:tcPr>
          <w:p/>
        </w:tc>
        <w:tc>
          <w:tcPr>
            <w:tcW w:w="2036" w:type="dxa"/>
            <w:vAlign w:val="center"/>
          </w:tcPr>
          <w:p>
            <w:pPr>
              <w:pStyle w:val="18"/>
            </w:pPr>
            <w:r>
              <w:t>时效指标</w:t>
            </w:r>
          </w:p>
        </w:tc>
        <w:tc>
          <w:tcPr>
            <w:tcW w:w="2721" w:type="dxa"/>
            <w:vAlign w:val="center"/>
          </w:tcPr>
          <w:p>
            <w:pPr>
              <w:pStyle w:val="18"/>
            </w:pPr>
            <w:r>
              <w:t>运营服务及时性</w:t>
            </w:r>
          </w:p>
        </w:tc>
        <w:tc>
          <w:tcPr>
            <w:tcW w:w="3385" w:type="dxa"/>
            <w:vAlign w:val="center"/>
          </w:tcPr>
          <w:p>
            <w:pPr>
              <w:pStyle w:val="18"/>
            </w:pPr>
            <w:r>
              <w:t>对平台项目设备进行及时监控维护</w:t>
            </w:r>
          </w:p>
        </w:tc>
        <w:tc>
          <w:tcPr>
            <w:tcW w:w="2035" w:type="dxa"/>
            <w:vAlign w:val="center"/>
          </w:tcPr>
          <w:p>
            <w:pPr>
              <w:pStyle w:val="18"/>
            </w:pPr>
            <w:r>
              <w:t>≥95百分比</w:t>
            </w:r>
          </w:p>
        </w:tc>
        <w:tc>
          <w:tcPr>
            <w:tcW w:w="2585" w:type="dxa"/>
            <w:vAlign w:val="center"/>
          </w:tcPr>
          <w:p>
            <w:pPr>
              <w:pStyle w:val="18"/>
            </w:pPr>
            <w:r>
              <w:t>运营服务要求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2035" w:type="dxa"/>
            <w:vMerge w:val="continue"/>
            <w:vAlign w:val="center"/>
          </w:tcPr>
          <w:p/>
        </w:tc>
        <w:tc>
          <w:tcPr>
            <w:tcW w:w="2036" w:type="dxa"/>
            <w:vAlign w:val="center"/>
          </w:tcPr>
          <w:p>
            <w:pPr>
              <w:pStyle w:val="18"/>
            </w:pPr>
            <w:r>
              <w:t>成本指标</w:t>
            </w:r>
          </w:p>
        </w:tc>
        <w:tc>
          <w:tcPr>
            <w:tcW w:w="2721" w:type="dxa"/>
            <w:vAlign w:val="center"/>
          </w:tcPr>
          <w:p>
            <w:pPr>
              <w:pStyle w:val="18"/>
            </w:pPr>
            <w:r>
              <w:t>预算控制数</w:t>
            </w:r>
          </w:p>
        </w:tc>
        <w:tc>
          <w:tcPr>
            <w:tcW w:w="3385" w:type="dxa"/>
            <w:vAlign w:val="center"/>
          </w:tcPr>
          <w:p>
            <w:pPr>
              <w:pStyle w:val="18"/>
            </w:pPr>
            <w:r>
              <w:t>每年运营维护费用</w:t>
            </w:r>
          </w:p>
        </w:tc>
        <w:tc>
          <w:tcPr>
            <w:tcW w:w="2035" w:type="dxa"/>
            <w:vAlign w:val="center"/>
          </w:tcPr>
          <w:p>
            <w:pPr>
              <w:pStyle w:val="18"/>
            </w:pPr>
            <w:r>
              <w:t>47万元</w:t>
            </w:r>
          </w:p>
        </w:tc>
        <w:tc>
          <w:tcPr>
            <w:tcW w:w="2585" w:type="dxa"/>
            <w:vAlign w:val="center"/>
          </w:tcPr>
          <w:p>
            <w:pPr>
              <w:pStyle w:val="18"/>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35" w:type="dxa"/>
            <w:vAlign w:val="center"/>
          </w:tcPr>
          <w:p>
            <w:pPr>
              <w:pStyle w:val="19"/>
            </w:pPr>
            <w:r>
              <w:t>效益指标</w:t>
            </w:r>
          </w:p>
        </w:tc>
        <w:tc>
          <w:tcPr>
            <w:tcW w:w="2036" w:type="dxa"/>
            <w:vAlign w:val="center"/>
          </w:tcPr>
          <w:p>
            <w:pPr>
              <w:pStyle w:val="18"/>
            </w:pPr>
            <w:r>
              <w:t>社会效益指标</w:t>
            </w:r>
          </w:p>
        </w:tc>
        <w:tc>
          <w:tcPr>
            <w:tcW w:w="2721" w:type="dxa"/>
            <w:vAlign w:val="center"/>
          </w:tcPr>
          <w:p>
            <w:pPr>
              <w:pStyle w:val="18"/>
            </w:pPr>
            <w:r>
              <w:t>智慧消防运营服务满足需要</w:t>
            </w:r>
          </w:p>
        </w:tc>
        <w:tc>
          <w:tcPr>
            <w:tcW w:w="3385" w:type="dxa"/>
            <w:vAlign w:val="center"/>
          </w:tcPr>
          <w:p>
            <w:pPr>
              <w:pStyle w:val="18"/>
            </w:pPr>
            <w:r>
              <w:t>智慧消防运营服务满足需要</w:t>
            </w:r>
          </w:p>
        </w:tc>
        <w:tc>
          <w:tcPr>
            <w:tcW w:w="2035" w:type="dxa"/>
            <w:vAlign w:val="center"/>
          </w:tcPr>
          <w:p>
            <w:pPr>
              <w:pStyle w:val="18"/>
            </w:pPr>
            <w:r>
              <w:t>≥95百分比</w:t>
            </w:r>
          </w:p>
        </w:tc>
        <w:tc>
          <w:tcPr>
            <w:tcW w:w="2585" w:type="dxa"/>
            <w:vAlign w:val="center"/>
          </w:tcPr>
          <w:p>
            <w:pPr>
              <w:pStyle w:val="18"/>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35" w:type="dxa"/>
            <w:vAlign w:val="center"/>
          </w:tcPr>
          <w:p>
            <w:pPr>
              <w:pStyle w:val="19"/>
            </w:pPr>
            <w:r>
              <w:t>满意度指标</w:t>
            </w:r>
          </w:p>
        </w:tc>
        <w:tc>
          <w:tcPr>
            <w:tcW w:w="2036" w:type="dxa"/>
            <w:vAlign w:val="center"/>
          </w:tcPr>
          <w:p>
            <w:pPr>
              <w:pStyle w:val="18"/>
            </w:pPr>
            <w:r>
              <w:t>服务对象满意度指标</w:t>
            </w:r>
          </w:p>
        </w:tc>
        <w:tc>
          <w:tcPr>
            <w:tcW w:w="2721" w:type="dxa"/>
            <w:vAlign w:val="center"/>
          </w:tcPr>
          <w:p>
            <w:pPr>
              <w:pStyle w:val="18"/>
            </w:pPr>
            <w:r>
              <w:t>使用人员满意度</w:t>
            </w:r>
          </w:p>
        </w:tc>
        <w:tc>
          <w:tcPr>
            <w:tcW w:w="3385" w:type="dxa"/>
            <w:vAlign w:val="center"/>
          </w:tcPr>
          <w:p>
            <w:pPr>
              <w:pStyle w:val="18"/>
            </w:pPr>
            <w:r>
              <w:t>使用人员满意度</w:t>
            </w:r>
          </w:p>
        </w:tc>
        <w:tc>
          <w:tcPr>
            <w:tcW w:w="2035" w:type="dxa"/>
            <w:vAlign w:val="center"/>
          </w:tcPr>
          <w:p>
            <w:pPr>
              <w:pStyle w:val="18"/>
            </w:pPr>
            <w:r>
              <w:t>≥95百分比</w:t>
            </w:r>
          </w:p>
        </w:tc>
        <w:tc>
          <w:tcPr>
            <w:tcW w:w="258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5"/>
      <w:r>
        <w:rPr>
          <w:rFonts w:ascii="方正仿宋_GBK" w:hAnsi="方正仿宋_GBK" w:eastAsia="方正仿宋_GBK" w:cs="方正仿宋_GBK"/>
          <w:color w:val="000000"/>
          <w:sz w:val="28"/>
        </w:rPr>
        <w:t>2.2022年消防大队6名指战员2021-2022年改革性补贴（县级财政补助部分）绩效目标表</w:t>
      </w:r>
      <w:bookmarkEnd w:id="5"/>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t>825涞水县消防救援大队本级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13062322P00765410001N</w:t>
            </w:r>
          </w:p>
        </w:tc>
        <w:tc>
          <w:tcPr>
            <w:tcW w:w="2194" w:type="dxa"/>
            <w:vAlign w:val="center"/>
          </w:tcPr>
          <w:p>
            <w:pPr>
              <w:pStyle w:val="16"/>
            </w:pPr>
            <w:r>
              <w:t>项目名称</w:t>
            </w:r>
          </w:p>
        </w:tc>
        <w:tc>
          <w:tcPr>
            <w:tcW w:w="6585" w:type="dxa"/>
            <w:gridSpan w:val="4"/>
            <w:vAlign w:val="center"/>
          </w:tcPr>
          <w:p>
            <w:pPr>
              <w:pStyle w:val="18"/>
            </w:pPr>
            <w:r>
              <w:t>2022年消防大队6名指战员2021-2022年改革性补贴（县级财政补助部分）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16.00</w:t>
            </w:r>
          </w:p>
        </w:tc>
        <w:tc>
          <w:tcPr>
            <w:tcW w:w="2194" w:type="dxa"/>
            <w:vAlign w:val="center"/>
          </w:tcPr>
          <w:p>
            <w:pPr>
              <w:pStyle w:val="16"/>
            </w:pPr>
            <w:r>
              <w:t>其中：财政    资金</w:t>
            </w:r>
          </w:p>
        </w:tc>
        <w:tc>
          <w:tcPr>
            <w:tcW w:w="2195" w:type="dxa"/>
            <w:gridSpan w:val="2"/>
            <w:vAlign w:val="center"/>
          </w:tcPr>
          <w:p>
            <w:pPr>
              <w:pStyle w:val="18"/>
            </w:pPr>
            <w:r>
              <w:t>16.00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专项用于2021-2022年常驻我县消防救援队伍人员改革性补贴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1.通过实施本项目，落实《国家综合性消防救援队伍工资政策方案》、河北省《国家综合性消防队救援队伍经费管理暂行规定》实施细则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发放2021-2022年县级补贴金额</w:t>
            </w:r>
          </w:p>
        </w:tc>
        <w:tc>
          <w:tcPr>
            <w:tcW w:w="4389" w:type="dxa"/>
            <w:vAlign w:val="center"/>
          </w:tcPr>
          <w:p>
            <w:pPr>
              <w:pStyle w:val="18"/>
            </w:pPr>
            <w:r>
              <w:t>发放6名消防指战员2021-2022年县级补贴金额</w:t>
            </w:r>
          </w:p>
        </w:tc>
        <w:tc>
          <w:tcPr>
            <w:tcW w:w="2195" w:type="dxa"/>
            <w:vAlign w:val="center"/>
          </w:tcPr>
          <w:p>
            <w:pPr>
              <w:pStyle w:val="18"/>
            </w:pPr>
            <w:r>
              <w:t>16万元</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补贴标准执行准确率</w:t>
            </w:r>
          </w:p>
        </w:tc>
        <w:tc>
          <w:tcPr>
            <w:tcW w:w="4389" w:type="dxa"/>
            <w:vAlign w:val="center"/>
          </w:tcPr>
          <w:p>
            <w:pPr>
              <w:pStyle w:val="18"/>
            </w:pPr>
            <w:r>
              <w:t>补贴标准执行准确率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按照时限发放完成</w:t>
            </w:r>
          </w:p>
        </w:tc>
        <w:tc>
          <w:tcPr>
            <w:tcW w:w="4389" w:type="dxa"/>
            <w:vAlign w:val="center"/>
          </w:tcPr>
          <w:p>
            <w:pPr>
              <w:pStyle w:val="18"/>
            </w:pPr>
            <w:r>
              <w:t>补贴发放按时限完成率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补贴成本</w:t>
            </w:r>
          </w:p>
        </w:tc>
        <w:tc>
          <w:tcPr>
            <w:tcW w:w="4389" w:type="dxa"/>
            <w:vAlign w:val="center"/>
          </w:tcPr>
          <w:p>
            <w:pPr>
              <w:pStyle w:val="18"/>
            </w:pPr>
            <w:r>
              <w:t>补贴成本</w:t>
            </w:r>
          </w:p>
        </w:tc>
        <w:tc>
          <w:tcPr>
            <w:tcW w:w="2195" w:type="dxa"/>
            <w:vAlign w:val="center"/>
          </w:tcPr>
          <w:p>
            <w:pPr>
              <w:pStyle w:val="18"/>
            </w:pPr>
            <w:r>
              <w:t>≥16万元</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落实消防救援队伍人员经费保障制度</w:t>
            </w:r>
          </w:p>
        </w:tc>
        <w:tc>
          <w:tcPr>
            <w:tcW w:w="4389" w:type="dxa"/>
            <w:vAlign w:val="center"/>
          </w:tcPr>
          <w:p>
            <w:pPr>
              <w:pStyle w:val="18"/>
            </w:pPr>
            <w:r>
              <w:t>按政策规定落实消防队救援队伍人员经费保障制度</w:t>
            </w:r>
          </w:p>
        </w:tc>
        <w:tc>
          <w:tcPr>
            <w:tcW w:w="2195" w:type="dxa"/>
            <w:vAlign w:val="center"/>
          </w:tcPr>
          <w:p>
            <w:pPr>
              <w:pStyle w:val="18"/>
            </w:pPr>
            <w:r>
              <w:t>100百分比</w:t>
            </w:r>
          </w:p>
        </w:tc>
        <w:tc>
          <w:tcPr>
            <w:tcW w:w="2195" w:type="dxa"/>
            <w:vAlign w:val="center"/>
          </w:tcPr>
          <w:p>
            <w:pPr>
              <w:pStyle w:val="18"/>
            </w:pPr>
            <w:r>
              <w:t>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消防指战员满意度</w:t>
            </w:r>
          </w:p>
        </w:tc>
        <w:tc>
          <w:tcPr>
            <w:tcW w:w="4389" w:type="dxa"/>
            <w:vAlign w:val="center"/>
          </w:tcPr>
          <w:p>
            <w:pPr>
              <w:pStyle w:val="18"/>
            </w:pPr>
            <w:r>
              <w:t>消防指战员满意度</w:t>
            </w:r>
          </w:p>
        </w:tc>
        <w:tc>
          <w:tcPr>
            <w:tcW w:w="2195"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6"/>
      <w:r>
        <w:rPr>
          <w:rFonts w:ascii="方正仿宋_GBK" w:hAnsi="方正仿宋_GBK" w:eastAsia="方正仿宋_GBK" w:cs="方正仿宋_GBK"/>
          <w:color w:val="000000"/>
          <w:sz w:val="28"/>
        </w:rPr>
        <w:t>3.2022年消防大队车辆保障经费绩效目标表</w:t>
      </w:r>
      <w:bookmarkEnd w:id="6"/>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t>825涞水县消防救援大队本级</w:t>
            </w:r>
          </w:p>
        </w:tc>
        <w:tc>
          <w:tcPr>
            <w:tcW w:w="2195" w:type="dxa"/>
            <w:tcBorders>
              <w:top w:val="single" w:color="FFFFFF" w:sz="6" w:space="0"/>
              <w:left w:val="single" w:color="FFFFFF" w:sz="6" w:space="0"/>
              <w:right w:val="single" w:color="FFFFFF" w:sz="6" w:space="0"/>
            </w:tcBorders>
            <w:vAlign w:val="center"/>
          </w:tcPr>
          <w:p>
            <w:pPr>
              <w:pStyle w:val="17"/>
              <w:jc w:val="both"/>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13062322P00763810001Y</w:t>
            </w:r>
          </w:p>
        </w:tc>
        <w:tc>
          <w:tcPr>
            <w:tcW w:w="2194" w:type="dxa"/>
            <w:vAlign w:val="center"/>
          </w:tcPr>
          <w:p>
            <w:pPr>
              <w:pStyle w:val="16"/>
            </w:pPr>
            <w:r>
              <w:t>项目名称</w:t>
            </w:r>
          </w:p>
        </w:tc>
        <w:tc>
          <w:tcPr>
            <w:tcW w:w="6585" w:type="dxa"/>
            <w:gridSpan w:val="4"/>
            <w:vAlign w:val="center"/>
          </w:tcPr>
          <w:p>
            <w:pPr>
              <w:pStyle w:val="18"/>
            </w:pPr>
            <w:r>
              <w:t>2022年消防大队车辆保障经费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60.00</w:t>
            </w:r>
          </w:p>
        </w:tc>
        <w:tc>
          <w:tcPr>
            <w:tcW w:w="2194" w:type="dxa"/>
            <w:vAlign w:val="center"/>
          </w:tcPr>
          <w:p>
            <w:pPr>
              <w:pStyle w:val="16"/>
            </w:pPr>
            <w:r>
              <w:t>其中：财政    资金</w:t>
            </w:r>
          </w:p>
        </w:tc>
        <w:tc>
          <w:tcPr>
            <w:tcW w:w="2195" w:type="dxa"/>
            <w:gridSpan w:val="2"/>
            <w:vAlign w:val="center"/>
          </w:tcPr>
          <w:p>
            <w:pPr>
              <w:pStyle w:val="18"/>
            </w:pPr>
            <w:r>
              <w:t>60.00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用于消防灭火救援及公务用车燃料、维修、保险等支出。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1.为消防用车提供日常维护，保障日常执勤救援及办公活动顺利进行。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3033"/>
        <w:gridCol w:w="4342"/>
        <w:gridCol w:w="1404"/>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3033" w:type="dxa"/>
            <w:vAlign w:val="center"/>
          </w:tcPr>
          <w:p>
            <w:pPr>
              <w:pStyle w:val="16"/>
            </w:pPr>
            <w:r>
              <w:t>三级指标</w:t>
            </w:r>
          </w:p>
        </w:tc>
        <w:tc>
          <w:tcPr>
            <w:tcW w:w="4342" w:type="dxa"/>
            <w:vAlign w:val="center"/>
          </w:tcPr>
          <w:p>
            <w:pPr>
              <w:pStyle w:val="16"/>
            </w:pPr>
            <w:r>
              <w:t>绩效指标描述</w:t>
            </w:r>
          </w:p>
        </w:tc>
        <w:tc>
          <w:tcPr>
            <w:tcW w:w="1404"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3033" w:type="dxa"/>
            <w:vAlign w:val="center"/>
          </w:tcPr>
          <w:p>
            <w:pPr>
              <w:pStyle w:val="18"/>
            </w:pPr>
            <w:r>
              <w:t>消防用车数量</w:t>
            </w:r>
          </w:p>
        </w:tc>
        <w:tc>
          <w:tcPr>
            <w:tcW w:w="4342" w:type="dxa"/>
            <w:vAlign w:val="center"/>
          </w:tcPr>
          <w:p>
            <w:pPr>
              <w:pStyle w:val="18"/>
            </w:pPr>
            <w:r>
              <w:t>灭火消防车11辆，专勤消防车4辆，举高消防车1辆</w:t>
            </w:r>
          </w:p>
        </w:tc>
        <w:tc>
          <w:tcPr>
            <w:tcW w:w="1404" w:type="dxa"/>
            <w:vAlign w:val="center"/>
          </w:tcPr>
          <w:p>
            <w:pPr>
              <w:pStyle w:val="18"/>
            </w:pPr>
            <w:r>
              <w:t>≥16辆</w:t>
            </w:r>
          </w:p>
        </w:tc>
        <w:tc>
          <w:tcPr>
            <w:tcW w:w="2195" w:type="dxa"/>
            <w:vAlign w:val="center"/>
          </w:tcPr>
          <w:p>
            <w:pPr>
              <w:pStyle w:val="18"/>
            </w:pPr>
            <w:r>
              <w:t>政策规定及工作需要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3033" w:type="dxa"/>
            <w:vAlign w:val="center"/>
          </w:tcPr>
          <w:p>
            <w:pPr>
              <w:pStyle w:val="18"/>
            </w:pPr>
            <w:r>
              <w:t>消防车辆日常维护覆盖率</w:t>
            </w:r>
          </w:p>
        </w:tc>
        <w:tc>
          <w:tcPr>
            <w:tcW w:w="4342" w:type="dxa"/>
            <w:vAlign w:val="center"/>
          </w:tcPr>
          <w:p>
            <w:pPr>
              <w:pStyle w:val="18"/>
            </w:pPr>
            <w:r>
              <w:t>消防车辆日常工作维护覆盖率</w:t>
            </w:r>
          </w:p>
        </w:tc>
        <w:tc>
          <w:tcPr>
            <w:tcW w:w="1404" w:type="dxa"/>
            <w:vAlign w:val="center"/>
          </w:tcPr>
          <w:p>
            <w:pPr>
              <w:pStyle w:val="18"/>
            </w:pPr>
            <w:r>
              <w:t>100百分比</w:t>
            </w:r>
          </w:p>
        </w:tc>
        <w:tc>
          <w:tcPr>
            <w:tcW w:w="2195" w:type="dxa"/>
            <w:vAlign w:val="center"/>
          </w:tcPr>
          <w:p>
            <w:pPr>
              <w:pStyle w:val="18"/>
            </w:pPr>
            <w:r>
              <w:t>政策规定及工作需要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3033" w:type="dxa"/>
            <w:vAlign w:val="center"/>
          </w:tcPr>
          <w:p>
            <w:pPr>
              <w:pStyle w:val="18"/>
            </w:pPr>
            <w:r>
              <w:t>经费保障及时性</w:t>
            </w:r>
          </w:p>
        </w:tc>
        <w:tc>
          <w:tcPr>
            <w:tcW w:w="4342" w:type="dxa"/>
            <w:vAlign w:val="center"/>
          </w:tcPr>
          <w:p>
            <w:pPr>
              <w:pStyle w:val="18"/>
            </w:pPr>
            <w:r>
              <w:t>及时保障车辆日常执勤办公需要</w:t>
            </w:r>
          </w:p>
        </w:tc>
        <w:tc>
          <w:tcPr>
            <w:tcW w:w="1404" w:type="dxa"/>
            <w:vAlign w:val="center"/>
          </w:tcPr>
          <w:p>
            <w:pPr>
              <w:pStyle w:val="18"/>
            </w:pPr>
            <w:r>
              <w:t>100百分比</w:t>
            </w:r>
          </w:p>
        </w:tc>
        <w:tc>
          <w:tcPr>
            <w:tcW w:w="2195" w:type="dxa"/>
            <w:vAlign w:val="center"/>
          </w:tcPr>
          <w:p>
            <w:pPr>
              <w:pStyle w:val="18"/>
            </w:pPr>
            <w:r>
              <w:t>政策规定及工作需要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3033" w:type="dxa"/>
            <w:vAlign w:val="center"/>
          </w:tcPr>
          <w:p>
            <w:pPr>
              <w:pStyle w:val="18"/>
            </w:pPr>
            <w:r>
              <w:t>消防用车日常维护经费</w:t>
            </w:r>
          </w:p>
        </w:tc>
        <w:tc>
          <w:tcPr>
            <w:tcW w:w="4342" w:type="dxa"/>
            <w:vAlign w:val="center"/>
          </w:tcPr>
          <w:p>
            <w:pPr>
              <w:pStyle w:val="18"/>
            </w:pPr>
            <w:r>
              <w:t>消防用车日常维护经费</w:t>
            </w:r>
          </w:p>
        </w:tc>
        <w:tc>
          <w:tcPr>
            <w:tcW w:w="1404" w:type="dxa"/>
            <w:vAlign w:val="center"/>
          </w:tcPr>
          <w:p>
            <w:pPr>
              <w:pStyle w:val="18"/>
            </w:pPr>
            <w:r>
              <w:t>≥60万元</w:t>
            </w:r>
          </w:p>
        </w:tc>
        <w:tc>
          <w:tcPr>
            <w:tcW w:w="2195" w:type="dxa"/>
            <w:vAlign w:val="center"/>
          </w:tcPr>
          <w:p>
            <w:pPr>
              <w:pStyle w:val="18"/>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pPr>
            <w:r>
              <w:t>社会效益指标</w:t>
            </w:r>
          </w:p>
        </w:tc>
        <w:tc>
          <w:tcPr>
            <w:tcW w:w="3033" w:type="dxa"/>
            <w:vAlign w:val="center"/>
          </w:tcPr>
          <w:p>
            <w:pPr>
              <w:pStyle w:val="18"/>
            </w:pPr>
            <w:r>
              <w:t>保障救援任务及日常办公需要</w:t>
            </w:r>
          </w:p>
        </w:tc>
        <w:tc>
          <w:tcPr>
            <w:tcW w:w="4342" w:type="dxa"/>
            <w:vAlign w:val="center"/>
          </w:tcPr>
          <w:p>
            <w:pPr>
              <w:pStyle w:val="18"/>
            </w:pPr>
            <w:r>
              <w:t>保障救援任务及日常办公需要</w:t>
            </w:r>
          </w:p>
        </w:tc>
        <w:tc>
          <w:tcPr>
            <w:tcW w:w="1404" w:type="dxa"/>
            <w:vAlign w:val="center"/>
          </w:tcPr>
          <w:p>
            <w:pPr>
              <w:pStyle w:val="18"/>
            </w:pPr>
            <w:r>
              <w:t>≥95百分比</w:t>
            </w:r>
          </w:p>
        </w:tc>
        <w:tc>
          <w:tcPr>
            <w:tcW w:w="2195" w:type="dxa"/>
            <w:vAlign w:val="center"/>
          </w:tcPr>
          <w:p>
            <w:pPr>
              <w:pStyle w:val="18"/>
            </w:pPr>
            <w:r>
              <w:t>参照历年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3033" w:type="dxa"/>
            <w:vAlign w:val="center"/>
          </w:tcPr>
          <w:p>
            <w:pPr>
              <w:pStyle w:val="18"/>
            </w:pPr>
            <w:r>
              <w:t>群众对救援行动的满意度</w:t>
            </w:r>
          </w:p>
        </w:tc>
        <w:tc>
          <w:tcPr>
            <w:tcW w:w="4342" w:type="dxa"/>
            <w:vAlign w:val="center"/>
          </w:tcPr>
          <w:p>
            <w:pPr>
              <w:pStyle w:val="18"/>
            </w:pPr>
            <w:r>
              <w:t>群众对救援行动的满意度</w:t>
            </w:r>
          </w:p>
        </w:tc>
        <w:tc>
          <w:tcPr>
            <w:tcW w:w="1404"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7"/>
      <w:r>
        <w:rPr>
          <w:rFonts w:ascii="方正仿宋_GBK" w:hAnsi="方正仿宋_GBK" w:eastAsia="方正仿宋_GBK" w:cs="方正仿宋_GBK"/>
          <w:color w:val="000000"/>
          <w:sz w:val="28"/>
        </w:rPr>
        <w:t>4.2022年消防大队人员保障经费（人员工资、保险、伙食费、被装费）绩效目标表</w:t>
      </w:r>
      <w:bookmarkEnd w:id="7"/>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t>825涞水县消防救援大队本级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13062322P007631100017</w:t>
            </w:r>
          </w:p>
        </w:tc>
        <w:tc>
          <w:tcPr>
            <w:tcW w:w="2194" w:type="dxa"/>
            <w:vAlign w:val="center"/>
          </w:tcPr>
          <w:p>
            <w:pPr>
              <w:pStyle w:val="16"/>
            </w:pPr>
            <w:r>
              <w:t>项目名称</w:t>
            </w:r>
          </w:p>
        </w:tc>
        <w:tc>
          <w:tcPr>
            <w:tcW w:w="6585" w:type="dxa"/>
            <w:gridSpan w:val="4"/>
            <w:vAlign w:val="center"/>
          </w:tcPr>
          <w:p>
            <w:pPr>
              <w:pStyle w:val="18"/>
            </w:pPr>
            <w:r>
              <w:t>2022年消防大队人员保障经费（人员工资、保险、伙食费、被装费）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517.00</w:t>
            </w:r>
          </w:p>
        </w:tc>
        <w:tc>
          <w:tcPr>
            <w:tcW w:w="2194" w:type="dxa"/>
            <w:vAlign w:val="center"/>
          </w:tcPr>
          <w:p>
            <w:pPr>
              <w:pStyle w:val="16"/>
            </w:pPr>
            <w:r>
              <w:t>其中：财政    资金</w:t>
            </w:r>
          </w:p>
        </w:tc>
        <w:tc>
          <w:tcPr>
            <w:tcW w:w="2195" w:type="dxa"/>
            <w:gridSpan w:val="2"/>
            <w:vAlign w:val="center"/>
          </w:tcPr>
          <w:p>
            <w:pPr>
              <w:pStyle w:val="18"/>
            </w:pPr>
            <w:r>
              <w:t>517.00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保障消防大队人员经费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1.通过实施本项目，落实保定市政府专职消防员工资量化保障指导标准，保障人员经费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劳务派遣人员数量</w:t>
            </w:r>
          </w:p>
        </w:tc>
        <w:tc>
          <w:tcPr>
            <w:tcW w:w="4389" w:type="dxa"/>
            <w:vAlign w:val="center"/>
          </w:tcPr>
          <w:p>
            <w:pPr>
              <w:pStyle w:val="18"/>
            </w:pPr>
            <w:r>
              <w:t>专职消防员及文员、职工数量</w:t>
            </w:r>
          </w:p>
        </w:tc>
        <w:tc>
          <w:tcPr>
            <w:tcW w:w="2195" w:type="dxa"/>
            <w:vAlign w:val="center"/>
          </w:tcPr>
          <w:p>
            <w:pPr>
              <w:pStyle w:val="18"/>
            </w:pPr>
            <w:r>
              <w:t>75人</w:t>
            </w:r>
          </w:p>
        </w:tc>
        <w:tc>
          <w:tcPr>
            <w:tcW w:w="2195"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工资、补贴、被装发放及时率和伙食保障率</w:t>
            </w:r>
          </w:p>
        </w:tc>
        <w:tc>
          <w:tcPr>
            <w:tcW w:w="4389" w:type="dxa"/>
            <w:vAlign w:val="center"/>
          </w:tcPr>
          <w:p>
            <w:pPr>
              <w:pStyle w:val="18"/>
            </w:pPr>
            <w:r>
              <w:t>工资、补贴、被装发放和伙食保障率</w:t>
            </w:r>
          </w:p>
        </w:tc>
        <w:tc>
          <w:tcPr>
            <w:tcW w:w="2195" w:type="dxa"/>
            <w:vAlign w:val="center"/>
          </w:tcPr>
          <w:p>
            <w:pPr>
              <w:pStyle w:val="18"/>
            </w:pPr>
            <w:r>
              <w:t>100百分比</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工资、补贴、被装发放时间</w:t>
            </w:r>
          </w:p>
        </w:tc>
        <w:tc>
          <w:tcPr>
            <w:tcW w:w="4389" w:type="dxa"/>
            <w:vAlign w:val="center"/>
          </w:tcPr>
          <w:p>
            <w:pPr>
              <w:pStyle w:val="18"/>
            </w:pPr>
            <w:r>
              <w:t>工资、补贴、被装发放时间及时率</w:t>
            </w:r>
          </w:p>
        </w:tc>
        <w:tc>
          <w:tcPr>
            <w:tcW w:w="2195" w:type="dxa"/>
            <w:vAlign w:val="center"/>
          </w:tcPr>
          <w:p>
            <w:pPr>
              <w:pStyle w:val="18"/>
            </w:pPr>
            <w:r>
              <w:t>2022年</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消防大队人员保障经费</w:t>
            </w:r>
          </w:p>
        </w:tc>
        <w:tc>
          <w:tcPr>
            <w:tcW w:w="4389" w:type="dxa"/>
            <w:vAlign w:val="center"/>
          </w:tcPr>
          <w:p>
            <w:pPr>
              <w:pStyle w:val="18"/>
            </w:pPr>
            <w:r>
              <w:t>2022年消防大队人员保障经费</w:t>
            </w:r>
          </w:p>
        </w:tc>
        <w:tc>
          <w:tcPr>
            <w:tcW w:w="2195" w:type="dxa"/>
            <w:vAlign w:val="center"/>
          </w:tcPr>
          <w:p>
            <w:pPr>
              <w:pStyle w:val="18"/>
            </w:pPr>
            <w:r>
              <w:t>≥517元</w:t>
            </w:r>
          </w:p>
        </w:tc>
        <w:tc>
          <w:tcPr>
            <w:tcW w:w="2195"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落实人员经费保障</w:t>
            </w:r>
          </w:p>
        </w:tc>
        <w:tc>
          <w:tcPr>
            <w:tcW w:w="4389" w:type="dxa"/>
            <w:vAlign w:val="center"/>
          </w:tcPr>
          <w:p>
            <w:pPr>
              <w:pStyle w:val="18"/>
            </w:pPr>
            <w:r>
              <w:t>按照政策规定落实人员经费保障</w:t>
            </w:r>
          </w:p>
        </w:tc>
        <w:tc>
          <w:tcPr>
            <w:tcW w:w="2195" w:type="dxa"/>
            <w:vAlign w:val="center"/>
          </w:tcPr>
          <w:p>
            <w:pPr>
              <w:pStyle w:val="18"/>
            </w:pPr>
            <w:r>
              <w:t>≥95百分比</w:t>
            </w:r>
          </w:p>
        </w:tc>
        <w:tc>
          <w:tcPr>
            <w:tcW w:w="2195"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可持续影响指标</w:t>
            </w:r>
          </w:p>
        </w:tc>
        <w:tc>
          <w:tcPr>
            <w:tcW w:w="2195" w:type="dxa"/>
            <w:vAlign w:val="center"/>
          </w:tcPr>
          <w:p>
            <w:pPr>
              <w:pStyle w:val="18"/>
            </w:pPr>
            <w:r>
              <w:t>政策延续性</w:t>
            </w:r>
          </w:p>
        </w:tc>
        <w:tc>
          <w:tcPr>
            <w:tcW w:w="4389" w:type="dxa"/>
            <w:vAlign w:val="center"/>
          </w:tcPr>
          <w:p>
            <w:pPr>
              <w:pStyle w:val="18"/>
            </w:pPr>
            <w:r>
              <w:t>政策延续性</w:t>
            </w:r>
          </w:p>
        </w:tc>
        <w:tc>
          <w:tcPr>
            <w:tcW w:w="2195" w:type="dxa"/>
            <w:vAlign w:val="center"/>
          </w:tcPr>
          <w:p>
            <w:pPr>
              <w:pStyle w:val="18"/>
            </w:pPr>
            <w:r>
              <w:t>100长期</w:t>
            </w:r>
          </w:p>
        </w:tc>
        <w:tc>
          <w:tcPr>
            <w:tcW w:w="2195"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消防人员满意度</w:t>
            </w:r>
          </w:p>
        </w:tc>
        <w:tc>
          <w:tcPr>
            <w:tcW w:w="4389" w:type="dxa"/>
            <w:vAlign w:val="center"/>
          </w:tcPr>
          <w:p>
            <w:pPr>
              <w:pStyle w:val="18"/>
            </w:pPr>
            <w:r>
              <w:t>专职消防队员及文员、职工满意度</w:t>
            </w:r>
          </w:p>
        </w:tc>
        <w:tc>
          <w:tcPr>
            <w:tcW w:w="2195" w:type="dxa"/>
            <w:vAlign w:val="center"/>
          </w:tcPr>
          <w:p>
            <w:pPr>
              <w:pStyle w:val="18"/>
            </w:pPr>
            <w:r>
              <w:t>≥95百分比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8"/>
      <w:r>
        <w:rPr>
          <w:rFonts w:ascii="方正仿宋_GBK" w:hAnsi="方正仿宋_GBK" w:eastAsia="方正仿宋_GBK" w:cs="方正仿宋_GBK"/>
          <w:color w:val="000000"/>
          <w:sz w:val="28"/>
        </w:rPr>
        <w:t>5.2022年消防大队业务保障经费（基本公用支出）绩效目标表</w:t>
      </w:r>
      <w:bookmarkEnd w:id="8"/>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2194"/>
        <w:gridCol w:w="1"/>
        <w:gridCol w:w="2194"/>
        <w:gridCol w:w="2195"/>
        <w:gridCol w:w="21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69" w:type="dxa"/>
            <w:gridSpan w:val="7"/>
            <w:tcBorders>
              <w:top w:val="single" w:color="FFFFFF" w:sz="6" w:space="0"/>
              <w:left w:val="single" w:color="FFFFFF" w:sz="6" w:space="0"/>
              <w:right w:val="single" w:color="FFFFFF" w:sz="6" w:space="0"/>
            </w:tcBorders>
            <w:vAlign w:val="center"/>
          </w:tcPr>
          <w:p>
            <w:pPr>
              <w:pStyle w:val="22"/>
            </w:pPr>
            <w:r>
              <w:t>825涞水县消防救援大队本级</w:t>
            </w:r>
          </w:p>
        </w:tc>
        <w:tc>
          <w:tcPr>
            <w:tcW w:w="219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pPr>
            <w:r>
              <w:t>13062322P00763310001J</w:t>
            </w:r>
          </w:p>
        </w:tc>
        <w:tc>
          <w:tcPr>
            <w:tcW w:w="2194" w:type="dxa"/>
            <w:vAlign w:val="center"/>
          </w:tcPr>
          <w:p>
            <w:pPr>
              <w:pStyle w:val="16"/>
            </w:pPr>
            <w:r>
              <w:t>项目名称</w:t>
            </w:r>
          </w:p>
        </w:tc>
        <w:tc>
          <w:tcPr>
            <w:tcW w:w="6585" w:type="dxa"/>
            <w:gridSpan w:val="4"/>
            <w:vAlign w:val="center"/>
          </w:tcPr>
          <w:p>
            <w:pPr>
              <w:pStyle w:val="18"/>
            </w:pPr>
            <w:r>
              <w:t>2022年消防大队业务保障经费（基本公用支出）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pPr>
            <w:r>
              <w:t>190.00</w:t>
            </w:r>
          </w:p>
        </w:tc>
        <w:tc>
          <w:tcPr>
            <w:tcW w:w="2194" w:type="dxa"/>
            <w:vAlign w:val="center"/>
          </w:tcPr>
          <w:p>
            <w:pPr>
              <w:pStyle w:val="16"/>
            </w:pPr>
            <w:r>
              <w:t>其中：财政    资金</w:t>
            </w:r>
          </w:p>
        </w:tc>
        <w:tc>
          <w:tcPr>
            <w:tcW w:w="2195" w:type="dxa"/>
            <w:gridSpan w:val="2"/>
            <w:vAlign w:val="center"/>
          </w:tcPr>
          <w:p>
            <w:pPr>
              <w:pStyle w:val="18"/>
            </w:pPr>
            <w:r>
              <w:t>190.00</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7"/>
            <w:vAlign w:val="center"/>
          </w:tcPr>
          <w:p>
            <w:pPr>
              <w:pStyle w:val="18"/>
            </w:pPr>
            <w:r>
              <w:t>基本支出（经常性、消耗性支出），主要包括：直接用于消防业务的印刷费、水电费、取暖费、物业费、专用材料费等。75人业务保障经费合计190万元。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gridSpan w:val="2"/>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pPr>
            <w:r>
              <w:t>30%</w:t>
            </w:r>
          </w:p>
        </w:tc>
        <w:tc>
          <w:tcPr>
            <w:tcW w:w="2195" w:type="dxa"/>
            <w:gridSpan w:val="2"/>
            <w:vAlign w:val="center"/>
          </w:tcPr>
          <w:p>
            <w:pPr>
              <w:pStyle w:val="19"/>
            </w:pPr>
            <w:r>
              <w:t>60%</w:t>
            </w:r>
          </w:p>
        </w:tc>
        <w:tc>
          <w:tcPr>
            <w:tcW w:w="2194" w:type="dxa"/>
            <w:vAlign w:val="center"/>
          </w:tcPr>
          <w:p>
            <w:pPr>
              <w:pStyle w:val="19"/>
            </w:pPr>
            <w:r>
              <w:t>80%</w:t>
            </w:r>
          </w:p>
        </w:tc>
        <w:tc>
          <w:tcPr>
            <w:tcW w:w="439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7"/>
            <w:vAlign w:val="center"/>
          </w:tcPr>
          <w:p>
            <w:pPr>
              <w:pStyle w:val="18"/>
            </w:pPr>
            <w:r>
              <w:t>1.通过实施本项目，保障消防大队日常工作正常运转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195"/>
        <w:gridCol w:w="2195"/>
        <w:gridCol w:w="4389"/>
        <w:gridCol w:w="2195"/>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pPr>
            <w:r>
              <w:t>数量指标</w:t>
            </w:r>
          </w:p>
        </w:tc>
        <w:tc>
          <w:tcPr>
            <w:tcW w:w="2195" w:type="dxa"/>
            <w:vAlign w:val="center"/>
          </w:tcPr>
          <w:p>
            <w:pPr>
              <w:pStyle w:val="18"/>
            </w:pPr>
            <w:r>
              <w:t>保障办公人数</w:t>
            </w:r>
          </w:p>
        </w:tc>
        <w:tc>
          <w:tcPr>
            <w:tcW w:w="4389" w:type="dxa"/>
            <w:vAlign w:val="center"/>
          </w:tcPr>
          <w:p>
            <w:pPr>
              <w:pStyle w:val="18"/>
            </w:pPr>
            <w:r>
              <w:t>保障专职人员、文员办公人数</w:t>
            </w:r>
          </w:p>
        </w:tc>
        <w:tc>
          <w:tcPr>
            <w:tcW w:w="2195" w:type="dxa"/>
            <w:vAlign w:val="center"/>
          </w:tcPr>
          <w:p>
            <w:pPr>
              <w:pStyle w:val="18"/>
            </w:pPr>
            <w:r>
              <w:t>75人</w:t>
            </w:r>
          </w:p>
        </w:tc>
        <w:tc>
          <w:tcPr>
            <w:tcW w:w="2195"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质量指标</w:t>
            </w:r>
          </w:p>
        </w:tc>
        <w:tc>
          <w:tcPr>
            <w:tcW w:w="2195" w:type="dxa"/>
            <w:vAlign w:val="center"/>
          </w:tcPr>
          <w:p>
            <w:pPr>
              <w:pStyle w:val="18"/>
            </w:pPr>
            <w:r>
              <w:t>运转保障率</w:t>
            </w:r>
          </w:p>
        </w:tc>
        <w:tc>
          <w:tcPr>
            <w:tcW w:w="4389" w:type="dxa"/>
            <w:vAlign w:val="center"/>
          </w:tcPr>
          <w:p>
            <w:pPr>
              <w:pStyle w:val="18"/>
            </w:pPr>
            <w:r>
              <w:t>各项日常工作保障率</w:t>
            </w:r>
          </w:p>
        </w:tc>
        <w:tc>
          <w:tcPr>
            <w:tcW w:w="2195" w:type="dxa"/>
            <w:vAlign w:val="center"/>
          </w:tcPr>
          <w:p>
            <w:pPr>
              <w:pStyle w:val="18"/>
            </w:pPr>
            <w:r>
              <w:t>100百分比</w:t>
            </w:r>
          </w:p>
        </w:tc>
        <w:tc>
          <w:tcPr>
            <w:tcW w:w="2195" w:type="dxa"/>
            <w:vAlign w:val="center"/>
          </w:tcPr>
          <w:p>
            <w:pPr>
              <w:pStyle w:val="18"/>
            </w:pPr>
            <w:r>
              <w:t>责任书和政策规定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时效指标</w:t>
            </w:r>
          </w:p>
        </w:tc>
        <w:tc>
          <w:tcPr>
            <w:tcW w:w="2195" w:type="dxa"/>
            <w:vAlign w:val="center"/>
          </w:tcPr>
          <w:p>
            <w:pPr>
              <w:pStyle w:val="18"/>
            </w:pPr>
            <w:r>
              <w:t>经费保障及时性</w:t>
            </w:r>
          </w:p>
        </w:tc>
        <w:tc>
          <w:tcPr>
            <w:tcW w:w="4389" w:type="dxa"/>
            <w:vAlign w:val="center"/>
          </w:tcPr>
          <w:p>
            <w:pPr>
              <w:pStyle w:val="18"/>
            </w:pPr>
            <w:r>
              <w:t>及时保障各项日常办公需要</w:t>
            </w:r>
          </w:p>
        </w:tc>
        <w:tc>
          <w:tcPr>
            <w:tcW w:w="2195" w:type="dxa"/>
            <w:vAlign w:val="center"/>
          </w:tcPr>
          <w:p>
            <w:pPr>
              <w:pStyle w:val="18"/>
            </w:pPr>
            <w:r>
              <w:t>≥100及时保障</w:t>
            </w:r>
          </w:p>
        </w:tc>
        <w:tc>
          <w:tcPr>
            <w:tcW w:w="2195" w:type="dxa"/>
            <w:vAlign w:val="center"/>
          </w:tcPr>
          <w:p>
            <w:pPr>
              <w:pStyle w:val="18"/>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成本指标</w:t>
            </w:r>
          </w:p>
        </w:tc>
        <w:tc>
          <w:tcPr>
            <w:tcW w:w="2195" w:type="dxa"/>
            <w:vAlign w:val="center"/>
          </w:tcPr>
          <w:p>
            <w:pPr>
              <w:pStyle w:val="18"/>
            </w:pPr>
            <w:r>
              <w:t>日常公用经费开支标准</w:t>
            </w:r>
          </w:p>
        </w:tc>
        <w:tc>
          <w:tcPr>
            <w:tcW w:w="4389" w:type="dxa"/>
            <w:vAlign w:val="center"/>
          </w:tcPr>
          <w:p>
            <w:pPr>
              <w:pStyle w:val="18"/>
            </w:pPr>
            <w:r>
              <w:t>办公费、水电费、印刷费、取暖费、物业管理费、专用材料、专用燃料费等</w:t>
            </w:r>
          </w:p>
        </w:tc>
        <w:tc>
          <w:tcPr>
            <w:tcW w:w="2195" w:type="dxa"/>
            <w:vAlign w:val="center"/>
          </w:tcPr>
          <w:p>
            <w:pPr>
              <w:pStyle w:val="18"/>
            </w:pPr>
            <w:r>
              <w:t>190万元</w:t>
            </w:r>
          </w:p>
        </w:tc>
        <w:tc>
          <w:tcPr>
            <w:tcW w:w="2195" w:type="dxa"/>
            <w:vAlign w:val="center"/>
          </w:tcPr>
          <w:p>
            <w:pPr>
              <w:pStyle w:val="18"/>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效益指标</w:t>
            </w:r>
          </w:p>
        </w:tc>
        <w:tc>
          <w:tcPr>
            <w:tcW w:w="2195" w:type="dxa"/>
            <w:vAlign w:val="center"/>
          </w:tcPr>
          <w:p>
            <w:pPr>
              <w:pStyle w:val="18"/>
            </w:pPr>
            <w:r>
              <w:t>社会效益指标</w:t>
            </w:r>
          </w:p>
        </w:tc>
        <w:tc>
          <w:tcPr>
            <w:tcW w:w="2195" w:type="dxa"/>
            <w:vAlign w:val="center"/>
          </w:tcPr>
          <w:p>
            <w:pPr>
              <w:pStyle w:val="18"/>
            </w:pPr>
            <w:r>
              <w:t>保障日常办公需维持正常运转</w:t>
            </w:r>
          </w:p>
        </w:tc>
        <w:tc>
          <w:tcPr>
            <w:tcW w:w="4389" w:type="dxa"/>
            <w:vAlign w:val="center"/>
          </w:tcPr>
          <w:p>
            <w:pPr>
              <w:pStyle w:val="18"/>
            </w:pPr>
            <w:r>
              <w:t>保障日常办公需要，维持单位正常运转</w:t>
            </w:r>
          </w:p>
        </w:tc>
        <w:tc>
          <w:tcPr>
            <w:tcW w:w="2195" w:type="dxa"/>
            <w:vAlign w:val="center"/>
          </w:tcPr>
          <w:p>
            <w:pPr>
              <w:pStyle w:val="18"/>
            </w:pPr>
            <w:r>
              <w:t>≥90百分比</w:t>
            </w:r>
          </w:p>
        </w:tc>
        <w:tc>
          <w:tcPr>
            <w:tcW w:w="2195" w:type="dxa"/>
            <w:vAlign w:val="center"/>
          </w:tcPr>
          <w:p>
            <w:pPr>
              <w:pStyle w:val="18"/>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pPr>
            <w:r>
              <w:t>可持续影响指标</w:t>
            </w:r>
          </w:p>
        </w:tc>
        <w:tc>
          <w:tcPr>
            <w:tcW w:w="2195" w:type="dxa"/>
            <w:vAlign w:val="center"/>
          </w:tcPr>
          <w:p>
            <w:pPr>
              <w:pStyle w:val="18"/>
            </w:pPr>
            <w:r>
              <w:t>政策延续性</w:t>
            </w:r>
          </w:p>
        </w:tc>
        <w:tc>
          <w:tcPr>
            <w:tcW w:w="4389" w:type="dxa"/>
            <w:vAlign w:val="center"/>
          </w:tcPr>
          <w:p>
            <w:pPr>
              <w:pStyle w:val="18"/>
            </w:pPr>
            <w:r>
              <w:t>政策延续性</w:t>
            </w:r>
          </w:p>
        </w:tc>
        <w:tc>
          <w:tcPr>
            <w:tcW w:w="2195" w:type="dxa"/>
            <w:vAlign w:val="center"/>
          </w:tcPr>
          <w:p>
            <w:pPr>
              <w:pStyle w:val="18"/>
            </w:pPr>
            <w:r>
              <w:t>100百分比</w:t>
            </w:r>
          </w:p>
        </w:tc>
        <w:tc>
          <w:tcPr>
            <w:tcW w:w="2195" w:type="dxa"/>
            <w:vAlign w:val="center"/>
          </w:tcPr>
          <w:p>
            <w:pPr>
              <w:pStyle w:val="18"/>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满意度指标</w:t>
            </w:r>
          </w:p>
        </w:tc>
        <w:tc>
          <w:tcPr>
            <w:tcW w:w="2195" w:type="dxa"/>
            <w:vAlign w:val="center"/>
          </w:tcPr>
          <w:p>
            <w:pPr>
              <w:pStyle w:val="18"/>
            </w:pPr>
            <w:r>
              <w:t>服务对象满意度指标</w:t>
            </w:r>
          </w:p>
        </w:tc>
        <w:tc>
          <w:tcPr>
            <w:tcW w:w="2195" w:type="dxa"/>
            <w:vAlign w:val="center"/>
          </w:tcPr>
          <w:p>
            <w:pPr>
              <w:pStyle w:val="18"/>
            </w:pPr>
            <w:r>
              <w:t>消防工作人员</w:t>
            </w:r>
          </w:p>
        </w:tc>
        <w:tc>
          <w:tcPr>
            <w:tcW w:w="4389" w:type="dxa"/>
            <w:vAlign w:val="center"/>
          </w:tcPr>
          <w:p>
            <w:pPr>
              <w:pStyle w:val="18"/>
            </w:pPr>
            <w:r>
              <w:t>考察消防工作人员满意度</w:t>
            </w:r>
          </w:p>
        </w:tc>
        <w:tc>
          <w:tcPr>
            <w:tcW w:w="2195" w:type="dxa"/>
            <w:vAlign w:val="center"/>
          </w:tcPr>
          <w:p>
            <w:pPr>
              <w:pStyle w:val="18"/>
            </w:pPr>
            <w:r>
              <w:t>≥90百分比</w:t>
            </w:r>
          </w:p>
        </w:tc>
        <w:tc>
          <w:tcPr>
            <w:tcW w:w="2195" w:type="dxa"/>
            <w:vAlign w:val="center"/>
          </w:tcPr>
          <w:p>
            <w:pPr>
              <w:pStyle w:val="18"/>
            </w:pPr>
            <w:r>
              <w:t>调查问卷</w:t>
            </w:r>
          </w:p>
        </w:tc>
      </w:tr>
    </w:tbl>
    <w:p>
      <w:pPr>
        <w:sectPr>
          <w:pgSz w:w="16840" w:h="11900"/>
          <w:pgMar w:top="1304" w:right="1134" w:bottom="1304" w:left="198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09"/>
      <w:r>
        <w:rPr>
          <w:rFonts w:ascii="方正仿宋_GBK" w:hAnsi="方正仿宋_GBK" w:eastAsia="方正仿宋_GBK" w:cs="方正仿宋_GBK"/>
          <w:color w:val="000000"/>
          <w:sz w:val="28"/>
        </w:rPr>
        <w:t>6.（冀财建【2020】312号）2022年消防救援队伍人员改革性和奖励性补贴（基数）绩效目标表</w:t>
      </w:r>
      <w:bookmarkEnd w:id="9"/>
    </w:p>
    <w:tbl>
      <w:tblPr>
        <w:tblStyle w:val="9"/>
        <w:tblW w:w="1536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9"/>
        <w:gridCol w:w="2029"/>
        <w:gridCol w:w="2205"/>
        <w:gridCol w:w="1"/>
        <w:gridCol w:w="1851"/>
        <w:gridCol w:w="2028"/>
        <w:gridCol w:w="1"/>
        <w:gridCol w:w="2028"/>
        <w:gridCol w:w="31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72" w:type="dxa"/>
            <w:gridSpan w:val="8"/>
            <w:tcBorders>
              <w:top w:val="single" w:color="FFFFFF" w:sz="6" w:space="0"/>
              <w:left w:val="single" w:color="FFFFFF" w:sz="6" w:space="0"/>
              <w:right w:val="single" w:color="FFFFFF" w:sz="6" w:space="0"/>
            </w:tcBorders>
            <w:vAlign w:val="center"/>
          </w:tcPr>
          <w:p>
            <w:pPr>
              <w:pStyle w:val="22"/>
            </w:pPr>
            <w:r>
              <w:t>825涞水县消防救援大队本级</w:t>
            </w:r>
          </w:p>
        </w:tc>
        <w:tc>
          <w:tcPr>
            <w:tcW w:w="319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9" w:type="dxa"/>
            <w:vAlign w:val="center"/>
          </w:tcPr>
          <w:p>
            <w:pPr>
              <w:pStyle w:val="16"/>
            </w:pPr>
            <w:r>
              <w:t>项目编码</w:t>
            </w:r>
          </w:p>
        </w:tc>
        <w:tc>
          <w:tcPr>
            <w:tcW w:w="4234" w:type="dxa"/>
            <w:gridSpan w:val="2"/>
            <w:vAlign w:val="center"/>
          </w:tcPr>
          <w:p>
            <w:pPr>
              <w:pStyle w:val="18"/>
            </w:pPr>
            <w:r>
              <w:t>13062322P00894010001J</w:t>
            </w:r>
          </w:p>
        </w:tc>
        <w:tc>
          <w:tcPr>
            <w:tcW w:w="1852" w:type="dxa"/>
            <w:gridSpan w:val="2"/>
            <w:vAlign w:val="center"/>
          </w:tcPr>
          <w:p>
            <w:pPr>
              <w:pStyle w:val="16"/>
            </w:pPr>
            <w:r>
              <w:t>项目名称</w:t>
            </w:r>
          </w:p>
        </w:tc>
        <w:tc>
          <w:tcPr>
            <w:tcW w:w="7249" w:type="dxa"/>
            <w:gridSpan w:val="4"/>
            <w:vAlign w:val="center"/>
          </w:tcPr>
          <w:p>
            <w:pPr>
              <w:pStyle w:val="18"/>
              <w:widowControl w:val="0"/>
              <w:wordWrap/>
              <w:adjustRightInd/>
              <w:snapToGrid/>
              <w:spacing w:line="0" w:lineRule="atLeast"/>
              <w:textAlignment w:val="auto"/>
            </w:pPr>
            <w:r>
              <w:t>（冀财建【2020】312号）2022年消防救援队伍人员改革性和奖励性补贴（基数）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2" w:hRule="atLeast"/>
          <w:jc w:val="center"/>
        </w:trPr>
        <w:tc>
          <w:tcPr>
            <w:tcW w:w="2029" w:type="dxa"/>
            <w:vMerge w:val="restart"/>
            <w:vAlign w:val="center"/>
          </w:tcPr>
          <w:p>
            <w:pPr>
              <w:pStyle w:val="16"/>
            </w:pPr>
            <w:r>
              <w:t>预算规模及资金用途</w:t>
            </w:r>
          </w:p>
        </w:tc>
        <w:tc>
          <w:tcPr>
            <w:tcW w:w="2029" w:type="dxa"/>
            <w:vAlign w:val="center"/>
          </w:tcPr>
          <w:p>
            <w:pPr>
              <w:pStyle w:val="16"/>
            </w:pPr>
            <w:r>
              <w:t>预算数</w:t>
            </w:r>
          </w:p>
        </w:tc>
        <w:tc>
          <w:tcPr>
            <w:tcW w:w="2205" w:type="dxa"/>
            <w:vAlign w:val="center"/>
          </w:tcPr>
          <w:p>
            <w:pPr>
              <w:pStyle w:val="18"/>
            </w:pPr>
            <w:r>
              <w:t>12.99</w:t>
            </w:r>
          </w:p>
        </w:tc>
        <w:tc>
          <w:tcPr>
            <w:tcW w:w="1852" w:type="dxa"/>
            <w:gridSpan w:val="2"/>
            <w:vAlign w:val="center"/>
          </w:tcPr>
          <w:p>
            <w:pPr>
              <w:pStyle w:val="18"/>
              <w:widowControl w:val="0"/>
              <w:wordWrap/>
              <w:adjustRightInd/>
              <w:snapToGrid/>
              <w:spacing w:line="0" w:lineRule="atLeast"/>
              <w:textAlignment w:val="auto"/>
            </w:pPr>
            <w:r>
              <w:rPr>
                <w:rFonts w:ascii="方正书宋_GBK" w:hAnsi="方正书宋_GBK" w:eastAsia="方正书宋_GBK" w:cs="方正书宋_GBK"/>
                <w:b/>
                <w:bCs/>
              </w:rPr>
              <w:t>其中</w:t>
            </w:r>
            <w:r>
              <w:rPr>
                <w:b/>
                <w:bCs/>
              </w:rPr>
              <w:t>：财政    资金</w:t>
            </w:r>
          </w:p>
        </w:tc>
        <w:tc>
          <w:tcPr>
            <w:tcW w:w="2028" w:type="dxa"/>
            <w:vAlign w:val="center"/>
          </w:tcPr>
          <w:p>
            <w:pPr>
              <w:pStyle w:val="18"/>
            </w:pPr>
            <w:r>
              <w:t>12.99</w:t>
            </w:r>
          </w:p>
        </w:tc>
        <w:tc>
          <w:tcPr>
            <w:tcW w:w="2029" w:type="dxa"/>
            <w:gridSpan w:val="2"/>
            <w:vAlign w:val="center"/>
          </w:tcPr>
          <w:p>
            <w:pPr>
              <w:pStyle w:val="16"/>
            </w:pPr>
            <w:r>
              <w:t>其他资金</w:t>
            </w:r>
          </w:p>
        </w:tc>
        <w:tc>
          <w:tcPr>
            <w:tcW w:w="319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9" w:type="dxa"/>
            <w:vMerge w:val="continue"/>
            <w:vAlign w:val="top"/>
          </w:tcPr>
          <w:p/>
        </w:tc>
        <w:tc>
          <w:tcPr>
            <w:tcW w:w="13335" w:type="dxa"/>
            <w:gridSpan w:val="8"/>
            <w:vAlign w:val="center"/>
          </w:tcPr>
          <w:p>
            <w:pPr>
              <w:pStyle w:val="18"/>
            </w:pPr>
            <w:r>
              <w:t>发放6名消防指战员2022年改革性补贴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2029" w:type="dxa"/>
            <w:vMerge w:val="restart"/>
            <w:vAlign w:val="center"/>
          </w:tcPr>
          <w:p>
            <w:pPr>
              <w:pStyle w:val="18"/>
              <w:widowControl w:val="0"/>
              <w:wordWrap/>
              <w:adjustRightInd/>
              <w:snapToGrid/>
              <w:spacing w:line="0" w:lineRule="atLeast"/>
              <w:textAlignment w:val="auto"/>
              <w:rPr>
                <w:b/>
                <w:bCs/>
              </w:rPr>
            </w:pPr>
            <w:r>
              <w:rPr>
                <w:b/>
                <w:bCs/>
              </w:rPr>
              <w:t>资金支出计划（%）</w:t>
            </w:r>
          </w:p>
        </w:tc>
        <w:tc>
          <w:tcPr>
            <w:tcW w:w="4235" w:type="dxa"/>
            <w:gridSpan w:val="3"/>
            <w:vAlign w:val="center"/>
          </w:tcPr>
          <w:p>
            <w:pPr>
              <w:pStyle w:val="16"/>
            </w:pPr>
            <w:r>
              <w:t>3月底</w:t>
            </w:r>
          </w:p>
        </w:tc>
        <w:tc>
          <w:tcPr>
            <w:tcW w:w="1851" w:type="dxa"/>
            <w:vAlign w:val="center"/>
          </w:tcPr>
          <w:p>
            <w:pPr>
              <w:pStyle w:val="16"/>
            </w:pPr>
            <w:r>
              <w:t>6月底</w:t>
            </w:r>
          </w:p>
        </w:tc>
        <w:tc>
          <w:tcPr>
            <w:tcW w:w="2029" w:type="dxa"/>
            <w:gridSpan w:val="2"/>
            <w:vAlign w:val="center"/>
          </w:tcPr>
          <w:p>
            <w:pPr>
              <w:pStyle w:val="16"/>
            </w:pPr>
            <w:r>
              <w:t>10月底</w:t>
            </w:r>
          </w:p>
        </w:tc>
        <w:tc>
          <w:tcPr>
            <w:tcW w:w="522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2029" w:type="dxa"/>
            <w:vMerge w:val="continue"/>
            <w:vAlign w:val="top"/>
          </w:tcPr>
          <w:p/>
        </w:tc>
        <w:tc>
          <w:tcPr>
            <w:tcW w:w="4235" w:type="dxa"/>
            <w:gridSpan w:val="3"/>
            <w:vAlign w:val="center"/>
          </w:tcPr>
          <w:p>
            <w:pPr>
              <w:pStyle w:val="19"/>
            </w:pPr>
            <w:r>
              <w:t xml:space="preserve"> </w:t>
            </w:r>
          </w:p>
        </w:tc>
        <w:tc>
          <w:tcPr>
            <w:tcW w:w="1851" w:type="dxa"/>
            <w:vAlign w:val="center"/>
          </w:tcPr>
          <w:p>
            <w:pPr>
              <w:pStyle w:val="19"/>
            </w:pPr>
            <w:r>
              <w:t xml:space="preserve"> </w:t>
            </w:r>
          </w:p>
        </w:tc>
        <w:tc>
          <w:tcPr>
            <w:tcW w:w="2029" w:type="dxa"/>
            <w:gridSpan w:val="2"/>
            <w:vAlign w:val="center"/>
          </w:tcPr>
          <w:p>
            <w:pPr>
              <w:pStyle w:val="19"/>
            </w:pPr>
            <w:r>
              <w:t xml:space="preserve"> </w:t>
            </w:r>
          </w:p>
        </w:tc>
        <w:tc>
          <w:tcPr>
            <w:tcW w:w="522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9" w:type="dxa"/>
            <w:vAlign w:val="center"/>
          </w:tcPr>
          <w:p>
            <w:pPr>
              <w:pStyle w:val="16"/>
            </w:pPr>
            <w:r>
              <w:t>绩效目标</w:t>
            </w:r>
          </w:p>
        </w:tc>
        <w:tc>
          <w:tcPr>
            <w:tcW w:w="13335" w:type="dxa"/>
            <w:gridSpan w:val="8"/>
            <w:vAlign w:val="center"/>
          </w:tcPr>
          <w:p>
            <w:pPr>
              <w:pStyle w:val="18"/>
              <w:widowControl w:val="0"/>
              <w:wordWrap/>
              <w:adjustRightInd/>
              <w:snapToGrid/>
              <w:spacing w:line="0" w:lineRule="atLeast"/>
              <w:textAlignment w:val="auto"/>
              <w:rPr>
                <w:rFonts w:ascii="方正书宋_GBK" w:hAnsi="方正书宋_GBK" w:eastAsia="方正书宋_GBK" w:cs="方正书宋_GBK"/>
                <w:b/>
                <w:bCs/>
              </w:rPr>
            </w:pPr>
            <w:r>
              <w:rPr>
                <w:rFonts w:ascii="方正书宋_GBK" w:hAnsi="方正书宋_GBK" w:eastAsia="方正书宋_GBK" w:cs="方正书宋_GBK"/>
                <w:b w:val="0"/>
                <w:bCs w:val="0"/>
              </w:rPr>
              <w:t>1.通过实施本项目，落实《国家综合性消防救援队伍工资政策方案》、河北省《国家综合性消防救援队伍经费管理暂行规定》实施细则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8"/>
        <w:gridCol w:w="2034"/>
        <w:gridCol w:w="2034"/>
        <w:gridCol w:w="4068"/>
        <w:gridCol w:w="2326"/>
        <w:gridCol w:w="24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88" w:type="dxa"/>
            <w:vAlign w:val="center"/>
          </w:tcPr>
          <w:p>
            <w:pPr>
              <w:pStyle w:val="16"/>
            </w:pPr>
            <w:r>
              <w:t>一级指标</w:t>
            </w:r>
          </w:p>
        </w:tc>
        <w:tc>
          <w:tcPr>
            <w:tcW w:w="2034" w:type="dxa"/>
            <w:vAlign w:val="center"/>
          </w:tcPr>
          <w:p>
            <w:pPr>
              <w:pStyle w:val="16"/>
            </w:pPr>
            <w:r>
              <w:t>二级指标</w:t>
            </w:r>
          </w:p>
        </w:tc>
        <w:tc>
          <w:tcPr>
            <w:tcW w:w="2034" w:type="dxa"/>
            <w:vAlign w:val="center"/>
          </w:tcPr>
          <w:p>
            <w:pPr>
              <w:pStyle w:val="16"/>
            </w:pPr>
            <w:r>
              <w:t>三级指标</w:t>
            </w:r>
          </w:p>
        </w:tc>
        <w:tc>
          <w:tcPr>
            <w:tcW w:w="4068" w:type="dxa"/>
            <w:vAlign w:val="center"/>
          </w:tcPr>
          <w:p>
            <w:pPr>
              <w:pStyle w:val="16"/>
            </w:pPr>
            <w:r>
              <w:t>绩效指标描述</w:t>
            </w:r>
          </w:p>
        </w:tc>
        <w:tc>
          <w:tcPr>
            <w:tcW w:w="2326" w:type="dxa"/>
            <w:vAlign w:val="center"/>
          </w:tcPr>
          <w:p>
            <w:pPr>
              <w:pStyle w:val="16"/>
            </w:pPr>
            <w:r>
              <w:t>指标值</w:t>
            </w:r>
          </w:p>
        </w:tc>
        <w:tc>
          <w:tcPr>
            <w:tcW w:w="2414" w:type="dxa"/>
            <w:vAlign w:val="center"/>
          </w:tcPr>
          <w:p>
            <w:pPr>
              <w:pStyle w:val="18"/>
              <w:widowControl w:val="0"/>
              <w:wordWrap/>
              <w:adjustRightInd/>
              <w:snapToGrid/>
              <w:spacing w:line="0" w:lineRule="atLeast"/>
              <w:jc w:val="center"/>
              <w:textAlignment w:val="auto"/>
              <w:rPr>
                <w:rFonts w:ascii="方正书宋_GBK" w:hAnsi="方正书宋_GBK" w:eastAsia="方正书宋_GBK" w:cs="方正书宋_GBK"/>
                <w:b/>
                <w:bCs/>
              </w:rPr>
            </w:pPr>
            <w:r>
              <w:rPr>
                <w:rFonts w:ascii="方正书宋_GBK" w:hAns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Merge w:val="restart"/>
            <w:vAlign w:val="center"/>
          </w:tcPr>
          <w:p>
            <w:pPr>
              <w:pStyle w:val="19"/>
            </w:pPr>
            <w:r>
              <w:t>产出指标</w:t>
            </w:r>
          </w:p>
        </w:tc>
        <w:tc>
          <w:tcPr>
            <w:tcW w:w="2034" w:type="dxa"/>
            <w:vAlign w:val="center"/>
          </w:tcPr>
          <w:p>
            <w:pPr>
              <w:pStyle w:val="18"/>
            </w:pPr>
            <w:r>
              <w:t>数量指标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发放6名消防指战员2022年改革性补贴</w:t>
            </w:r>
          </w:p>
        </w:tc>
        <w:tc>
          <w:tcPr>
            <w:tcW w:w="4068" w:type="dxa"/>
            <w:vAlign w:val="center"/>
          </w:tcPr>
          <w:p>
            <w:pPr>
              <w:pStyle w:val="18"/>
            </w:pPr>
            <w:r>
              <w:t>发放6名消防指战员2022年改革性补贴</w:t>
            </w:r>
          </w:p>
        </w:tc>
        <w:tc>
          <w:tcPr>
            <w:tcW w:w="2326" w:type="dxa"/>
            <w:vAlign w:val="center"/>
          </w:tcPr>
          <w:p>
            <w:pPr>
              <w:pStyle w:val="18"/>
            </w:pPr>
            <w:r>
              <w:t>12.99万元</w:t>
            </w:r>
          </w:p>
        </w:tc>
        <w:tc>
          <w:tcPr>
            <w:tcW w:w="2414" w:type="dxa"/>
            <w:vAlign w:val="center"/>
          </w:tcPr>
          <w:p>
            <w:pPr>
              <w:pStyle w:val="18"/>
              <w:widowControl w:val="0"/>
              <w:wordWrap/>
              <w:adjustRightInd/>
              <w:snapToGrid/>
              <w:spacing w:line="0" w:lineRule="atLeast"/>
              <w:textAlignment w:val="auto"/>
            </w:pPr>
            <w:r>
              <w:t>冀财建【2020】</w:t>
            </w:r>
            <w:r>
              <w:rPr>
                <w:rFonts w:ascii="方正书宋_GBK" w:hAnsi="方正书宋_GBK" w:eastAsia="方正书宋_GBK" w:cs="方正书宋_GBK"/>
                <w:b w:val="0"/>
                <w:bCs w:val="0"/>
              </w:rPr>
              <w:t>312</w:t>
            </w:r>
            <w: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Merge w:val="continue"/>
            <w:vAlign w:val="center"/>
          </w:tcPr>
          <w:p/>
        </w:tc>
        <w:tc>
          <w:tcPr>
            <w:tcW w:w="2034" w:type="dxa"/>
            <w:vAlign w:val="center"/>
          </w:tcPr>
          <w:p>
            <w:pPr>
              <w:pStyle w:val="18"/>
            </w:pPr>
            <w:r>
              <w:t>质量指标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补贴标准执行准确率</w:t>
            </w:r>
          </w:p>
        </w:tc>
        <w:tc>
          <w:tcPr>
            <w:tcW w:w="4068" w:type="dxa"/>
            <w:vAlign w:val="center"/>
          </w:tcPr>
          <w:p>
            <w:pPr>
              <w:pStyle w:val="18"/>
            </w:pPr>
            <w:r>
              <w:t>补贴标准执行准确率</w:t>
            </w:r>
          </w:p>
        </w:tc>
        <w:tc>
          <w:tcPr>
            <w:tcW w:w="2326" w:type="dxa"/>
            <w:vAlign w:val="center"/>
          </w:tcPr>
          <w:p>
            <w:pPr>
              <w:pStyle w:val="18"/>
            </w:pPr>
            <w:r>
              <w:t>≥90百分比</w:t>
            </w:r>
          </w:p>
        </w:tc>
        <w:tc>
          <w:tcPr>
            <w:tcW w:w="2414"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Merge w:val="continue"/>
            <w:vAlign w:val="center"/>
          </w:tcPr>
          <w:p/>
        </w:tc>
        <w:tc>
          <w:tcPr>
            <w:tcW w:w="2034" w:type="dxa"/>
            <w:vAlign w:val="center"/>
          </w:tcPr>
          <w:p>
            <w:pPr>
              <w:pStyle w:val="18"/>
            </w:pPr>
            <w:r>
              <w:t>时效指标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按照时限发放完成</w:t>
            </w:r>
          </w:p>
        </w:tc>
        <w:tc>
          <w:tcPr>
            <w:tcW w:w="4068" w:type="dxa"/>
            <w:vAlign w:val="center"/>
          </w:tcPr>
          <w:p>
            <w:pPr>
              <w:pStyle w:val="18"/>
            </w:pPr>
            <w:r>
              <w:t>按照时限发放完成率</w:t>
            </w:r>
          </w:p>
        </w:tc>
        <w:tc>
          <w:tcPr>
            <w:tcW w:w="2326" w:type="dxa"/>
            <w:vAlign w:val="center"/>
          </w:tcPr>
          <w:p>
            <w:pPr>
              <w:pStyle w:val="18"/>
            </w:pPr>
            <w:r>
              <w:t>≥90百分比</w:t>
            </w:r>
          </w:p>
        </w:tc>
        <w:tc>
          <w:tcPr>
            <w:tcW w:w="2414"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Merge w:val="continue"/>
            <w:vAlign w:val="center"/>
          </w:tcPr>
          <w:p/>
        </w:tc>
        <w:tc>
          <w:tcPr>
            <w:tcW w:w="2034" w:type="dxa"/>
            <w:vAlign w:val="center"/>
          </w:tcPr>
          <w:p>
            <w:pPr>
              <w:pStyle w:val="18"/>
            </w:pPr>
            <w:r>
              <w:t>成本指标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补贴成本</w:t>
            </w:r>
          </w:p>
        </w:tc>
        <w:tc>
          <w:tcPr>
            <w:tcW w:w="4068" w:type="dxa"/>
            <w:vAlign w:val="center"/>
          </w:tcPr>
          <w:p>
            <w:pPr>
              <w:pStyle w:val="18"/>
            </w:pPr>
            <w:r>
              <w:t>补贴成本</w:t>
            </w:r>
          </w:p>
        </w:tc>
        <w:tc>
          <w:tcPr>
            <w:tcW w:w="2326" w:type="dxa"/>
            <w:vAlign w:val="center"/>
          </w:tcPr>
          <w:p>
            <w:pPr>
              <w:pStyle w:val="18"/>
            </w:pPr>
            <w:r>
              <w:t>≥12.99万元</w:t>
            </w:r>
          </w:p>
        </w:tc>
        <w:tc>
          <w:tcPr>
            <w:tcW w:w="2414" w:type="dxa"/>
            <w:vAlign w:val="center"/>
          </w:tcPr>
          <w:p>
            <w:pPr>
              <w:pStyle w:val="18"/>
              <w:widowControl w:val="0"/>
              <w:wordWrap/>
              <w:adjustRightInd/>
              <w:snapToGrid/>
              <w:spacing w:line="0" w:lineRule="atLeast"/>
              <w:textAlignment w:val="auto"/>
            </w:pPr>
            <w:r>
              <w:t>财政预算安排基数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Align w:val="center"/>
          </w:tcPr>
          <w:p>
            <w:pPr>
              <w:pStyle w:val="19"/>
            </w:pPr>
            <w:r>
              <w:t>效益指标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社会效益指标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落实消防救援队伍人员改革性补贴</w:t>
            </w:r>
          </w:p>
        </w:tc>
        <w:tc>
          <w:tcPr>
            <w:tcW w:w="4068" w:type="dxa"/>
            <w:vAlign w:val="center"/>
          </w:tcPr>
          <w:p>
            <w:pPr>
              <w:pStyle w:val="18"/>
              <w:widowControl w:val="0"/>
              <w:wordWrap/>
              <w:adjustRightInd/>
              <w:snapToGrid/>
              <w:spacing w:line="0" w:lineRule="atLeast"/>
              <w:textAlignment w:val="auto"/>
            </w:pPr>
            <w:r>
              <w:t>按政策落实消防救援队伍</w:t>
            </w:r>
            <w:r>
              <w:rPr>
                <w:rFonts w:ascii="方正书宋_GBK" w:hAnsi="方正书宋_GBK" w:eastAsia="方正书宋_GBK" w:cs="方正书宋_GBK"/>
                <w:b w:val="0"/>
                <w:bCs w:val="0"/>
              </w:rPr>
              <w:t>人员</w:t>
            </w:r>
            <w:r>
              <w:t>改革性补贴</w:t>
            </w:r>
          </w:p>
        </w:tc>
        <w:tc>
          <w:tcPr>
            <w:tcW w:w="2326" w:type="dxa"/>
            <w:vAlign w:val="center"/>
          </w:tcPr>
          <w:p>
            <w:pPr>
              <w:pStyle w:val="18"/>
            </w:pPr>
            <w:r>
              <w:t>≥90百分比</w:t>
            </w:r>
          </w:p>
        </w:tc>
        <w:tc>
          <w:tcPr>
            <w:tcW w:w="2414"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8" w:type="dxa"/>
            <w:vAlign w:val="center"/>
          </w:tcPr>
          <w:p>
            <w:pPr>
              <w:pStyle w:val="19"/>
            </w:pPr>
            <w:r>
              <w:t>满意度指标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服务对象满意度指标</w:t>
            </w:r>
          </w:p>
        </w:tc>
        <w:tc>
          <w:tcPr>
            <w:tcW w:w="2034" w:type="dxa"/>
            <w:vAlign w:val="center"/>
          </w:tcPr>
          <w:p>
            <w:pPr>
              <w:pStyle w:val="18"/>
              <w:widowControl w:val="0"/>
              <w:wordWrap/>
              <w:adjustRightInd/>
              <w:snapToGrid/>
              <w:spacing w:line="0" w:lineRule="atLeast"/>
              <w:textAlignment w:val="auto"/>
              <w:rPr>
                <w:rFonts w:ascii="方正书宋_GBK" w:hAnsi="方正书宋_GBK" w:eastAsia="方正书宋_GBK" w:cs="方正书宋_GBK"/>
                <w:b w:val="0"/>
                <w:bCs w:val="0"/>
              </w:rPr>
            </w:pPr>
            <w:r>
              <w:rPr>
                <w:rFonts w:ascii="方正书宋_GBK" w:hAnsi="方正书宋_GBK" w:eastAsia="方正书宋_GBK" w:cs="方正书宋_GBK"/>
                <w:b w:val="0"/>
                <w:bCs w:val="0"/>
              </w:rPr>
              <w:t>消防指战员满意度</w:t>
            </w:r>
          </w:p>
        </w:tc>
        <w:tc>
          <w:tcPr>
            <w:tcW w:w="4068" w:type="dxa"/>
            <w:vAlign w:val="center"/>
          </w:tcPr>
          <w:p>
            <w:pPr>
              <w:pStyle w:val="18"/>
            </w:pPr>
            <w:r>
              <w:t>消防指战员满意度</w:t>
            </w:r>
          </w:p>
        </w:tc>
        <w:tc>
          <w:tcPr>
            <w:tcW w:w="2326" w:type="dxa"/>
            <w:vAlign w:val="center"/>
          </w:tcPr>
          <w:p>
            <w:pPr>
              <w:pStyle w:val="18"/>
            </w:pPr>
            <w:r>
              <w:t>≥95百分比</w:t>
            </w:r>
          </w:p>
        </w:tc>
        <w:tc>
          <w:tcPr>
            <w:tcW w:w="2414" w:type="dxa"/>
            <w:vAlign w:val="center"/>
          </w:tcPr>
          <w:p>
            <w:pPr>
              <w:pStyle w:val="18"/>
            </w:pPr>
            <w:r>
              <w:t>调查问卷</w:t>
            </w:r>
          </w:p>
        </w:tc>
      </w:tr>
    </w:tbl>
    <w:p>
      <w:pPr>
        <w:spacing w:line="560" w:lineRule="exact"/>
        <w:jc w:val="left"/>
        <w:outlineLvl w:val="0"/>
        <w:rPr>
          <w:rFonts w:hint="eastAsia" w:ascii="仿宋" w:hAnsi="仿宋" w:eastAsia="仿宋" w:cs="仿宋"/>
          <w:sz w:val="32"/>
          <w:szCs w:val="32"/>
        </w:rPr>
        <w:sectPr>
          <w:footerReference r:id="rId7" w:type="default"/>
          <w:pgSz w:w="16839" w:h="11907"/>
          <w:pgMar w:top="1304" w:right="1134" w:bottom="1304" w:left="1984" w:header="851" w:footer="992" w:gutter="0"/>
          <w:pgNumType w:fmt="decimal"/>
          <w:cols w:space="720" w:num="1"/>
          <w:docGrid w:type="lines" w:linePitch="312" w:charSpace="0"/>
        </w:sectPr>
      </w:pPr>
    </w:p>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年部门预算共计安排政府采购项目为</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类</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个，涉及金额</w:t>
      </w:r>
      <w:r>
        <w:rPr>
          <w:rFonts w:hint="eastAsia" w:ascii="仿宋" w:hAnsi="仿宋" w:eastAsia="仿宋" w:cs="仿宋"/>
          <w:kern w:val="0"/>
          <w:sz w:val="32"/>
          <w:szCs w:val="32"/>
          <w:highlight w:val="none"/>
          <w:lang w:val="en-US" w:eastAsia="zh-CN"/>
        </w:rPr>
        <w:t>47</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，政府采购项目为“智慧消防”运营维护</w:t>
      </w:r>
      <w:r>
        <w:rPr>
          <w:rFonts w:hint="eastAsia" w:ascii="仿宋" w:hAnsi="仿宋" w:eastAsia="仿宋" w:cs="仿宋"/>
          <w:kern w:val="0"/>
          <w:sz w:val="32"/>
          <w:szCs w:val="32"/>
          <w:highlight w:val="none"/>
          <w:lang w:val="en-US" w:eastAsia="zh-CN"/>
        </w:rPr>
        <w:t>47</w:t>
      </w:r>
      <w:r>
        <w:rPr>
          <w:rFonts w:hint="eastAsia" w:ascii="仿宋" w:hAnsi="仿宋" w:eastAsia="仿宋" w:cs="仿宋"/>
          <w:kern w:val="0"/>
          <w:sz w:val="32"/>
          <w:szCs w:val="32"/>
          <w:highlight w:val="none"/>
        </w:rPr>
        <w:t>万元。</w:t>
      </w:r>
    </w:p>
    <w:p>
      <w:pPr>
        <w:jc w:val="center"/>
        <w:outlineLvl w:val="0"/>
        <w:rPr>
          <w:rFonts w:hAnsi="宋体"/>
          <w:color w:val="auto"/>
          <w:sz w:val="32"/>
          <w:highlight w:val="none"/>
        </w:rPr>
      </w:pPr>
      <w:r>
        <w:rPr>
          <w:rFonts w:hint="eastAsia" w:ascii="方正小标宋_GBK" w:eastAsia="方正小标宋_GBK"/>
          <w:color w:val="auto"/>
          <w:sz w:val="32"/>
          <w:highlight w:val="none"/>
        </w:rPr>
        <w:t>部门政府采购预算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10" w:name="_Toc30016387"/>
      <w:r>
        <w:rPr>
          <w:rFonts w:hint="eastAsia" w:ascii="方正小标宋_GBK" w:eastAsia="方正小标宋_GBK"/>
          <w:color w:val="auto"/>
          <w:sz w:val="32"/>
          <w:highlight w:val="none"/>
        </w:rPr>
        <w:instrText xml:space="preserve">部门政府采购预算</w:instrText>
      </w:r>
      <w:bookmarkEnd w:id="10"/>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4"/>
        <w:gridCol w:w="1355"/>
        <w:gridCol w:w="1650"/>
        <w:gridCol w:w="1807"/>
        <w:gridCol w:w="728"/>
        <w:gridCol w:w="1164"/>
        <w:gridCol w:w="1154"/>
        <w:gridCol w:w="1355"/>
        <w:gridCol w:w="1355"/>
        <w:gridCol w:w="542"/>
        <w:gridCol w:w="813"/>
        <w:gridCol w:w="542"/>
        <w:gridCol w:w="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182"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highlight w:val="none"/>
              </w:rPr>
            </w:pPr>
            <w:r>
              <w:rPr>
                <w:rFonts w:hint="eastAsia" w:ascii="仿宋" w:hAnsi="仿宋" w:eastAsia="仿宋"/>
                <w:szCs w:val="21"/>
                <w:highlight w:val="none"/>
                <w:lang w:val="en-US" w:eastAsia="zh-CN"/>
              </w:rPr>
              <w:t>825</w:t>
            </w:r>
            <w:r>
              <w:rPr>
                <w:rFonts w:hint="eastAsia" w:ascii="仿宋" w:hAnsi="仿宋" w:eastAsia="仿宋"/>
                <w:szCs w:val="21"/>
                <w:highlight w:val="none"/>
              </w:rPr>
              <w:t>涞水县</w:t>
            </w:r>
            <w:r>
              <w:rPr>
                <w:rFonts w:hint="eastAsia" w:ascii="仿宋" w:hAnsi="仿宋" w:eastAsia="仿宋"/>
                <w:szCs w:val="21"/>
                <w:highlight w:val="none"/>
                <w:lang w:eastAsia="zh-CN"/>
              </w:rPr>
              <w:t>消防救援大队</w:t>
            </w:r>
          </w:p>
        </w:tc>
        <w:tc>
          <w:tcPr>
            <w:tcW w:w="5182"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highlight w:val="none"/>
              </w:rPr>
            </w:pPr>
            <w:r>
              <w:rPr>
                <w:rFonts w:hint="eastAsia" w:ascii="仿宋" w:hAnsi="仿宋" w:eastAsia="仿宋"/>
                <w:szCs w:val="21"/>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9"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165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1807"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计量</w:t>
            </w:r>
            <w:r>
              <w:rPr>
                <w:rFonts w:ascii="仿宋" w:hAnsi="仿宋" w:eastAsia="仿宋"/>
                <w:b/>
                <w:szCs w:val="21"/>
              </w:rPr>
              <w:t xml:space="preserve">  </w:t>
            </w:r>
            <w:r>
              <w:rPr>
                <w:rFonts w:hint="eastAsia" w:ascii="仿宋" w:hAnsi="仿宋" w:eastAsia="仿宋"/>
                <w:b/>
                <w:szCs w:val="21"/>
              </w:rPr>
              <w:t>单位</w:t>
            </w:r>
          </w:p>
        </w:tc>
        <w:tc>
          <w:tcPr>
            <w:tcW w:w="116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15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5182" w:type="dxa"/>
            <w:gridSpan w:val="6"/>
            <w:vAlign w:val="center"/>
          </w:tcPr>
          <w:p>
            <w:pPr>
              <w:spacing w:line="300" w:lineRule="exact"/>
              <w:jc w:val="center"/>
              <w:rPr>
                <w:rFonts w:ascii="仿宋" w:hAnsi="仿宋" w:eastAsia="仿宋"/>
                <w:b/>
                <w:szCs w:val="21"/>
              </w:rPr>
            </w:pPr>
            <w:r>
              <w:rPr>
                <w:rFonts w:hint="eastAsia" w:ascii="仿宋" w:hAnsi="仿宋" w:eastAsia="仿宋"/>
                <w:b/>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57" w:hRule="atLeast"/>
          <w:tblHeader/>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1650" w:type="dxa"/>
            <w:vMerge w:val="continue"/>
            <w:vAlign w:val="center"/>
          </w:tcPr>
          <w:p>
            <w:pPr>
              <w:spacing w:line="300" w:lineRule="exact"/>
              <w:jc w:val="left"/>
              <w:outlineLvl w:val="0"/>
              <w:rPr>
                <w:rFonts w:ascii="仿宋" w:hAnsi="仿宋" w:eastAsia="仿宋"/>
                <w:szCs w:val="21"/>
              </w:rPr>
            </w:pPr>
          </w:p>
        </w:tc>
        <w:tc>
          <w:tcPr>
            <w:tcW w:w="1807" w:type="dxa"/>
            <w:vMerge w:val="continue"/>
            <w:vAlign w:val="center"/>
          </w:tcPr>
          <w:p>
            <w:pPr>
              <w:spacing w:line="300" w:lineRule="exact"/>
              <w:jc w:val="left"/>
              <w:outlineLvl w:val="0"/>
              <w:rPr>
                <w:rFonts w:ascii="仿宋" w:hAnsi="仿宋" w:eastAsia="仿宋"/>
                <w:szCs w:val="21"/>
              </w:rPr>
            </w:pPr>
          </w:p>
        </w:tc>
        <w:tc>
          <w:tcPr>
            <w:tcW w:w="728" w:type="dxa"/>
            <w:vMerge w:val="continue"/>
            <w:vAlign w:val="center"/>
          </w:tcPr>
          <w:p>
            <w:pPr>
              <w:spacing w:line="300" w:lineRule="exact"/>
              <w:jc w:val="left"/>
              <w:outlineLvl w:val="0"/>
              <w:rPr>
                <w:rFonts w:ascii="仿宋" w:hAnsi="仿宋" w:eastAsia="仿宋"/>
                <w:szCs w:val="21"/>
              </w:rPr>
            </w:pPr>
          </w:p>
        </w:tc>
        <w:tc>
          <w:tcPr>
            <w:tcW w:w="1164" w:type="dxa"/>
            <w:vMerge w:val="continue"/>
            <w:vAlign w:val="center"/>
          </w:tcPr>
          <w:p>
            <w:pPr>
              <w:spacing w:line="300" w:lineRule="exact"/>
              <w:jc w:val="left"/>
              <w:outlineLvl w:val="0"/>
              <w:rPr>
                <w:rFonts w:ascii="仿宋" w:hAnsi="仿宋" w:eastAsia="仿宋"/>
                <w:szCs w:val="21"/>
              </w:rPr>
            </w:pPr>
          </w:p>
        </w:tc>
        <w:tc>
          <w:tcPr>
            <w:tcW w:w="1154" w:type="dxa"/>
            <w:vMerge w:val="continue"/>
            <w:vAlign w:val="center"/>
          </w:tcPr>
          <w:p>
            <w:pPr>
              <w:spacing w:line="300" w:lineRule="exact"/>
              <w:jc w:val="left"/>
              <w:outlineLvl w:val="0"/>
              <w:rPr>
                <w:rFonts w:ascii="仿宋" w:hAnsi="仿宋" w:eastAsia="仿宋"/>
                <w:szCs w:val="21"/>
              </w:rPr>
            </w:pP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813" w:type="dxa"/>
            <w:vAlign w:val="center"/>
          </w:tcPr>
          <w:p>
            <w:pPr>
              <w:spacing w:line="300" w:lineRule="exact"/>
              <w:jc w:val="center"/>
              <w:rPr>
                <w:rFonts w:ascii="仿宋" w:hAnsi="仿宋" w:eastAsia="仿宋"/>
                <w:b/>
                <w:szCs w:val="21"/>
              </w:rPr>
            </w:pPr>
            <w:r>
              <w:rPr>
                <w:rFonts w:hint="eastAsia" w:ascii="仿宋" w:hAnsi="仿宋" w:eastAsia="仿宋"/>
                <w:b/>
                <w:szCs w:val="21"/>
              </w:rPr>
              <w:t>国有资本经营预算拨款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575"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355" w:type="dxa"/>
            <w:vAlign w:val="center"/>
          </w:tcPr>
          <w:p>
            <w:pPr>
              <w:spacing w:line="300" w:lineRule="exact"/>
              <w:jc w:val="right"/>
              <w:rPr>
                <w:rFonts w:ascii="仿宋" w:hAnsi="仿宋" w:eastAsia="仿宋"/>
                <w:b/>
                <w:szCs w:val="21"/>
              </w:rPr>
            </w:pPr>
          </w:p>
        </w:tc>
        <w:tc>
          <w:tcPr>
            <w:tcW w:w="1650" w:type="dxa"/>
            <w:vAlign w:val="center"/>
          </w:tcPr>
          <w:p>
            <w:pPr>
              <w:spacing w:line="300" w:lineRule="exact"/>
              <w:jc w:val="left"/>
              <w:rPr>
                <w:rFonts w:ascii="仿宋" w:hAnsi="仿宋" w:eastAsia="仿宋"/>
                <w:b/>
                <w:szCs w:val="21"/>
              </w:rPr>
            </w:pPr>
          </w:p>
        </w:tc>
        <w:tc>
          <w:tcPr>
            <w:tcW w:w="1807" w:type="dxa"/>
            <w:vAlign w:val="center"/>
          </w:tcPr>
          <w:p>
            <w:pPr>
              <w:spacing w:line="300" w:lineRule="exact"/>
              <w:jc w:val="left"/>
              <w:rPr>
                <w:rFonts w:ascii="仿宋" w:hAnsi="仿宋" w:eastAsia="仿宋"/>
                <w:b/>
                <w:szCs w:val="21"/>
              </w:rPr>
            </w:pPr>
          </w:p>
        </w:tc>
        <w:tc>
          <w:tcPr>
            <w:tcW w:w="728" w:type="dxa"/>
            <w:vAlign w:val="center"/>
          </w:tcPr>
          <w:p>
            <w:pPr>
              <w:spacing w:line="300" w:lineRule="exact"/>
              <w:jc w:val="center"/>
              <w:rPr>
                <w:rFonts w:ascii="仿宋" w:hAnsi="仿宋" w:eastAsia="仿宋"/>
                <w:b/>
                <w:szCs w:val="21"/>
              </w:rPr>
            </w:pPr>
          </w:p>
        </w:tc>
        <w:tc>
          <w:tcPr>
            <w:tcW w:w="1164" w:type="dxa"/>
            <w:vAlign w:val="center"/>
          </w:tcPr>
          <w:p>
            <w:pPr>
              <w:spacing w:line="300" w:lineRule="exact"/>
              <w:jc w:val="right"/>
              <w:rPr>
                <w:rFonts w:ascii="仿宋" w:hAnsi="仿宋" w:eastAsia="仿宋"/>
                <w:b/>
                <w:szCs w:val="21"/>
              </w:rPr>
            </w:pPr>
          </w:p>
        </w:tc>
        <w:tc>
          <w:tcPr>
            <w:tcW w:w="1154" w:type="dxa"/>
            <w:vAlign w:val="center"/>
          </w:tcPr>
          <w:p>
            <w:pPr>
              <w:spacing w:line="300" w:lineRule="exact"/>
              <w:jc w:val="right"/>
              <w:rPr>
                <w:rFonts w:ascii="仿宋" w:hAnsi="仿宋" w:eastAsia="仿宋"/>
                <w:b/>
                <w:szCs w:val="21"/>
              </w:rPr>
            </w:pPr>
          </w:p>
        </w:tc>
        <w:tc>
          <w:tcPr>
            <w:tcW w:w="1355" w:type="dxa"/>
            <w:vAlign w:val="center"/>
          </w:tcPr>
          <w:p>
            <w:pPr>
              <w:spacing w:line="300" w:lineRule="exact"/>
              <w:jc w:val="right"/>
              <w:rPr>
                <w:rFonts w:hint="eastAsia" w:ascii="仿宋" w:hAnsi="仿宋" w:eastAsia="仿宋"/>
                <w:b/>
                <w:szCs w:val="21"/>
                <w:lang w:val="en-US" w:eastAsia="zh-CN"/>
              </w:rPr>
            </w:pPr>
            <w:r>
              <w:rPr>
                <w:rFonts w:hint="eastAsia" w:ascii="仿宋" w:hAnsi="仿宋" w:eastAsia="仿宋"/>
                <w:b/>
                <w:szCs w:val="21"/>
                <w:lang w:val="en-US" w:eastAsia="zh-CN"/>
              </w:rPr>
              <w:t>47.00</w:t>
            </w:r>
          </w:p>
        </w:tc>
        <w:tc>
          <w:tcPr>
            <w:tcW w:w="1355" w:type="dxa"/>
            <w:vAlign w:val="center"/>
          </w:tcPr>
          <w:p>
            <w:pPr>
              <w:spacing w:line="300" w:lineRule="exact"/>
              <w:jc w:val="right"/>
              <w:rPr>
                <w:rFonts w:ascii="仿宋" w:hAnsi="仿宋" w:eastAsia="仿宋"/>
                <w:b/>
                <w:szCs w:val="21"/>
                <w:lang w:val="en-US"/>
              </w:rPr>
            </w:pPr>
            <w:r>
              <w:rPr>
                <w:rFonts w:hint="eastAsia" w:ascii="仿宋" w:hAnsi="仿宋" w:eastAsia="仿宋"/>
                <w:b/>
                <w:szCs w:val="21"/>
                <w:lang w:val="en-US" w:eastAsia="zh-CN"/>
              </w:rPr>
              <w:t>47.00</w:t>
            </w:r>
          </w:p>
        </w:tc>
        <w:tc>
          <w:tcPr>
            <w:tcW w:w="542" w:type="dxa"/>
            <w:vAlign w:val="center"/>
          </w:tcPr>
          <w:p>
            <w:pPr>
              <w:spacing w:line="300" w:lineRule="exact"/>
              <w:jc w:val="right"/>
              <w:rPr>
                <w:rFonts w:ascii="仿宋" w:hAnsi="仿宋" w:eastAsia="仿宋"/>
                <w:b/>
                <w:szCs w:val="21"/>
              </w:rPr>
            </w:pPr>
          </w:p>
        </w:tc>
        <w:tc>
          <w:tcPr>
            <w:tcW w:w="813" w:type="dxa"/>
            <w:vAlign w:val="center"/>
          </w:tcPr>
          <w:p>
            <w:pPr>
              <w:spacing w:line="300" w:lineRule="exact"/>
              <w:jc w:val="right"/>
              <w:rPr>
                <w:rFonts w:ascii="仿宋" w:hAnsi="仿宋" w:eastAsia="仿宋"/>
                <w:b/>
                <w:szCs w:val="21"/>
              </w:rPr>
            </w:pPr>
          </w:p>
        </w:tc>
        <w:tc>
          <w:tcPr>
            <w:tcW w:w="542" w:type="dxa"/>
            <w:vAlign w:val="center"/>
          </w:tcPr>
          <w:p>
            <w:pPr>
              <w:spacing w:line="300" w:lineRule="exact"/>
              <w:jc w:val="right"/>
              <w:rPr>
                <w:rFonts w:ascii="仿宋" w:hAnsi="仿宋" w:eastAsia="仿宋"/>
                <w:b/>
                <w:szCs w:val="21"/>
              </w:rPr>
            </w:pPr>
          </w:p>
        </w:tc>
        <w:tc>
          <w:tcPr>
            <w:tcW w:w="575"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left"/>
              <w:rPr>
                <w:rFonts w:hint="eastAsia" w:ascii="仿宋" w:hAnsi="仿宋" w:eastAsia="仿宋"/>
                <w:szCs w:val="21"/>
              </w:rPr>
            </w:pPr>
            <w:r>
              <w:rPr>
                <w:rFonts w:hint="eastAsia" w:ascii="仿宋" w:hAnsi="仿宋" w:eastAsia="仿宋"/>
                <w:szCs w:val="21"/>
                <w:lang w:eastAsia="zh-CN"/>
              </w:rPr>
              <w:t>消防大队“智慧消防”运营维护</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650" w:type="dxa"/>
            <w:vAlign w:val="center"/>
          </w:tcPr>
          <w:p>
            <w:pPr>
              <w:spacing w:line="300" w:lineRule="exact"/>
              <w:jc w:val="left"/>
              <w:rPr>
                <w:rFonts w:hint="eastAsia" w:ascii="仿宋" w:hAnsi="仿宋" w:eastAsia="仿宋"/>
                <w:szCs w:val="21"/>
                <w:lang w:eastAsia="zh-CN"/>
              </w:rPr>
            </w:pPr>
            <w:r>
              <w:rPr>
                <w:rFonts w:hint="eastAsia" w:ascii="仿宋" w:hAnsi="仿宋" w:eastAsia="仿宋"/>
                <w:szCs w:val="21"/>
                <w:lang w:eastAsia="zh-CN"/>
              </w:rPr>
              <w:t>运行维护服务</w:t>
            </w:r>
          </w:p>
        </w:tc>
        <w:tc>
          <w:tcPr>
            <w:tcW w:w="1807" w:type="dxa"/>
            <w:vAlign w:val="center"/>
          </w:tcPr>
          <w:p>
            <w:pPr>
              <w:spacing w:line="300" w:lineRule="exact"/>
              <w:jc w:val="left"/>
              <w:rPr>
                <w:rFonts w:hint="default" w:ascii="仿宋" w:hAnsi="仿宋" w:eastAsia="仿宋"/>
                <w:szCs w:val="21"/>
                <w:lang w:val="en-US" w:eastAsia="zh-CN"/>
              </w:rPr>
            </w:pPr>
            <w:r>
              <w:rPr>
                <w:rFonts w:hint="eastAsia" w:ascii="仿宋" w:hAnsi="仿宋" w:eastAsia="仿宋"/>
                <w:szCs w:val="21"/>
                <w:lang w:val="en-US" w:eastAsia="zh-CN"/>
              </w:rPr>
              <w:t>C0206</w:t>
            </w:r>
          </w:p>
        </w:tc>
        <w:tc>
          <w:tcPr>
            <w:tcW w:w="728" w:type="dxa"/>
            <w:vAlign w:val="center"/>
          </w:tcPr>
          <w:p>
            <w:pPr>
              <w:spacing w:line="300" w:lineRule="exact"/>
              <w:jc w:val="center"/>
              <w:rPr>
                <w:rFonts w:hint="eastAsia" w:ascii="仿宋" w:hAnsi="仿宋" w:eastAsia="仿宋"/>
                <w:szCs w:val="21"/>
              </w:rPr>
            </w:pPr>
            <w:r>
              <w:rPr>
                <w:rFonts w:hint="eastAsia" w:ascii="仿宋" w:hAnsi="仿宋" w:eastAsia="仿宋"/>
                <w:szCs w:val="21"/>
              </w:rPr>
              <w:t>套</w:t>
            </w:r>
          </w:p>
        </w:tc>
        <w:tc>
          <w:tcPr>
            <w:tcW w:w="1164" w:type="dxa"/>
            <w:vAlign w:val="center"/>
          </w:tcPr>
          <w:p>
            <w:pPr>
              <w:spacing w:line="300" w:lineRule="exact"/>
              <w:jc w:val="right"/>
              <w:rPr>
                <w:rFonts w:ascii="仿宋" w:hAnsi="仿宋" w:eastAsia="仿宋"/>
                <w:szCs w:val="21"/>
              </w:rPr>
            </w:pPr>
            <w:r>
              <w:rPr>
                <w:rFonts w:ascii="仿宋" w:hAnsi="仿宋" w:eastAsia="仿宋"/>
                <w:szCs w:val="21"/>
              </w:rPr>
              <w:t>1.00</w:t>
            </w:r>
          </w:p>
        </w:tc>
        <w:tc>
          <w:tcPr>
            <w:tcW w:w="1154"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47</w:t>
            </w:r>
            <w:r>
              <w:rPr>
                <w:rFonts w:ascii="仿宋" w:hAnsi="仿宋" w:eastAsia="仿宋"/>
                <w:szCs w:val="21"/>
              </w:rPr>
              <w:t>.00</w:t>
            </w:r>
          </w:p>
        </w:tc>
        <w:tc>
          <w:tcPr>
            <w:tcW w:w="542" w:type="dxa"/>
            <w:vAlign w:val="center"/>
          </w:tcPr>
          <w:p>
            <w:pPr>
              <w:spacing w:line="300" w:lineRule="exact"/>
              <w:jc w:val="right"/>
              <w:rPr>
                <w:rFonts w:ascii="仿宋" w:hAnsi="仿宋" w:eastAsia="仿宋"/>
                <w:szCs w:val="21"/>
              </w:rPr>
            </w:pPr>
          </w:p>
        </w:tc>
        <w:tc>
          <w:tcPr>
            <w:tcW w:w="813" w:type="dxa"/>
            <w:vAlign w:val="center"/>
          </w:tcPr>
          <w:p>
            <w:pPr>
              <w:spacing w:line="300" w:lineRule="exact"/>
              <w:jc w:val="right"/>
              <w:rPr>
                <w:rFonts w:ascii="仿宋" w:hAnsi="仿宋" w:eastAsia="仿宋"/>
                <w:szCs w:val="21"/>
              </w:rPr>
            </w:pPr>
          </w:p>
        </w:tc>
        <w:tc>
          <w:tcPr>
            <w:tcW w:w="542" w:type="dxa"/>
            <w:vAlign w:val="center"/>
          </w:tcPr>
          <w:p>
            <w:pPr>
              <w:spacing w:line="300" w:lineRule="exact"/>
              <w:jc w:val="right"/>
              <w:rPr>
                <w:rFonts w:ascii="仿宋" w:hAnsi="仿宋" w:eastAsia="仿宋"/>
                <w:szCs w:val="21"/>
              </w:rPr>
            </w:pPr>
          </w:p>
        </w:tc>
        <w:tc>
          <w:tcPr>
            <w:tcW w:w="575" w:type="dxa"/>
            <w:vAlign w:val="center"/>
          </w:tcPr>
          <w:p>
            <w:pPr>
              <w:spacing w:line="300" w:lineRule="exact"/>
              <w:jc w:val="right"/>
              <w:rPr>
                <w:rFonts w:ascii="仿宋" w:hAnsi="仿宋" w:eastAsia="仿宋"/>
                <w:szCs w:val="21"/>
              </w:rPr>
            </w:pPr>
          </w:p>
        </w:tc>
      </w:tr>
    </w:tbl>
    <w:p>
      <w:pPr>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br w:type="page"/>
      </w:r>
    </w:p>
    <w:p>
      <w:pPr>
        <w:ind w:firstLine="645"/>
        <w:jc w:val="left"/>
        <w:rPr>
          <w:rFonts w:hint="eastAsia" w:ascii="仿宋" w:hAnsi="仿宋" w:eastAsia="仿宋" w:cs="仿宋"/>
          <w:kern w:val="0"/>
          <w:sz w:val="32"/>
          <w:szCs w:val="32"/>
        </w:rPr>
      </w:pP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七、国有资产信息情况</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固定资产总额</w:t>
      </w:r>
      <w:r>
        <w:rPr>
          <w:rFonts w:hint="eastAsia" w:ascii="仿宋" w:hAnsi="仿宋" w:eastAsia="仿宋" w:cs="仿宋"/>
          <w:kern w:val="0"/>
          <w:sz w:val="32"/>
          <w:szCs w:val="32"/>
          <w:lang w:val="en-US" w:eastAsia="zh-CN"/>
        </w:rPr>
        <w:t>3525.21</w:t>
      </w:r>
      <w:r>
        <w:rPr>
          <w:rFonts w:hint="eastAsia" w:ascii="仿宋" w:hAnsi="仿宋" w:eastAsia="仿宋" w:cs="仿宋"/>
          <w:kern w:val="0"/>
          <w:sz w:val="32"/>
          <w:szCs w:val="32"/>
        </w:rPr>
        <w:t>万元。其中房屋面积</w:t>
      </w:r>
      <w:r>
        <w:rPr>
          <w:rFonts w:hint="eastAsia" w:ascii="仿宋" w:hAnsi="仿宋" w:eastAsia="仿宋" w:cs="仿宋"/>
          <w:kern w:val="0"/>
          <w:sz w:val="32"/>
          <w:szCs w:val="32"/>
          <w:lang w:val="en-US" w:eastAsia="zh-CN"/>
        </w:rPr>
        <w:t>6186.92</w:t>
      </w:r>
      <w:r>
        <w:rPr>
          <w:rFonts w:hint="eastAsia" w:ascii="仿宋" w:hAnsi="仿宋" w:eastAsia="仿宋" w:cs="仿宋"/>
          <w:kern w:val="0"/>
          <w:sz w:val="32"/>
          <w:szCs w:val="32"/>
        </w:rPr>
        <w:t>平米，价值</w:t>
      </w:r>
      <w:r>
        <w:rPr>
          <w:rFonts w:hint="eastAsia" w:ascii="仿宋" w:hAnsi="仿宋" w:eastAsia="仿宋" w:cs="仿宋"/>
          <w:kern w:val="0"/>
          <w:sz w:val="32"/>
          <w:szCs w:val="32"/>
          <w:lang w:val="en-US" w:eastAsia="zh-CN"/>
        </w:rPr>
        <w:t>1807.53</w:t>
      </w:r>
      <w:r>
        <w:rPr>
          <w:rFonts w:hint="eastAsia" w:ascii="仿宋" w:hAnsi="仿宋" w:eastAsia="仿宋" w:cs="仿宋"/>
          <w:kern w:val="0"/>
          <w:sz w:val="32"/>
          <w:szCs w:val="32"/>
        </w:rPr>
        <w:t>万元；车辆</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600.18</w:t>
      </w:r>
      <w:r>
        <w:rPr>
          <w:rFonts w:hint="eastAsia" w:ascii="仿宋" w:hAnsi="仿宋" w:eastAsia="仿宋" w:cs="仿宋"/>
          <w:kern w:val="0"/>
          <w:sz w:val="32"/>
          <w:szCs w:val="32"/>
        </w:rPr>
        <w:t>万元；其他固定资产</w:t>
      </w:r>
      <w:r>
        <w:rPr>
          <w:rFonts w:hint="eastAsia" w:ascii="仿宋" w:hAnsi="仿宋" w:eastAsia="仿宋" w:cs="仿宋"/>
          <w:kern w:val="0"/>
          <w:sz w:val="32"/>
          <w:szCs w:val="32"/>
          <w:lang w:val="en-US" w:eastAsia="zh-CN"/>
        </w:rPr>
        <w:t>1117.50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2022年拟购置器材</w:t>
      </w:r>
      <w:r>
        <w:rPr>
          <w:rFonts w:hint="eastAsia" w:ascii="仿宋" w:hAnsi="仿宋" w:eastAsia="仿宋" w:cs="仿宋"/>
          <w:kern w:val="0"/>
          <w:sz w:val="32"/>
          <w:szCs w:val="32"/>
          <w:highlight w:val="none"/>
          <w:lang w:val="en-US" w:eastAsia="zh-CN"/>
        </w:rPr>
        <w:t>85万元</w:t>
      </w:r>
      <w:r>
        <w:rPr>
          <w:rFonts w:hint="eastAsia" w:ascii="仿宋" w:hAnsi="仿宋" w:eastAsia="仿宋" w:cs="仿宋"/>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截止时间：20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22</w:t>
      </w:r>
      <w:r>
        <w:rPr>
          <w:rFonts w:hint="eastAsia" w:ascii="仿宋" w:hAnsi="仿宋" w:eastAsia="仿宋" w:cs="仿宋"/>
          <w:bCs/>
          <w:sz w:val="32"/>
          <w:szCs w:val="32"/>
        </w:rPr>
        <w:t>日</w:t>
      </w:r>
      <w:r>
        <w:rPr>
          <w:rFonts w:hint="eastAsia" w:ascii="仿宋_GB2312" w:eastAsia="仿宋_GB2312"/>
          <w:sz w:val="32"/>
          <w:szCs w:val="32"/>
        </w:rPr>
        <w:t xml:space="preserve">   </w:t>
      </w:r>
    </w:p>
    <w:tbl>
      <w:tblPr>
        <w:tblStyle w:val="9"/>
        <w:tblW w:w="15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7"/>
        <w:gridCol w:w="3157"/>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3525.21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6186.92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办公</w:t>
            </w:r>
            <w:r>
              <w:rPr>
                <w:rFonts w:hint="eastAsia" w:ascii="宋体" w:hAnsi="宋体" w:cs="宋体"/>
                <w:kern w:val="0"/>
                <w:sz w:val="24"/>
              </w:rPr>
              <w:t>用房（平方米）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6186.92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2、车辆（台、辆）</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15</w:t>
            </w:r>
          </w:p>
        </w:tc>
        <w:tc>
          <w:tcPr>
            <w:tcW w:w="548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3623</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1117.50</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我部门无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lang w:val="en-US" w:eastAsia="zh-CN" w:bidi="ar-SA"/>
      </w:rPr>
      <w:pict>
        <v:shape id="_x0000_s4097" o:spid="_x0000_s4097" o:spt="202" type="#_x0000_t202" style="position:absolute;left:0pt;margin-top:0pt;height:144pt;width:144pt;mso-position-horizontal:righ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imes New Roman" w:hAnsi="Times New Roman" w:eastAsia="Times New Roman" w:cs="Times New Roman"/>
        <w:sz w:val="24"/>
        <w:szCs w:val="24"/>
        <w:lang w:val="en-US" w:eastAsia="zh-CN" w:bidi="ar-SA"/>
      </w:rPr>
      <w:pict>
        <v:shape id="_x0000_s4098" o:spid="_x0000_s4098" o:spt="202" type="#_x0000_t202" style="position:absolute;left:0pt;margin-top:0pt;height:144pt;width:144pt;mso-position-horizontal:right;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Times New Roman" w:hAnsi="Times New Roman" w:eastAsia="Times New Roman" w:cs="Times New Roman"/>
        <w:sz w:val="18"/>
        <w:szCs w:val="18"/>
        <w:lang w:val="en-US" w:eastAsia="zh-CN" w:bidi="ar-SA"/>
      </w:rPr>
      <w:pict>
        <v:shape id="_x0000_s4099" o:spid="_x0000_s4099"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12"/>
                  </w:rPr>
                </w:pPr>
                <w:r>
                  <w:fldChar w:fldCharType="begin"/>
                </w:r>
                <w:r>
                  <w:rPr>
                    <w:rStyle w:val="12"/>
                  </w:rPr>
                  <w:instrText xml:space="preserve">PAGE  </w:instrText>
                </w:r>
                <w:r>
                  <w:fldChar w:fldCharType="separate"/>
                </w:r>
                <w:r>
                  <w:rPr>
                    <w:rStyle w:val="12"/>
                  </w:rP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abstractNum w:abstractNumId="1">
    <w:nsid w:val="589A9132"/>
    <w:multiLevelType w:val="singleLevel"/>
    <w:tmpl w:val="589A9132"/>
    <w:lvl w:ilvl="0" w:tentative="0">
      <w:start w:val="1"/>
      <w:numFmt w:val="decimal"/>
      <w:suff w:val="nothing"/>
      <w:lvlText w:val="%1、"/>
      <w:lvlJc w:val="left"/>
    </w:lvl>
  </w:abstractNum>
  <w:abstractNum w:abstractNumId="2">
    <w:nsid w:val="62AC2A4A"/>
    <w:multiLevelType w:val="singleLevel"/>
    <w:tmpl w:val="62AC2A4A"/>
    <w:lvl w:ilvl="0" w:tentative="0">
      <w:start w:val="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NlZTk1ZTQ4MDJmYzUwNDljNGVlNDFmNWY4YmMwOWY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616D2"/>
    <w:rsid w:val="054B4674"/>
    <w:rsid w:val="060B037D"/>
    <w:rsid w:val="0B6C08CC"/>
    <w:rsid w:val="10FC5C89"/>
    <w:rsid w:val="1F001077"/>
    <w:rsid w:val="25C57022"/>
    <w:rsid w:val="2CD760A6"/>
    <w:rsid w:val="37CF26CA"/>
    <w:rsid w:val="48BA73C9"/>
    <w:rsid w:val="4A6E08DD"/>
    <w:rsid w:val="53257E0F"/>
    <w:rsid w:val="58917308"/>
    <w:rsid w:val="5B01542B"/>
    <w:rsid w:val="5CBF755F"/>
    <w:rsid w:val="618868A7"/>
    <w:rsid w:val="6FBE19E1"/>
    <w:rsid w:val="7ADD58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rPr>
  </w:style>
  <w:style w:type="character" w:customStyle="1" w:styleId="36">
    <w:name w:val="页脚 Char"/>
    <w:basedOn w:val="11"/>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阳光雨露</cp:lastModifiedBy>
  <dcterms:modified xsi:type="dcterms:W3CDTF">2024-01-01T02:48:02Z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