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eastAsia="宋体" w:cs="宋体"/>
          <w:b/>
          <w:sz w:val="44"/>
          <w:szCs w:val="44"/>
        </w:rPr>
      </w:pPr>
      <w:r>
        <w:rPr>
          <w:rFonts w:hint="eastAsia" w:ascii="宋体" w:hAnsi="宋体" w:eastAsia="宋体" w:cs="宋体"/>
          <w:b/>
          <w:sz w:val="44"/>
          <w:szCs w:val="44"/>
        </w:rPr>
        <w:t>涞水县总工会2020年部门预算信息公开</w:t>
      </w:r>
    </w:p>
    <w:p>
      <w:pPr>
        <w:spacing w:line="540" w:lineRule="exact"/>
        <w:ind w:firstLine="640"/>
        <w:rPr>
          <w:rFonts w:ascii="仿宋" w:hAnsi="仿宋" w:eastAsia="仿宋"/>
          <w:sz w:val="32"/>
          <w:szCs w:val="32"/>
        </w:rPr>
      </w:pPr>
    </w:p>
    <w:p>
      <w:pPr>
        <w:ind w:firstLine="640"/>
        <w:rPr>
          <w:rFonts w:hint="eastAsia" w:ascii="仿宋" w:hAnsi="仿宋" w:eastAsia="仿宋" w:cs="Times New Roman"/>
          <w:sz w:val="32"/>
          <w:szCs w:val="32"/>
        </w:rPr>
      </w:pPr>
      <w:r>
        <w:rPr>
          <w:rFonts w:hint="eastAsia" w:ascii="仿宋" w:hAnsi="仿宋" w:eastAsia="仿宋" w:cs="Times New Roman"/>
          <w:sz w:val="32"/>
          <w:szCs w:val="32"/>
        </w:rPr>
        <w:t>按照《</w:t>
      </w:r>
      <w:r>
        <w:rPr>
          <w:rFonts w:hint="eastAsia" w:ascii="仿宋" w:hAnsi="仿宋" w:eastAsia="仿宋" w:cs="Times New Roman"/>
          <w:sz w:val="32"/>
          <w:szCs w:val="32"/>
          <w:lang w:val="en-US" w:eastAsia="zh-CN"/>
        </w:rPr>
        <w:t>中华人民共和国</w:t>
      </w:r>
      <w:bookmarkStart w:id="5" w:name="_GoBack"/>
      <w:bookmarkEnd w:id="5"/>
      <w:r>
        <w:rPr>
          <w:rFonts w:hint="eastAsia" w:ascii="仿宋" w:hAnsi="仿宋" w:eastAsia="仿宋" w:cs="Times New Roman"/>
          <w:sz w:val="32"/>
          <w:szCs w:val="32"/>
        </w:rPr>
        <w:t>预算法》、《地方预决算公开操作规程》和《河北省省级预算公开办法》规定，现将涞水县总工会 2020年部门预算公开如下：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spacing w:line="540" w:lineRule="exact"/>
        <w:ind w:firstLine="640"/>
        <w:rPr>
          <w:rFonts w:ascii="黑体" w:hAnsi="黑体" w:eastAsia="黑体"/>
          <w:sz w:val="32"/>
          <w:szCs w:val="32"/>
        </w:rPr>
      </w:pPr>
      <w:r>
        <w:rPr>
          <w:rFonts w:hint="eastAsia" w:ascii="黑体" w:hAnsi="黑体" w:eastAsia="黑体"/>
          <w:sz w:val="32"/>
          <w:szCs w:val="32"/>
        </w:rPr>
        <w:t>部门职责：</w:t>
      </w:r>
    </w:p>
    <w:p>
      <w:pPr>
        <w:ind w:firstLine="640"/>
        <w:rPr>
          <w:rFonts w:ascii="仿宋" w:hAnsi="仿宋" w:eastAsia="仿宋" w:cs="Times New Roman"/>
          <w:sz w:val="32"/>
          <w:szCs w:val="32"/>
        </w:rPr>
      </w:pPr>
      <w:r>
        <w:rPr>
          <w:rFonts w:hint="eastAsia" w:ascii="仿宋" w:hAnsi="仿宋" w:eastAsia="仿宋" w:cs="Times New Roman"/>
          <w:sz w:val="32"/>
          <w:szCs w:val="32"/>
        </w:rPr>
        <w:t>（一）依照法律和《中国工会章程》，组织和指导全县各基层工会坚定不移地落实党的全心全意依靠工人阶级根本指导方针，进一步突出和履行维权职能。</w:t>
      </w:r>
    </w:p>
    <w:p>
      <w:pPr>
        <w:ind w:firstLine="640"/>
        <w:rPr>
          <w:rFonts w:ascii="仿宋" w:hAnsi="仿宋" w:eastAsia="仿宋" w:cs="Times New Roman"/>
          <w:sz w:val="32"/>
          <w:szCs w:val="32"/>
        </w:rPr>
      </w:pPr>
      <w:r>
        <w:rPr>
          <w:rFonts w:hint="eastAsia" w:ascii="仿宋" w:hAnsi="仿宋" w:eastAsia="仿宋" w:cs="Times New Roman"/>
          <w:sz w:val="32"/>
          <w:szCs w:val="32"/>
        </w:rPr>
        <w:t>（二）围绕职工合法权益的重大问题进行调查研究，向县委、县政府和市总工会反映职工群众的思想、愿望和要求，提出意见和建议；参与涉及职工切身利益的有关地方性规章、政策、措施、制度的拟定；组织基层工会对单位安全生产和职业病防治进行监督，参与职工重大伤亡事故的调查处理。</w:t>
      </w:r>
    </w:p>
    <w:p>
      <w:pPr>
        <w:ind w:firstLine="640"/>
        <w:rPr>
          <w:rFonts w:ascii="仿宋" w:hAnsi="仿宋" w:eastAsia="仿宋" w:cs="Times New Roman"/>
          <w:sz w:val="32"/>
          <w:szCs w:val="32"/>
        </w:rPr>
      </w:pPr>
      <w:r>
        <w:rPr>
          <w:rFonts w:hint="eastAsia" w:ascii="仿宋" w:hAnsi="仿宋" w:eastAsia="仿宋" w:cs="Times New Roman"/>
          <w:sz w:val="32"/>
          <w:szCs w:val="32"/>
        </w:rPr>
        <w:t>（三）研究拟定工会组织制度和民主制度，指导全县各工会组织开展以职工代表大会为基本制度的民主选举、民主决策、民主管理和民主监督工作，推动基层工会建立集体合同制度、工资集体协商制度和监督保证机制，参与指导劳动合同签订工作；指导基层工会开展群众性经济技术创新活动。</w:t>
      </w:r>
    </w:p>
    <w:p>
      <w:pPr>
        <w:ind w:firstLine="640"/>
        <w:rPr>
          <w:rFonts w:ascii="仿宋" w:hAnsi="仿宋" w:eastAsia="仿宋" w:cs="Times New Roman"/>
          <w:sz w:val="32"/>
          <w:szCs w:val="32"/>
        </w:rPr>
      </w:pPr>
      <w:r>
        <w:rPr>
          <w:rFonts w:hint="eastAsia" w:ascii="仿宋" w:hAnsi="仿宋" w:eastAsia="仿宋" w:cs="Times New Roman"/>
          <w:sz w:val="32"/>
          <w:szCs w:val="32"/>
        </w:rPr>
        <w:t>（四）协助县政府做好市级、省级及全国劳模的推荐、评选、管理工作。</w:t>
      </w:r>
    </w:p>
    <w:p>
      <w:pPr>
        <w:ind w:firstLine="640"/>
        <w:rPr>
          <w:rFonts w:ascii="仿宋" w:hAnsi="仿宋" w:eastAsia="仿宋" w:cs="Times New Roman"/>
          <w:sz w:val="32"/>
          <w:szCs w:val="32"/>
        </w:rPr>
      </w:pPr>
      <w:r>
        <w:rPr>
          <w:rFonts w:hint="eastAsia" w:ascii="仿宋" w:hAnsi="仿宋" w:eastAsia="仿宋" w:cs="Times New Roman"/>
          <w:sz w:val="32"/>
          <w:szCs w:val="32"/>
        </w:rPr>
        <w:t>（五）负责工会经费和工会资产的管理审查、审计工作，负责对工会兴办的职工劳动福利事业的指导、协调工作。</w:t>
      </w:r>
    </w:p>
    <w:p>
      <w:pPr>
        <w:ind w:firstLine="640"/>
        <w:rPr>
          <w:rFonts w:ascii="仿宋" w:hAnsi="仿宋" w:eastAsia="仿宋"/>
          <w:sz w:val="32"/>
          <w:szCs w:val="32"/>
        </w:rPr>
      </w:pPr>
      <w:r>
        <w:rPr>
          <w:rFonts w:hint="eastAsia" w:ascii="仿宋" w:hAnsi="仿宋" w:eastAsia="仿宋" w:cs="Times New Roman"/>
          <w:sz w:val="32"/>
          <w:szCs w:val="32"/>
        </w:rPr>
        <w:t>（六）承担县委、县政府及市总工会交办的其他事项。</w:t>
      </w:r>
    </w:p>
    <w:p>
      <w:pPr>
        <w:ind w:firstLine="640"/>
        <w:rPr>
          <w:rFonts w:ascii="黑体" w:hAnsi="黑体" w:eastAsia="黑体" w:cs="黑体"/>
          <w:bCs/>
          <w:sz w:val="32"/>
          <w:szCs w:val="32"/>
        </w:rPr>
      </w:pPr>
      <w:r>
        <w:rPr>
          <w:rFonts w:hint="eastAsia" w:ascii="黑体" w:hAnsi="黑体" w:eastAsia="黑体" w:cs="黑体"/>
          <w:bCs/>
          <w:sz w:val="32"/>
          <w:szCs w:val="32"/>
        </w:rPr>
        <w:t>机构设置：</w:t>
      </w:r>
    </w:p>
    <w:tbl>
      <w:tblPr>
        <w:tblStyle w:val="5"/>
        <w:tblW w:w="8237" w:type="dxa"/>
        <w:jc w:val="center"/>
        <w:tblLayout w:type="fixed"/>
        <w:tblCellMar>
          <w:top w:w="0" w:type="dxa"/>
          <w:left w:w="108" w:type="dxa"/>
          <w:bottom w:w="0" w:type="dxa"/>
          <w:right w:w="108" w:type="dxa"/>
        </w:tblCellMar>
      </w:tblPr>
      <w:tblGrid>
        <w:gridCol w:w="866"/>
        <w:gridCol w:w="1984"/>
        <w:gridCol w:w="1418"/>
        <w:gridCol w:w="1417"/>
        <w:gridCol w:w="2552"/>
      </w:tblGrid>
      <w:tr>
        <w:tblPrEx>
          <w:tblCellMar>
            <w:top w:w="0" w:type="dxa"/>
            <w:left w:w="108" w:type="dxa"/>
            <w:bottom w:w="0" w:type="dxa"/>
            <w:right w:w="108" w:type="dxa"/>
          </w:tblCellMar>
        </w:tblPrEx>
        <w:trPr>
          <w:trHeight w:val="810" w:hRule="atLeast"/>
          <w:jc w:val="center"/>
        </w:trPr>
        <w:tc>
          <w:tcPr>
            <w:tcW w:w="8237" w:type="dxa"/>
            <w:gridSpan w:val="5"/>
            <w:tcBorders>
              <w:top w:val="nil"/>
              <w:left w:val="nil"/>
              <w:bottom w:val="single" w:color="auto" w:sz="4" w:space="0"/>
              <w:right w:val="nil"/>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部门机构设置情况</w:t>
            </w:r>
          </w:p>
        </w:tc>
      </w:tr>
      <w:tr>
        <w:tblPrEx>
          <w:tblCellMar>
            <w:top w:w="0" w:type="dxa"/>
            <w:left w:w="108" w:type="dxa"/>
            <w:bottom w:w="0" w:type="dxa"/>
            <w:right w:w="108" w:type="dxa"/>
          </w:tblCellMar>
        </w:tblPrEx>
        <w:trPr>
          <w:trHeight w:val="720" w:hRule="atLeast"/>
          <w:jc w:val="center"/>
        </w:trPr>
        <w:tc>
          <w:tcPr>
            <w:tcW w:w="86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198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单位名称</w:t>
            </w:r>
          </w:p>
        </w:tc>
        <w:tc>
          <w:tcPr>
            <w:tcW w:w="141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单位性质</w:t>
            </w:r>
          </w:p>
        </w:tc>
        <w:tc>
          <w:tcPr>
            <w:tcW w:w="141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单位规格</w:t>
            </w:r>
          </w:p>
        </w:tc>
        <w:tc>
          <w:tcPr>
            <w:tcW w:w="255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经费保障形式</w:t>
            </w:r>
          </w:p>
        </w:tc>
      </w:tr>
      <w:tr>
        <w:tblPrEx>
          <w:tblCellMar>
            <w:top w:w="0" w:type="dxa"/>
            <w:left w:w="108" w:type="dxa"/>
            <w:bottom w:w="0" w:type="dxa"/>
            <w:right w:w="108" w:type="dxa"/>
          </w:tblCellMar>
        </w:tblPrEx>
        <w:trPr>
          <w:trHeight w:val="624" w:hRule="atLeast"/>
          <w:jc w:val="center"/>
        </w:trPr>
        <w:tc>
          <w:tcPr>
            <w:tcW w:w="8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19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8"/>
                <w:szCs w:val="28"/>
              </w:rPr>
            </w:pPr>
          </w:p>
        </w:tc>
        <w:tc>
          <w:tcPr>
            <w:tcW w:w="255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720" w:hRule="atLeast"/>
          <w:jc w:val="center"/>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198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涞水县总工会</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行政</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副处级</w:t>
            </w:r>
          </w:p>
        </w:tc>
        <w:tc>
          <w:tcPr>
            <w:tcW w:w="2552"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8"/>
                <w:szCs w:val="28"/>
              </w:rPr>
            </w:pPr>
            <w:r>
              <w:rPr>
                <w:rFonts w:hint="eastAsia" w:ascii="宋体" w:hAnsi="宋体" w:eastAsia="宋体" w:cs="仿宋"/>
                <w:spacing w:val="10"/>
                <w:sz w:val="28"/>
                <w:szCs w:val="28"/>
              </w:rPr>
              <w:t>财政拨款</w:t>
            </w:r>
          </w:p>
        </w:tc>
      </w:tr>
    </w:tbl>
    <w:p>
      <w:pPr>
        <w:rPr>
          <w:rFonts w:ascii="仿宋" w:hAnsi="仿宋" w:eastAsia="仿宋" w:cs="仿宋"/>
          <w:b/>
          <w:sz w:val="32"/>
          <w:szCs w:val="32"/>
        </w:rPr>
      </w:pPr>
    </w:p>
    <w:p>
      <w:pPr>
        <w:spacing w:line="640" w:lineRule="exact"/>
        <w:ind w:firstLine="640" w:firstLineChars="200"/>
        <w:rPr>
          <w:rFonts w:ascii="仿宋" w:hAnsi="仿宋" w:eastAsia="仿宋" w:cs="仿宋"/>
          <w:spacing w:val="10"/>
          <w:sz w:val="32"/>
          <w:szCs w:val="32"/>
        </w:rPr>
      </w:pPr>
      <w:r>
        <w:rPr>
          <w:rFonts w:hint="eastAsia" w:ascii="仿宋" w:hAnsi="仿宋" w:eastAsia="仿宋" w:cs="仿宋"/>
          <w:sz w:val="32"/>
          <w:szCs w:val="32"/>
        </w:rPr>
        <w:t>涞水县总工会机关设综合办公室、困难职工帮扶中心2个职能股室。机关行政编制3名，机关其他编制3名。其中主席1名，副主席2名，股级职数2名。</w:t>
      </w:r>
      <w:r>
        <w:rPr>
          <w:rFonts w:hint="eastAsia" w:ascii="仿宋" w:hAnsi="仿宋" w:eastAsia="仿宋" w:cs="仿宋"/>
          <w:spacing w:val="10"/>
          <w:sz w:val="32"/>
          <w:szCs w:val="32"/>
        </w:rPr>
        <w:t>2019年末实有在职人数7人，其中副处级1人、正科级2人、副科级1人、机关工勤人员3人，退休人数6人。</w:t>
      </w:r>
    </w:p>
    <w:p>
      <w:pPr>
        <w:spacing w:line="640" w:lineRule="exact"/>
        <w:ind w:firstLine="680" w:firstLineChars="200"/>
        <w:rPr>
          <w:rFonts w:ascii="黑体" w:hAnsi="黑体" w:eastAsia="黑体" w:cs="仿宋"/>
          <w:spacing w:val="10"/>
          <w:sz w:val="32"/>
          <w:szCs w:val="32"/>
        </w:rPr>
      </w:pPr>
      <w:r>
        <w:rPr>
          <w:rFonts w:hint="eastAsia" w:ascii="黑体" w:hAnsi="黑体" w:eastAsia="黑体" w:cs="仿宋"/>
          <w:spacing w:val="10"/>
          <w:sz w:val="32"/>
          <w:szCs w:val="32"/>
        </w:rPr>
        <w:t>二、部门预算安排总体情况</w:t>
      </w:r>
    </w:p>
    <w:p>
      <w:pPr>
        <w:spacing w:line="540" w:lineRule="exact"/>
        <w:ind w:firstLine="640"/>
        <w:rPr>
          <w:rFonts w:ascii="楷体" w:hAnsi="楷体" w:eastAsia="楷体" w:cs="楷体"/>
          <w:spacing w:val="10"/>
          <w:sz w:val="32"/>
          <w:szCs w:val="32"/>
        </w:rPr>
      </w:pPr>
      <w:r>
        <w:rPr>
          <w:rFonts w:hint="eastAsia" w:ascii="楷体" w:hAnsi="楷体" w:eastAsia="楷体" w:cs="楷体"/>
          <w:spacing w:val="10"/>
          <w:sz w:val="32"/>
          <w:szCs w:val="32"/>
        </w:rPr>
        <w:t>（一）收入说明</w:t>
      </w:r>
    </w:p>
    <w:p>
      <w:pPr>
        <w:ind w:firstLine="640"/>
        <w:rPr>
          <w:rFonts w:ascii="仿宋" w:hAnsi="仿宋" w:eastAsia="仿宋" w:cs="仿宋"/>
          <w:spacing w:val="10"/>
          <w:sz w:val="32"/>
          <w:szCs w:val="32"/>
        </w:rPr>
      </w:pPr>
      <w:r>
        <w:rPr>
          <w:rFonts w:hint="eastAsia" w:ascii="仿宋" w:hAnsi="仿宋" w:eastAsia="仿宋" w:cs="仿宋"/>
          <w:spacing w:val="10"/>
          <w:sz w:val="32"/>
          <w:szCs w:val="32"/>
        </w:rPr>
        <w:t>2020年一般公共预算总收入117.42万元，其中财政拨款收入110.23万元、中央财政提前通知转移支付7.19万元</w:t>
      </w:r>
    </w:p>
    <w:p>
      <w:pPr>
        <w:spacing w:line="540" w:lineRule="exact"/>
        <w:ind w:firstLine="640"/>
        <w:rPr>
          <w:rFonts w:ascii="楷体" w:hAnsi="楷体" w:eastAsia="楷体" w:cs="楷体"/>
          <w:spacing w:val="10"/>
          <w:sz w:val="32"/>
          <w:szCs w:val="32"/>
        </w:rPr>
      </w:pPr>
      <w:r>
        <w:rPr>
          <w:rFonts w:hint="eastAsia" w:ascii="楷体" w:hAnsi="楷体" w:eastAsia="楷体" w:cs="楷体"/>
          <w:spacing w:val="10"/>
          <w:sz w:val="32"/>
          <w:szCs w:val="32"/>
        </w:rPr>
        <w:t>（二）支出说明</w:t>
      </w:r>
    </w:p>
    <w:p>
      <w:pPr>
        <w:ind w:firstLine="640"/>
        <w:rPr>
          <w:rFonts w:ascii="仿宋" w:hAnsi="仿宋" w:eastAsia="仿宋"/>
          <w:sz w:val="32"/>
          <w:szCs w:val="32"/>
        </w:rPr>
      </w:pPr>
      <w:r>
        <w:rPr>
          <w:rFonts w:hint="eastAsia" w:ascii="仿宋" w:hAnsi="仿宋" w:eastAsia="仿宋" w:cs="仿宋"/>
          <w:spacing w:val="10"/>
          <w:sz w:val="32"/>
          <w:szCs w:val="32"/>
        </w:rPr>
        <w:t>2020年一般公共预算总支出117.42万元，其中基本支出70.23万元，包括</w:t>
      </w:r>
      <w:r>
        <w:rPr>
          <w:rFonts w:hint="eastAsia" w:ascii="仿宋" w:hAnsi="仿宋" w:eastAsia="仿宋"/>
          <w:sz w:val="32"/>
          <w:szCs w:val="32"/>
        </w:rPr>
        <w:t>人员经费57.81万元和日常公用经费12.42万元；项目支出47.19万元，包括财政划拨工会经费40万元和2020年困难职工及劳模帮扶救助专项资金7.19万元。</w:t>
      </w:r>
    </w:p>
    <w:p>
      <w:pPr>
        <w:spacing w:line="540" w:lineRule="exact"/>
        <w:ind w:firstLine="640"/>
        <w:rPr>
          <w:rFonts w:ascii="楷体" w:hAnsi="楷体" w:eastAsia="楷体" w:cs="楷体"/>
          <w:spacing w:val="10"/>
          <w:sz w:val="32"/>
          <w:szCs w:val="32"/>
        </w:rPr>
      </w:pPr>
      <w:r>
        <w:rPr>
          <w:rFonts w:hint="eastAsia" w:ascii="楷体" w:hAnsi="楷体" w:eastAsia="楷体" w:cs="楷体"/>
          <w:spacing w:val="10"/>
          <w:sz w:val="32"/>
          <w:szCs w:val="32"/>
        </w:rPr>
        <w:t>（三）比上年增减情况</w:t>
      </w:r>
    </w:p>
    <w:p>
      <w:pPr>
        <w:ind w:firstLine="640"/>
        <w:rPr>
          <w:rFonts w:ascii="仿宋" w:hAnsi="仿宋" w:eastAsia="仿宋"/>
          <w:sz w:val="32"/>
          <w:szCs w:val="32"/>
        </w:rPr>
      </w:pPr>
      <w:r>
        <w:rPr>
          <w:rFonts w:hint="eastAsia" w:ascii="仿宋" w:hAnsi="仿宋" w:eastAsia="仿宋"/>
          <w:sz w:val="32"/>
          <w:szCs w:val="32"/>
        </w:rPr>
        <w:t>本年度预算收支安排117.42万元，较上年增加12.71万元。其中：基本支出中人员经费增加10.92万元，主要原因是调入人员一名；基本支出日常公用经费增加1.2万元，主要原因是其他交通费增加，工会经费和职工福利费略有增加。项目支出增加了0.59万元，主要原因是2020年困难职工及劳模帮扶救助专项资金比2019年增加了0.59万元。</w:t>
      </w:r>
    </w:p>
    <w:p>
      <w:pPr>
        <w:ind w:firstLine="640"/>
        <w:rPr>
          <w:rFonts w:ascii="黑体" w:hAnsi="黑体" w:eastAsia="黑体"/>
          <w:sz w:val="32"/>
          <w:szCs w:val="32"/>
        </w:rPr>
      </w:pPr>
      <w:r>
        <w:rPr>
          <w:rFonts w:hint="eastAsia" w:ascii="黑体" w:hAnsi="黑体" w:eastAsia="黑体"/>
          <w:sz w:val="32"/>
          <w:szCs w:val="32"/>
        </w:rPr>
        <w:t>三、机关运行经费安排情况</w:t>
      </w:r>
    </w:p>
    <w:p>
      <w:pPr>
        <w:ind w:firstLine="640"/>
        <w:rPr>
          <w:rFonts w:ascii="仿宋" w:hAnsi="仿宋" w:eastAsia="仿宋"/>
          <w:sz w:val="32"/>
          <w:szCs w:val="32"/>
        </w:rPr>
      </w:pPr>
      <w:r>
        <w:rPr>
          <w:rFonts w:hint="eastAsia" w:ascii="仿宋" w:hAnsi="仿宋" w:eastAsia="仿宋"/>
          <w:sz w:val="32"/>
          <w:szCs w:val="32"/>
        </w:rPr>
        <w:t>2020年一般公共预算拨款日常公用经费12.42万元，其中</w:t>
      </w:r>
      <w:r>
        <w:rPr>
          <w:rFonts w:ascii="仿宋" w:hAnsi="仿宋" w:eastAsia="仿宋"/>
          <w:sz w:val="32"/>
          <w:szCs w:val="32"/>
        </w:rPr>
        <w:t xml:space="preserve"> </w:t>
      </w:r>
      <w:r>
        <w:rPr>
          <w:rFonts w:hint="eastAsia" w:ascii="仿宋" w:hAnsi="仿宋" w:eastAsia="仿宋"/>
          <w:sz w:val="32"/>
          <w:szCs w:val="32"/>
        </w:rPr>
        <w:t>办公费0.92万元、邮电费0.36万元、差旅费0.60万元、公务接待费0.40万元、工会经费0.46万元、公务用车运行维护费2万元、其他交通费用3.84万元、其他商品和服务支出3.84万元。</w:t>
      </w:r>
    </w:p>
    <w:p>
      <w:pPr>
        <w:ind w:firstLine="640"/>
        <w:rPr>
          <w:rFonts w:ascii="黑体" w:hAnsi="黑体" w:eastAsia="黑体"/>
          <w:sz w:val="32"/>
          <w:szCs w:val="32"/>
        </w:rPr>
      </w:pPr>
      <w:r>
        <w:rPr>
          <w:rFonts w:hint="eastAsia" w:ascii="黑体" w:hAnsi="黑体" w:eastAsia="黑体"/>
          <w:sz w:val="32"/>
          <w:szCs w:val="32"/>
        </w:rPr>
        <w:t>四、2020年一般公共预算拨款“三公”经费预算情况</w:t>
      </w:r>
    </w:p>
    <w:p>
      <w:pPr>
        <w:ind w:firstLine="640"/>
        <w:rPr>
          <w:rFonts w:ascii="仿宋" w:hAnsi="仿宋" w:eastAsia="仿宋"/>
          <w:sz w:val="32"/>
          <w:szCs w:val="32"/>
        </w:rPr>
      </w:pPr>
      <w:r>
        <w:rPr>
          <w:rFonts w:hint="eastAsia" w:ascii="仿宋" w:hAnsi="仿宋" w:eastAsia="仿宋"/>
          <w:sz w:val="32"/>
          <w:szCs w:val="32"/>
        </w:rPr>
        <w:t>2019年一般公共预算拨款“三公”经费预算3.9万元，其中公务用车运行维护费3.5万元，公务接待费0.4万元。</w:t>
      </w:r>
    </w:p>
    <w:p>
      <w:pPr>
        <w:ind w:firstLine="640"/>
        <w:rPr>
          <w:rFonts w:ascii="仿宋" w:hAnsi="仿宋" w:eastAsia="仿宋"/>
          <w:sz w:val="32"/>
          <w:szCs w:val="32"/>
        </w:rPr>
      </w:pPr>
      <w:r>
        <w:rPr>
          <w:rFonts w:hint="eastAsia" w:ascii="仿宋" w:hAnsi="仿宋" w:eastAsia="仿宋"/>
          <w:sz w:val="32"/>
          <w:szCs w:val="32"/>
        </w:rPr>
        <w:t>2020年一般公共预算拨款“三公”经费预算2.4万元，同比减少38.46%。其中公务用车运行维护费2万元，同比减少42.86%。公务接待费0.40万元，与2019年预算持平。预计接待7批次，53人次。无因公出国（境）费。</w:t>
      </w:r>
    </w:p>
    <w:p>
      <w:pPr>
        <w:snapToGrid w:val="0"/>
        <w:spacing w:line="560" w:lineRule="exact"/>
        <w:ind w:firstLine="640" w:firstLineChars="200"/>
        <w:jc w:val="center"/>
        <w:rPr>
          <w:rFonts w:ascii="仿宋" w:hAnsi="仿宋" w:eastAsia="仿宋"/>
          <w:sz w:val="32"/>
          <w:szCs w:val="32"/>
        </w:rPr>
      </w:pPr>
    </w:p>
    <w:p>
      <w:pPr>
        <w:snapToGrid w:val="0"/>
        <w:spacing w:line="560" w:lineRule="exact"/>
        <w:ind w:firstLine="643" w:firstLineChars="200"/>
        <w:jc w:val="center"/>
        <w:rPr>
          <w:rFonts w:ascii="仿宋" w:hAnsi="仿宋" w:eastAsia="仿宋" w:cs="仿宋"/>
          <w:b/>
          <w:sz w:val="32"/>
          <w:szCs w:val="32"/>
        </w:rPr>
      </w:pPr>
      <w:r>
        <w:rPr>
          <w:rFonts w:hint="eastAsia" w:ascii="仿宋" w:hAnsi="仿宋" w:eastAsia="仿宋" w:cs="仿宋"/>
          <w:b/>
          <w:sz w:val="32"/>
          <w:szCs w:val="32"/>
        </w:rPr>
        <w:t>涞水县总工会三公经费预算情况及增减变化原因</w:t>
      </w:r>
    </w:p>
    <w:p>
      <w:pPr>
        <w:snapToGrid w:val="0"/>
        <w:spacing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单位：万元</w:t>
      </w:r>
    </w:p>
    <w:tbl>
      <w:tblPr>
        <w:tblStyle w:val="5"/>
        <w:tblW w:w="8577"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302"/>
        <w:gridCol w:w="1476"/>
        <w:gridCol w:w="1546"/>
        <w:gridCol w:w="2625"/>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897" w:hRule="atLeast"/>
        </w:trPr>
        <w:tc>
          <w:tcPr>
            <w:tcW w:w="1618" w:type="dxa"/>
            <w:tcBorders>
              <w:right w:val="nil"/>
            </w:tcBorders>
          </w:tcPr>
          <w:p>
            <w:pPr>
              <w:snapToGrid w:val="0"/>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1302" w:type="dxa"/>
            <w:tcBorders>
              <w:right w:val="nil"/>
            </w:tcBorders>
          </w:tcPr>
          <w:p>
            <w:pPr>
              <w:snapToGrid w:val="0"/>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2019年度预算</w:t>
            </w:r>
          </w:p>
        </w:tc>
        <w:tc>
          <w:tcPr>
            <w:tcW w:w="1476" w:type="dxa"/>
            <w:tcBorders>
              <w:right w:val="nil"/>
            </w:tcBorders>
          </w:tcPr>
          <w:p>
            <w:pPr>
              <w:snapToGrid w:val="0"/>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2020年度预算</w:t>
            </w:r>
          </w:p>
        </w:tc>
        <w:tc>
          <w:tcPr>
            <w:tcW w:w="1546" w:type="dxa"/>
            <w:tcBorders>
              <w:right w:val="nil"/>
            </w:tcBorders>
          </w:tcPr>
          <w:p>
            <w:pPr>
              <w:snapToGrid w:val="0"/>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增减</w:t>
            </w:r>
          </w:p>
          <w:p>
            <w:pPr>
              <w:snapToGrid w:val="0"/>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金额</w:t>
            </w:r>
          </w:p>
        </w:tc>
        <w:tc>
          <w:tcPr>
            <w:tcW w:w="2625" w:type="dxa"/>
            <w:tcBorders>
              <w:right w:val="single" w:color="auto" w:sz="4" w:space="0"/>
            </w:tcBorders>
          </w:tcPr>
          <w:p>
            <w:pPr>
              <w:snapToGrid w:val="0"/>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618" w:type="dxa"/>
          </w:tcPr>
          <w:p>
            <w:pPr>
              <w:widowControl/>
              <w:spacing w:line="440" w:lineRule="exact"/>
              <w:ind w:left="280" w:hanging="280" w:hangingChars="1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因公出国经费</w:t>
            </w:r>
          </w:p>
        </w:tc>
        <w:tc>
          <w:tcPr>
            <w:tcW w:w="1302" w:type="dxa"/>
          </w:tcPr>
          <w:p>
            <w:pPr>
              <w:widowControl/>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76" w:type="dxa"/>
          </w:tcPr>
          <w:p>
            <w:pPr>
              <w:widowControl/>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546" w:type="dxa"/>
          </w:tcPr>
          <w:p>
            <w:pPr>
              <w:widowControl/>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2635" w:type="dxa"/>
            <w:gridSpan w:val="2"/>
          </w:tcPr>
          <w:p>
            <w:pPr>
              <w:widowControl/>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无增减变化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 w:type="dxa"/>
          <w:trHeight w:val="897" w:hRule="atLeast"/>
        </w:trPr>
        <w:tc>
          <w:tcPr>
            <w:tcW w:w="1618" w:type="dxa"/>
            <w:tcBorders>
              <w:top w:val="single" w:color="auto" w:sz="4" w:space="0"/>
              <w:left w:val="single" w:color="auto" w:sz="4" w:space="0"/>
              <w:bottom w:val="single" w:color="auto" w:sz="4" w:space="0"/>
            </w:tcBorders>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公务用车购置经费</w:t>
            </w:r>
          </w:p>
        </w:tc>
        <w:tc>
          <w:tcPr>
            <w:tcW w:w="1302" w:type="dxa"/>
            <w:tcBorders>
              <w:top w:val="single" w:color="auto" w:sz="4" w:space="0"/>
              <w:left w:val="single" w:color="auto" w:sz="4" w:space="0"/>
              <w:bottom w:val="single" w:color="auto" w:sz="4" w:space="0"/>
            </w:tcBorders>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76" w:type="dxa"/>
            <w:tcBorders>
              <w:top w:val="single" w:color="auto" w:sz="4" w:space="0"/>
              <w:left w:val="single" w:color="auto" w:sz="4" w:space="0"/>
              <w:bottom w:val="single" w:color="auto" w:sz="4" w:space="0"/>
            </w:tcBorders>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546" w:type="dxa"/>
            <w:tcBorders>
              <w:top w:val="single" w:color="auto" w:sz="4" w:space="0"/>
              <w:left w:val="single" w:color="auto" w:sz="4" w:space="0"/>
              <w:bottom w:val="single" w:color="auto" w:sz="4" w:space="0"/>
            </w:tcBorders>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2625"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897" w:hRule="atLeast"/>
        </w:trPr>
        <w:tc>
          <w:tcPr>
            <w:tcW w:w="1618" w:type="dxa"/>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公务用车运行经费</w:t>
            </w:r>
          </w:p>
        </w:tc>
        <w:tc>
          <w:tcPr>
            <w:tcW w:w="1302" w:type="dxa"/>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1476" w:type="dxa"/>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546" w:type="dxa"/>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2625" w:type="dxa"/>
          </w:tcPr>
          <w:p>
            <w:pPr>
              <w:spacing w:line="3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严格执行公务用车管理制度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897" w:hRule="atLeast"/>
        </w:trPr>
        <w:tc>
          <w:tcPr>
            <w:tcW w:w="1618" w:type="dxa"/>
          </w:tcPr>
          <w:p>
            <w:pPr>
              <w:spacing w:line="440" w:lineRule="exact"/>
              <w:ind w:left="140" w:hanging="140" w:hanging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公务接待费支出</w:t>
            </w:r>
          </w:p>
        </w:tc>
        <w:tc>
          <w:tcPr>
            <w:tcW w:w="1302" w:type="dxa"/>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0.4</w:t>
            </w:r>
          </w:p>
        </w:tc>
        <w:tc>
          <w:tcPr>
            <w:tcW w:w="1476" w:type="dxa"/>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0.4</w:t>
            </w:r>
          </w:p>
        </w:tc>
        <w:tc>
          <w:tcPr>
            <w:tcW w:w="1546" w:type="dxa"/>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2625" w:type="dxa"/>
          </w:tcPr>
          <w:p>
            <w:pPr>
              <w:spacing w:line="44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149" w:hRule="atLeast"/>
        </w:trPr>
        <w:tc>
          <w:tcPr>
            <w:tcW w:w="1618" w:type="dxa"/>
          </w:tcPr>
          <w:p>
            <w:pPr>
              <w:spacing w:line="560" w:lineRule="exact"/>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合计</w:t>
            </w:r>
          </w:p>
        </w:tc>
        <w:tc>
          <w:tcPr>
            <w:tcW w:w="1302" w:type="dxa"/>
          </w:tcPr>
          <w:p>
            <w:pPr>
              <w:spacing w:line="560" w:lineRule="exact"/>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3.9</w:t>
            </w:r>
          </w:p>
        </w:tc>
        <w:tc>
          <w:tcPr>
            <w:tcW w:w="1476" w:type="dxa"/>
          </w:tcPr>
          <w:p>
            <w:pPr>
              <w:spacing w:line="560" w:lineRule="exact"/>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2.4</w:t>
            </w:r>
          </w:p>
        </w:tc>
        <w:tc>
          <w:tcPr>
            <w:tcW w:w="1546" w:type="dxa"/>
          </w:tcPr>
          <w:p>
            <w:pPr>
              <w:spacing w:line="560" w:lineRule="exact"/>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-1.5</w:t>
            </w:r>
          </w:p>
        </w:tc>
        <w:tc>
          <w:tcPr>
            <w:tcW w:w="2625" w:type="dxa"/>
          </w:tcPr>
          <w:p>
            <w:pPr>
              <w:spacing w:line="560" w:lineRule="exact"/>
              <w:jc w:val="left"/>
              <w:rPr>
                <w:rFonts w:ascii="仿宋_GB2312" w:hAnsi="仿宋_GB2312" w:eastAsia="仿宋_GB2312" w:cs="仿宋_GB2312"/>
                <w:b/>
                <w:sz w:val="28"/>
                <w:szCs w:val="28"/>
              </w:rPr>
            </w:pPr>
            <w:r>
              <w:rPr>
                <w:rFonts w:hint="eastAsia" w:ascii="仿宋_GB2312" w:hAnsi="仿宋_GB2312" w:eastAsia="仿宋_GB2312" w:cs="仿宋_GB2312"/>
                <w:sz w:val="28"/>
                <w:szCs w:val="28"/>
              </w:rPr>
              <w:t>严格执行公务用车管理制度</w:t>
            </w:r>
          </w:p>
        </w:tc>
      </w:tr>
    </w:tbl>
    <w:p>
      <w:pPr>
        <w:ind w:firstLine="640" w:firstLineChars="200"/>
        <w:rPr>
          <w:rFonts w:ascii="黑体" w:hAnsi="黑体" w:eastAsia="黑体"/>
          <w:sz w:val="32"/>
          <w:szCs w:val="32"/>
        </w:rPr>
      </w:pPr>
      <w:r>
        <w:rPr>
          <w:rFonts w:hint="eastAsia" w:ascii="黑体" w:hAnsi="黑体" w:eastAsia="黑体"/>
          <w:sz w:val="32"/>
          <w:szCs w:val="32"/>
        </w:rPr>
        <w:t>五、绩效预算信息情况</w:t>
      </w:r>
    </w:p>
    <w:p>
      <w:pPr>
        <w:spacing w:line="600" w:lineRule="exact"/>
        <w:ind w:firstLine="641"/>
        <w:rPr>
          <w:rFonts w:ascii="黑体" w:hAnsi="黑体" w:eastAsia="黑体" w:cs="黑体"/>
          <w:sz w:val="32"/>
          <w:szCs w:val="32"/>
        </w:rPr>
      </w:pPr>
      <w:r>
        <w:rPr>
          <w:rFonts w:hint="eastAsia" w:ascii="黑体" w:hAnsi="黑体" w:eastAsia="黑体" w:cs="黑体"/>
          <w:sz w:val="32"/>
          <w:szCs w:val="32"/>
        </w:rPr>
        <w:t>第一部分  部门整体绩效目标</w:t>
      </w:r>
    </w:p>
    <w:p>
      <w:pPr>
        <w:spacing w:line="600" w:lineRule="exact"/>
        <w:ind w:firstLine="641"/>
        <w:rPr>
          <w:rFonts w:ascii="楷体" w:hAnsi="楷体" w:eastAsia="楷体" w:cs="楷体"/>
          <w:sz w:val="32"/>
          <w:szCs w:val="32"/>
        </w:rPr>
      </w:pPr>
      <w:r>
        <w:rPr>
          <w:rFonts w:hint="eastAsia" w:ascii="楷体" w:hAnsi="楷体" w:eastAsia="楷体" w:cs="楷体"/>
          <w:sz w:val="32"/>
          <w:szCs w:val="32"/>
        </w:rPr>
        <w:t>（一）总体绩效目标</w:t>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TC </w:instrText>
      </w:r>
      <w:bookmarkStart w:id="0" w:name="_Toc30000004"/>
      <w:r>
        <w:rPr>
          <w:rFonts w:hint="eastAsia" w:ascii="楷体" w:hAnsi="楷体" w:eastAsia="楷体" w:cs="楷体"/>
          <w:sz w:val="32"/>
          <w:szCs w:val="32"/>
        </w:rPr>
        <w:instrText xml:space="preserve">总体绩效目标</w:instrText>
      </w:r>
      <w:bookmarkEnd w:id="0"/>
      <w:r>
        <w:rPr>
          <w:rFonts w:hint="eastAsia" w:ascii="楷体" w:hAnsi="楷体" w:eastAsia="楷体" w:cs="楷体"/>
          <w:sz w:val="32"/>
          <w:szCs w:val="32"/>
        </w:rPr>
        <w:instrText xml:space="preserve"> \f A \l 1 </w:instrText>
      </w:r>
      <w:r>
        <w:rPr>
          <w:rFonts w:hint="eastAsia" w:ascii="楷体" w:hAnsi="楷体" w:eastAsia="楷体" w:cs="楷体"/>
          <w:sz w:val="32"/>
          <w:szCs w:val="32"/>
        </w:rPr>
        <w:fldChar w:fldCharType="end"/>
      </w:r>
    </w:p>
    <w:p>
      <w:pPr>
        <w:spacing w:line="600" w:lineRule="exact"/>
        <w:ind w:firstLine="641"/>
        <w:jc w:val="left"/>
        <w:rPr>
          <w:rFonts w:ascii="仿宋" w:hAnsi="仿宋" w:eastAsia="仿宋"/>
          <w:sz w:val="32"/>
          <w:szCs w:val="32"/>
        </w:rPr>
      </w:pPr>
      <w:r>
        <w:rPr>
          <w:rFonts w:ascii="仿宋" w:hAnsi="仿宋" w:eastAsia="仿宋"/>
          <w:sz w:val="32"/>
          <w:szCs w:val="32"/>
        </w:rPr>
        <w:t>以习近平新时代中国特色社会主义思想为指导，深入学习贯彻党的十九大精神，按照省总十七大关于牢牢把握坚定正确的政治方向、大抓基层的工作导向、务求实效的价值取向，高度聚焦思想政治引领、建功新时代、维权服务三项重点任务的要求，深入推进产业工人队伍建设改革和工会改革，突出强化工会工作的政治性、先进性、群众性。坚定政治立场，加强思想引领，做实做深职工思想政治工作。在全县广大职工中积极开展提质增效促发展劳动竞赛活动。切实帮助困难职工战胜困难。抓好网上工会建设。履行维权职责，努力构建和谐稳定的劳动关系。认真搞好劳模管理工作，落实劳模待遇，搞好特困劳模的救助。督导各基层工会认真落实《河北省基层工会经费收支管理实施细则》，抓好</w:t>
      </w:r>
      <w:r>
        <w:rPr>
          <w:rFonts w:hint="eastAsia" w:ascii="仿宋" w:hAnsi="仿宋" w:eastAsia="仿宋"/>
          <w:sz w:val="32"/>
          <w:szCs w:val="32"/>
          <w:highlight w:val="none"/>
        </w:rPr>
        <w:t>县委、县政府</w:t>
      </w:r>
      <w:r>
        <w:rPr>
          <w:rFonts w:ascii="仿宋" w:hAnsi="仿宋" w:eastAsia="仿宋"/>
          <w:sz w:val="32"/>
          <w:szCs w:val="32"/>
          <w:highlight w:val="none"/>
        </w:rPr>
        <w:t>安</w:t>
      </w:r>
      <w:r>
        <w:rPr>
          <w:rFonts w:ascii="仿宋" w:hAnsi="仿宋" w:eastAsia="仿宋"/>
          <w:sz w:val="32"/>
          <w:szCs w:val="32"/>
        </w:rPr>
        <w:t>排的包联扶贫、维稳、安全生产、重点项目建设等工作。围绕全县工作重心发挥好工会职能作用。</w:t>
      </w:r>
    </w:p>
    <w:p>
      <w:pPr>
        <w:spacing w:line="600" w:lineRule="exact"/>
        <w:ind w:firstLine="641"/>
        <w:jc w:val="left"/>
        <w:outlineLvl w:val="1"/>
        <w:rPr>
          <w:rFonts w:ascii="楷体" w:hAnsi="楷体" w:eastAsia="楷体" w:cs="楷体"/>
          <w:sz w:val="32"/>
          <w:szCs w:val="32"/>
        </w:rPr>
      </w:pPr>
      <w:r>
        <w:rPr>
          <w:rFonts w:hint="eastAsia" w:ascii="楷体" w:hAnsi="楷体" w:eastAsia="楷体" w:cs="楷体"/>
          <w:sz w:val="32"/>
          <w:szCs w:val="32"/>
        </w:rPr>
        <w:t>（二）分项绩效目标</w:t>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TC </w:instrText>
      </w:r>
      <w:bookmarkStart w:id="1" w:name="_Toc30000005"/>
      <w:r>
        <w:rPr>
          <w:rFonts w:hint="eastAsia" w:ascii="楷体" w:hAnsi="楷体" w:eastAsia="楷体" w:cs="楷体"/>
          <w:sz w:val="32"/>
          <w:szCs w:val="32"/>
        </w:rPr>
        <w:instrText xml:space="preserve">分项绩效目标</w:instrText>
      </w:r>
      <w:bookmarkEnd w:id="1"/>
      <w:r>
        <w:rPr>
          <w:rFonts w:hint="eastAsia" w:ascii="楷体" w:hAnsi="楷体" w:eastAsia="楷体" w:cs="楷体"/>
          <w:sz w:val="32"/>
          <w:szCs w:val="32"/>
        </w:rPr>
        <w:instrText xml:space="preserve"> \f A \l 1 </w:instrText>
      </w:r>
      <w:r>
        <w:rPr>
          <w:rFonts w:hint="eastAsia" w:ascii="楷体" w:hAnsi="楷体" w:eastAsia="楷体" w:cs="楷体"/>
          <w:sz w:val="32"/>
          <w:szCs w:val="32"/>
        </w:rPr>
        <w:fldChar w:fldCharType="end"/>
      </w:r>
    </w:p>
    <w:p>
      <w:pPr>
        <w:spacing w:line="600" w:lineRule="exact"/>
        <w:ind w:firstLine="641"/>
        <w:jc w:val="left"/>
        <w:rPr>
          <w:rFonts w:ascii="仿宋" w:hAnsi="仿宋" w:eastAsia="仿宋" w:cs="仿宋"/>
          <w:b/>
          <w:bCs/>
          <w:sz w:val="32"/>
          <w:szCs w:val="32"/>
        </w:rPr>
      </w:pPr>
      <w:r>
        <w:rPr>
          <w:rFonts w:hint="eastAsia" w:ascii="仿宋" w:hAnsi="仿宋" w:eastAsia="仿宋" w:cs="仿宋"/>
          <w:b/>
          <w:bCs/>
          <w:sz w:val="32"/>
          <w:szCs w:val="32"/>
        </w:rPr>
        <w:t>1、工会经费</w:t>
      </w:r>
    </w:p>
    <w:p>
      <w:pPr>
        <w:spacing w:line="600" w:lineRule="exact"/>
        <w:ind w:firstLine="641"/>
        <w:jc w:val="left"/>
        <w:rPr>
          <w:rFonts w:ascii="仿宋" w:hAnsi="仿宋" w:eastAsia="仿宋"/>
          <w:sz w:val="32"/>
          <w:szCs w:val="32"/>
        </w:rPr>
      </w:pPr>
      <w:r>
        <w:rPr>
          <w:rFonts w:ascii="仿宋" w:hAnsi="仿宋" w:eastAsia="仿宋"/>
          <w:sz w:val="32"/>
          <w:szCs w:val="32"/>
        </w:rPr>
        <w:t>绩效目标：完善工会参与社会管理机制；指导基层工会开展群众性经济技术创新活动以及劳动竞赛、岗位练兵和技能比赛、安全知识竞赛等活动。</w:t>
      </w:r>
    </w:p>
    <w:p>
      <w:pPr>
        <w:spacing w:line="600" w:lineRule="exact"/>
        <w:ind w:firstLine="641"/>
        <w:jc w:val="left"/>
        <w:rPr>
          <w:rFonts w:ascii="仿宋" w:hAnsi="仿宋" w:eastAsia="仿宋"/>
          <w:sz w:val="32"/>
          <w:szCs w:val="32"/>
        </w:rPr>
      </w:pPr>
      <w:r>
        <w:rPr>
          <w:rFonts w:ascii="仿宋" w:hAnsi="仿宋" w:eastAsia="仿宋"/>
          <w:sz w:val="32"/>
          <w:szCs w:val="32"/>
        </w:rPr>
        <w:t>绩效指标：全县技能比赛参赛职工数达到2000人以上。</w:t>
      </w:r>
    </w:p>
    <w:p>
      <w:pPr>
        <w:spacing w:line="600" w:lineRule="exact"/>
        <w:ind w:firstLine="641"/>
        <w:jc w:val="left"/>
        <w:rPr>
          <w:rFonts w:ascii="仿宋" w:hAnsi="仿宋" w:eastAsia="仿宋" w:cs="仿宋"/>
          <w:b/>
          <w:bCs/>
          <w:sz w:val="32"/>
          <w:szCs w:val="32"/>
        </w:rPr>
      </w:pPr>
      <w:r>
        <w:rPr>
          <w:rFonts w:hint="eastAsia" w:ascii="仿宋" w:hAnsi="仿宋" w:eastAsia="仿宋" w:cs="仿宋"/>
          <w:b/>
          <w:bCs/>
          <w:sz w:val="32"/>
          <w:szCs w:val="32"/>
        </w:rPr>
        <w:t>2、困难职工及劳模帮扶救助资金</w:t>
      </w:r>
    </w:p>
    <w:p>
      <w:pPr>
        <w:spacing w:line="600" w:lineRule="exact"/>
        <w:ind w:firstLine="641"/>
        <w:jc w:val="left"/>
        <w:rPr>
          <w:rFonts w:ascii="仿宋" w:hAnsi="仿宋" w:eastAsia="仿宋"/>
          <w:sz w:val="32"/>
          <w:szCs w:val="32"/>
        </w:rPr>
      </w:pPr>
      <w:r>
        <w:rPr>
          <w:rFonts w:ascii="仿宋" w:hAnsi="仿宋" w:eastAsia="仿宋"/>
          <w:sz w:val="32"/>
          <w:szCs w:val="32"/>
        </w:rPr>
        <w:t>绩效目标：科学制定帮扶救助标准，准确界定帮扶救助对象。帮扶在档管理的困难职工，及时发放帮扶救助资金，保障困难职工的基本生活。</w:t>
      </w:r>
    </w:p>
    <w:p>
      <w:pPr>
        <w:spacing w:line="600" w:lineRule="exact"/>
        <w:ind w:firstLine="641"/>
        <w:jc w:val="left"/>
        <w:rPr>
          <w:rFonts w:ascii="仿宋" w:hAnsi="仿宋" w:eastAsia="仿宋"/>
          <w:sz w:val="32"/>
          <w:szCs w:val="32"/>
        </w:rPr>
      </w:pPr>
      <w:r>
        <w:rPr>
          <w:rFonts w:ascii="仿宋" w:hAnsi="仿宋" w:eastAsia="仿宋"/>
          <w:sz w:val="32"/>
          <w:szCs w:val="32"/>
        </w:rPr>
        <w:t>绩效指标：在档管理的困难职工帮扶救助率达到100%。</w:t>
      </w:r>
    </w:p>
    <w:p>
      <w:pPr>
        <w:spacing w:line="600" w:lineRule="exact"/>
        <w:ind w:firstLine="641"/>
        <w:jc w:val="left"/>
        <w:outlineLvl w:val="1"/>
        <w:rPr>
          <w:rFonts w:ascii="楷体" w:hAnsi="楷体" w:eastAsia="楷体" w:cs="楷体"/>
          <w:sz w:val="32"/>
          <w:szCs w:val="32"/>
        </w:rPr>
      </w:pPr>
      <w:r>
        <w:rPr>
          <w:rFonts w:hint="eastAsia" w:ascii="楷体" w:hAnsi="楷体" w:eastAsia="楷体" w:cs="楷体"/>
          <w:sz w:val="32"/>
          <w:szCs w:val="32"/>
        </w:rPr>
        <w:t>（三）工作保障措施</w:t>
      </w:r>
    </w:p>
    <w:p>
      <w:pPr>
        <w:spacing w:line="600" w:lineRule="exact"/>
        <w:ind w:firstLine="641"/>
        <w:jc w:val="left"/>
        <w:rPr>
          <w:rFonts w:ascii="仿宋" w:hAnsi="仿宋" w:eastAsia="仿宋"/>
          <w:sz w:val="32"/>
          <w:szCs w:val="32"/>
        </w:rPr>
      </w:pPr>
      <w:r>
        <w:rPr>
          <w:rFonts w:ascii="仿宋" w:hAnsi="仿宋" w:eastAsia="仿宋"/>
          <w:sz w:val="32"/>
          <w:szCs w:val="32"/>
        </w:rPr>
        <w:t>以习近平新时代中国特色社会主义思想为指导，全面贯彻党的十九大精神，继续解放思想，推进工会组织改革创新。工会工作面临的新情况、新问题不断增多，只有坚持与时俱进、解放思想，才能推动工会工作取得新进展，要始终坚持以创新的思维解决工作中面临的新情况、新问题，用思想的解放推进工作思路的转变，破解发展难题。通过大胆实践，解决好行政化、机关化问题，以“接地气”的工作方式，提高服务基层、服务职工的能力，维护好最广大职工群众的合法权益，做强工会工作品牌。</w:t>
      </w:r>
    </w:p>
    <w:p>
      <w:pPr>
        <w:spacing w:line="600" w:lineRule="exact"/>
        <w:ind w:firstLine="641"/>
        <w:jc w:val="left"/>
        <w:rPr>
          <w:rFonts w:ascii="仿宋" w:hAnsi="仿宋" w:eastAsia="仿宋"/>
          <w:sz w:val="32"/>
          <w:szCs w:val="32"/>
        </w:rPr>
      </w:pPr>
      <w:r>
        <w:rPr>
          <w:rFonts w:ascii="仿宋" w:hAnsi="仿宋" w:eastAsia="仿宋"/>
          <w:sz w:val="32"/>
          <w:szCs w:val="32"/>
        </w:rPr>
        <w:t>完善制度建设。制定完善预算绩效管理制度、财务管理制度、工作保障制度等，为全年预算绩效目标的实现奠定制度基础。</w:t>
      </w:r>
    </w:p>
    <w:p>
      <w:pPr>
        <w:spacing w:line="600" w:lineRule="exact"/>
        <w:ind w:firstLine="641"/>
        <w:jc w:val="left"/>
        <w:rPr>
          <w:rFonts w:ascii="仿宋" w:hAnsi="仿宋" w:eastAsia="仿宋"/>
          <w:sz w:val="32"/>
          <w:szCs w:val="32"/>
        </w:rPr>
      </w:pPr>
      <w:r>
        <w:rPr>
          <w:rFonts w:ascii="仿宋" w:hAnsi="仿宋" w:eastAsia="仿宋"/>
          <w:sz w:val="32"/>
          <w:szCs w:val="32"/>
        </w:rPr>
        <w:t>加强支出管理。通过优化支出结构、编细编实预算、尽快启动项目、及时支付资金，按规定及时拨付资金等多种措施，确保支出进度达标。</w:t>
      </w:r>
    </w:p>
    <w:p>
      <w:pPr>
        <w:spacing w:line="600" w:lineRule="exact"/>
        <w:ind w:firstLine="641"/>
        <w:jc w:val="left"/>
        <w:rPr>
          <w:rFonts w:ascii="仿宋" w:hAnsi="仿宋" w:eastAsia="仿宋"/>
          <w:sz w:val="32"/>
          <w:szCs w:val="32"/>
        </w:rPr>
      </w:pPr>
      <w:r>
        <w:rPr>
          <w:rFonts w:ascii="仿宋" w:hAnsi="仿宋" w:eastAsia="仿宋"/>
          <w:sz w:val="32"/>
          <w:szCs w:val="32"/>
        </w:rPr>
        <w:t>加强绩效运行监控。按要求开展绩效运行监控，发现问题及时采取措施，确保绩效目标如期保质实现。</w:t>
      </w:r>
    </w:p>
    <w:p>
      <w:pPr>
        <w:spacing w:line="600" w:lineRule="exact"/>
        <w:ind w:firstLine="641"/>
        <w:jc w:val="left"/>
        <w:rPr>
          <w:rFonts w:ascii="仿宋" w:hAnsi="仿宋" w:eastAsia="仿宋"/>
          <w:sz w:val="32"/>
          <w:szCs w:val="32"/>
        </w:rPr>
      </w:pPr>
      <w:r>
        <w:rPr>
          <w:rFonts w:ascii="仿宋" w:hAnsi="仿宋" w:eastAsia="仿宋"/>
          <w:sz w:val="32"/>
          <w:szCs w:val="32"/>
        </w:rPr>
        <w:t>做好绩效自评。按要求开展上年度部门预算绩效自评和重点评价工作，对评价中发现的问题及时整改，调整优化支出结构，提高财政资金使用效益。</w:t>
      </w:r>
    </w:p>
    <w:p>
      <w:pPr>
        <w:spacing w:line="500" w:lineRule="exact"/>
        <w:ind w:firstLine="560" w:firstLineChars="200"/>
        <w:jc w:val="left"/>
        <w:rPr>
          <w:rFonts w:ascii="Times New Roman" w:eastAsia="方正仿宋_GBK"/>
          <w:sz w:val="28"/>
        </w:rPr>
      </w:pPr>
    </w:p>
    <w:p>
      <w:pPr>
        <w:ind w:firstLine="420" w:firstLineChars="200"/>
        <w:jc w:val="center"/>
        <w:rPr>
          <w:rFonts w:ascii="Times New Roman" w:hAnsi="宋体"/>
        </w:rPr>
        <w:sectPr>
          <w:footerReference r:id="rId3" w:type="default"/>
          <w:pgSz w:w="11907" w:h="16839"/>
          <w:pgMar w:top="1984" w:right="1304" w:bottom="1134" w:left="1304" w:header="851" w:footer="992" w:gutter="0"/>
          <w:pgNumType w:start="1"/>
          <w:cols w:space="425" w:num="1"/>
          <w:docGrid w:type="lines" w:linePitch="312" w:charSpace="0"/>
        </w:sectPr>
      </w:pPr>
      <w:r>
        <w:rPr>
          <w:rFonts w:ascii="方正书宋_GBK" w:eastAsia="方正书宋_GBK"/>
        </w:rPr>
        <w:t xml:space="preserve"> </w:t>
      </w:r>
    </w:p>
    <w:p>
      <w:pPr>
        <w:rPr>
          <w:rFonts w:ascii="黑体" w:hAnsi="黑体" w:eastAsia="黑体" w:cs="黑体"/>
          <w:sz w:val="32"/>
          <w:szCs w:val="32"/>
        </w:rPr>
      </w:pPr>
      <w:r>
        <w:rPr>
          <w:rFonts w:hint="eastAsia" w:ascii="仿宋" w:hAnsi="仿宋" w:eastAsia="仿宋"/>
          <w:sz w:val="32"/>
          <w:szCs w:val="32"/>
        </w:rPr>
        <w:t xml:space="preserve">    </w:t>
      </w:r>
      <w:r>
        <w:rPr>
          <w:rFonts w:hint="eastAsia" w:ascii="黑体" w:hAnsi="黑体" w:eastAsia="黑体" w:cs="黑体"/>
          <w:sz w:val="32"/>
          <w:szCs w:val="32"/>
        </w:rPr>
        <w:t>第二部分 专项资金绩效目标</w:t>
      </w:r>
    </w:p>
    <w:p>
      <w:pPr>
        <w:ind w:firstLine="562" w:firstLineChars="200"/>
        <w:jc w:val="left"/>
        <w:outlineLvl w:val="1"/>
        <w:rPr>
          <w:rFonts w:ascii="Times New Roman" w:hAnsi="宋体"/>
          <w:b/>
          <w:sz w:val="28"/>
        </w:rPr>
      </w:pPr>
      <w:r>
        <w:rPr>
          <w:rFonts w:hint="eastAsia" w:ascii="方正仿宋_GBK" w:eastAsia="方正仿宋_GBK"/>
          <w:b/>
          <w:sz w:val="28"/>
        </w:rPr>
        <w:t>1、财政划拨工会经费绩效目标表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0000007"/>
      <w:r>
        <w:rPr>
          <w:rFonts w:hint="eastAsia" w:ascii="方正仿宋_GBK" w:eastAsia="方正仿宋_GBK"/>
          <w:b/>
          <w:sz w:val="28"/>
        </w:rPr>
        <w:instrText xml:space="preserve">1、财政划拨工会经费绩效目标表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000-9999-JSN-8PVZ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专项资金名称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财政划拨工会经费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40.00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完善工会参与社会管理机制，维护职工合法权益，完善职工服务中心建设，做好劳模管理工作，开展劳动技能竞赛，大力推进实施职工经济技术创新工程，加强组织干部队伍建设，促进全县工运事业发展。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、完善工会参与社会管理机制；指导基层工会开展群众性经济技术创新活动以及劳动竞赛、岗位练兵和技能比赛、安全知识竞赛等活动。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、完善职工服务中心建设，深入开展</w:t>
            </w:r>
            <w:r>
              <w:rPr>
                <w:rFonts w:hint="cs" w:ascii="方正书宋_GBK" w:eastAsia="方正书宋_GBK"/>
              </w:rPr>
              <w:t>“</w:t>
            </w:r>
            <w:r>
              <w:rPr>
                <w:rFonts w:hint="eastAsia" w:ascii="方正书宋_GBK" w:eastAsia="方正书宋_GBK"/>
              </w:rPr>
              <w:t>冬送温暖、夏送清凉</w:t>
            </w:r>
            <w:r>
              <w:rPr>
                <w:rFonts w:hint="cs" w:ascii="方正书宋_GBK" w:eastAsia="方正书宋_GBK"/>
              </w:rPr>
              <w:t>”“</w:t>
            </w:r>
            <w:r>
              <w:rPr>
                <w:rFonts w:hint="eastAsia" w:ascii="方正书宋_GBK" w:eastAsia="方正书宋_GBK"/>
              </w:rPr>
              <w:t>金秋助学</w:t>
            </w:r>
            <w:r>
              <w:rPr>
                <w:rFonts w:hint="cs" w:ascii="方正书宋_GBK" w:eastAsia="方正书宋_GBK"/>
              </w:rPr>
              <w:t>”</w:t>
            </w:r>
            <w:r>
              <w:rPr>
                <w:rFonts w:hint="eastAsia" w:ascii="方正书宋_GBK" w:eastAsia="方正书宋_GBK"/>
              </w:rPr>
              <w:t>活动；继续开展</w:t>
            </w:r>
            <w:r>
              <w:rPr>
                <w:rFonts w:hint="cs" w:ascii="方正书宋_GBK" w:eastAsia="方正书宋_GBK"/>
              </w:rPr>
              <w:t>“</w:t>
            </w:r>
            <w:r>
              <w:rPr>
                <w:rFonts w:hint="eastAsia" w:ascii="方正书宋_GBK" w:eastAsia="方正书宋_GBK"/>
              </w:rPr>
              <w:t>职工互助一日捐</w:t>
            </w:r>
            <w:r>
              <w:rPr>
                <w:rFonts w:hint="cs" w:ascii="方正书宋_GBK" w:eastAsia="方正书宋_GBK"/>
              </w:rPr>
              <w:t>”</w:t>
            </w:r>
            <w:r>
              <w:rPr>
                <w:rFonts w:hint="eastAsia" w:ascii="方正书宋_GBK" w:eastAsia="方正书宋_GBK"/>
              </w:rPr>
              <w:t>活动。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在档管理的困难职工受帮扶的比率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完善职工服务中心建设，帮扶救助在档管理的困难职工，做好城镇困难职工脱困解困工作。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根据困难职工帮扶方案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每年组织省部级以上劳模参加一次体检活动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加强和改进劳动模范管理和服务工作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每年夏天开展一次送清凉活动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深入开展职工劳动保护，夏送清凉活动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全县技能比赛参赛职工数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指导基层工会开展群众性经济技术创新活动以及劳动竞赛、技能比赛等活动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根据工会职责</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rPr>
          <w:rFonts w:ascii="黑体" w:hAnsi="黑体" w:eastAsia="黑体" w:cs="黑体"/>
          <w:sz w:val="32"/>
          <w:szCs w:val="32"/>
        </w:rPr>
      </w:pPr>
      <w:r>
        <w:rPr>
          <w:rFonts w:hint="eastAsia" w:ascii="仿宋" w:hAnsi="仿宋" w:eastAsia="仿宋"/>
          <w:sz w:val="32"/>
          <w:szCs w:val="32"/>
        </w:rPr>
        <w:t xml:space="preserve">    </w:t>
      </w:r>
      <w:r>
        <w:rPr>
          <w:rFonts w:hint="eastAsia" w:ascii="黑体" w:hAnsi="黑体" w:eastAsia="黑体" w:cs="黑体"/>
          <w:sz w:val="32"/>
          <w:szCs w:val="32"/>
        </w:rPr>
        <w:t>第三部分  预算项目绩效目标</w:t>
      </w:r>
    </w:p>
    <w:p>
      <w:pPr>
        <w:ind w:firstLine="562" w:firstLineChars="200"/>
        <w:jc w:val="left"/>
        <w:outlineLvl w:val="1"/>
        <w:rPr>
          <w:rFonts w:ascii="Times New Roman" w:hAnsi="宋体"/>
          <w:b/>
          <w:sz w:val="28"/>
        </w:rPr>
      </w:pPr>
      <w:r>
        <w:rPr>
          <w:rFonts w:hint="eastAsia" w:ascii="方正仿宋_GBK" w:eastAsia="方正仿宋_GBK"/>
          <w:b/>
          <w:sz w:val="28"/>
        </w:rPr>
        <w:t>1、2020年困难职工及劳模帮扶救助专项资金  冀财行[2019]46号绩效目标表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0000008"/>
      <w:r>
        <w:rPr>
          <w:rFonts w:hint="eastAsia" w:ascii="方正仿宋_GBK" w:eastAsia="方正仿宋_GBK"/>
          <w:b/>
          <w:sz w:val="28"/>
        </w:rPr>
        <w:instrText xml:space="preserve">1、2020年困难职工及劳模帮扶救助专项资金</w:instrText>
      </w:r>
      <w:bookmarkEnd w:id="3"/>
      <w:r>
        <w:rPr>
          <w:rFonts w:hint="eastAsia" w:ascii="方正仿宋_GBK" w:eastAsia="方正仿宋_GBK"/>
          <w:b/>
          <w:sz w:val="28"/>
        </w:rPr>
        <w:instrText xml:space="preserve">  冀财行[2019]46号绩效目标表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711002</w:t>
            </w:r>
            <w:r>
              <w:rPr>
                <w:rFonts w:hint="eastAsia" w:ascii="方正书宋_GBK" w:eastAsia="方正书宋_GBK"/>
                <w:b/>
              </w:rPr>
              <w:t>涞水县总工会</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711-0402-JBN-S1SG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年困难职工及劳模帮扶救助专项资金</w:t>
            </w:r>
            <w:r>
              <w:rPr>
                <w:rFonts w:ascii="方正书宋_GBK" w:eastAsia="方正书宋_GBK"/>
              </w:rPr>
              <w:t xml:space="preserve">  </w:t>
            </w:r>
            <w:r>
              <w:rPr>
                <w:rFonts w:hint="eastAsia" w:ascii="方正书宋_GBK" w:eastAsia="方正书宋_GBK"/>
              </w:rPr>
              <w:t>冀财行</w:t>
            </w:r>
            <w:r>
              <w:rPr>
                <w:rFonts w:ascii="方正书宋_GBK" w:eastAsia="方正书宋_GBK"/>
              </w:rPr>
              <w:t>[2019]46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7.19</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7.19</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对在档管理的困难职工进行生活救助、医疗救助、助学救助、法律援助、就业救助等，做好困难职工解困脱困工作。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、科学制定帮扶救助标准，准确界定帮扶救助对象。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、帮扶在档管理的困难职工，及时发放帮扶救助资金，保障困难职工的基本生活。</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全国级困难职工解困脱困人数比率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在档管理的困难职工解困脱困人数占全部在档管理的困难职工的比率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依据冀财行</w:t>
            </w:r>
            <w:r>
              <w:rPr>
                <w:rFonts w:ascii="方正书宋_GBK" w:eastAsia="方正书宋_GBK"/>
              </w:rPr>
              <w:t>[2019]46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建档职工帮扶救助率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在档管理的困难职工帮扶救助比率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依据冀财行</w:t>
            </w:r>
            <w:r>
              <w:rPr>
                <w:rFonts w:ascii="方正书宋_GBK" w:eastAsia="方正书宋_GBK"/>
              </w:rPr>
              <w:t>[2019]46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在档管理的困难职工子女就学率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需要子女助学救助的在档管理的困难职工受救助比率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依据冀财行</w:t>
            </w:r>
            <w:r>
              <w:rPr>
                <w:rFonts w:ascii="方正书宋_GBK" w:eastAsia="方正书宋_GBK"/>
              </w:rPr>
              <w:t>[2019]46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在档管理的困难职工医疗救助率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需要医疗救助的在档管理的困难职工受救助比率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依据冀财行</w:t>
            </w:r>
            <w:r>
              <w:rPr>
                <w:rFonts w:ascii="方正书宋_GBK" w:eastAsia="方正书宋_GBK"/>
              </w:rPr>
              <w:t>[2019]46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受助职工满意度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调查中受助满意职工占全部受助职工的比率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依据冀财行</w:t>
            </w:r>
            <w:r>
              <w:rPr>
                <w:rFonts w:ascii="方正书宋_GBK" w:eastAsia="方正书宋_GBK"/>
              </w:rPr>
              <w:t>[2019]46</w:t>
            </w:r>
            <w:r>
              <w:rPr>
                <w:rFonts w:hint="eastAsia" w:ascii="方正书宋_GBK" w:eastAsia="方正书宋_GBK"/>
              </w:rPr>
              <w:t>号</w:t>
            </w:r>
          </w:p>
        </w:tc>
      </w:tr>
    </w:tbl>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   </w:t>
      </w:r>
      <w:r>
        <w:rPr>
          <w:rFonts w:ascii="黑体" w:hAnsi="黑体" w:eastAsia="黑体"/>
          <w:sz w:val="32"/>
          <w:szCs w:val="32"/>
        </w:rPr>
        <w:t>六</w:t>
      </w:r>
      <w:r>
        <w:rPr>
          <w:rFonts w:hint="eastAsia" w:ascii="黑体" w:hAnsi="黑体" w:eastAsia="黑体"/>
          <w:sz w:val="32"/>
          <w:szCs w:val="32"/>
        </w:rPr>
        <w:t>、</w:t>
      </w:r>
      <w:r>
        <w:rPr>
          <w:rFonts w:ascii="黑体" w:hAnsi="黑体" w:eastAsia="黑体"/>
          <w:sz w:val="32"/>
          <w:szCs w:val="32"/>
        </w:rPr>
        <w:t>政府采购预算情况</w:t>
      </w:r>
    </w:p>
    <w:p>
      <w:pPr>
        <w:ind w:firstLine="640" w:firstLineChars="200"/>
        <w:rPr>
          <w:rFonts w:ascii="仿宋" w:hAnsi="仿宋" w:eastAsia="仿宋"/>
          <w:sz w:val="32"/>
          <w:szCs w:val="32"/>
        </w:rPr>
      </w:pPr>
      <w:r>
        <w:rPr>
          <w:rFonts w:hint="eastAsia" w:ascii="仿宋" w:hAnsi="仿宋" w:eastAsia="仿宋"/>
          <w:sz w:val="32"/>
          <w:szCs w:val="32"/>
        </w:rPr>
        <w:t>2020年我部门没有政府采购预算，空表列示。</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4" w:name="_Toc30009658"/>
      <w:r>
        <w:rPr>
          <w:rFonts w:hint="eastAsia" w:ascii="方正小标宋_GBK" w:eastAsia="方正小标宋_GBK"/>
          <w:sz w:val="18"/>
          <w:szCs w:val="18"/>
        </w:rPr>
        <w:instrText xml:space="preserve">部门政府采购预算</w:instrText>
      </w:r>
      <w:bookmarkEnd w:id="4"/>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5"/>
        <w:tblW w:w="92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1"/>
        <w:gridCol w:w="716"/>
        <w:gridCol w:w="621"/>
        <w:gridCol w:w="1022"/>
        <w:gridCol w:w="500"/>
        <w:gridCol w:w="335"/>
        <w:gridCol w:w="438"/>
        <w:gridCol w:w="565"/>
        <w:gridCol w:w="857"/>
        <w:gridCol w:w="708"/>
        <w:gridCol w:w="668"/>
        <w:gridCol w:w="1126"/>
        <w:gridCol w:w="1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2" w:hRule="atLeast"/>
          <w:tblHeader/>
          <w:jc w:val="center"/>
        </w:trPr>
        <w:tc>
          <w:tcPr>
            <w:tcW w:w="4183"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cstheme="minorEastAsia"/>
                <w:sz w:val="18"/>
                <w:szCs w:val="18"/>
              </w:rPr>
            </w:pPr>
          </w:p>
        </w:tc>
        <w:tc>
          <w:tcPr>
            <w:tcW w:w="5077"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cstheme="minorEastAsia"/>
                <w:sz w:val="18"/>
                <w:szCs w:val="18"/>
              </w:rPr>
            </w:pPr>
            <w:r>
              <w:rPr>
                <w:rFonts w:hint="eastAsia" w:asciiTheme="minorEastAsia" w:hAnsi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2" w:hRule="atLeast"/>
          <w:tblHeader/>
          <w:jc w:val="center"/>
        </w:trPr>
        <w:tc>
          <w:tcPr>
            <w:tcW w:w="1267" w:type="dxa"/>
            <w:gridSpan w:val="2"/>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政府采购项目来源</w:t>
            </w:r>
          </w:p>
        </w:tc>
        <w:tc>
          <w:tcPr>
            <w:tcW w:w="621"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物品</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1022"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目录序号</w:t>
            </w:r>
          </w:p>
        </w:tc>
        <w:tc>
          <w:tcPr>
            <w:tcW w:w="500"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计量  单位</w:t>
            </w:r>
          </w:p>
        </w:tc>
        <w:tc>
          <w:tcPr>
            <w:tcW w:w="335"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数量</w:t>
            </w:r>
          </w:p>
        </w:tc>
        <w:tc>
          <w:tcPr>
            <w:tcW w:w="438"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单价</w:t>
            </w:r>
          </w:p>
        </w:tc>
        <w:tc>
          <w:tcPr>
            <w:tcW w:w="5077" w:type="dxa"/>
            <w:gridSpan w:val="6"/>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61" w:hRule="atLeast"/>
          <w:tblHeader/>
          <w:jc w:val="center"/>
        </w:trPr>
        <w:tc>
          <w:tcPr>
            <w:tcW w:w="551"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项目</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716"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预算</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资金</w:t>
            </w:r>
          </w:p>
        </w:tc>
        <w:tc>
          <w:tcPr>
            <w:tcW w:w="621"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1022"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500"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335"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38"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565"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合计</w:t>
            </w:r>
          </w:p>
        </w:tc>
        <w:tc>
          <w:tcPr>
            <w:tcW w:w="857"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一般公共预算拨款</w:t>
            </w:r>
          </w:p>
        </w:tc>
        <w:tc>
          <w:tcPr>
            <w:tcW w:w="708"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基金预算拨款</w:t>
            </w:r>
          </w:p>
        </w:tc>
        <w:tc>
          <w:tcPr>
            <w:tcW w:w="668"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国有资本经营预算拨款</w:t>
            </w:r>
          </w:p>
        </w:tc>
        <w:tc>
          <w:tcPr>
            <w:tcW w:w="1126"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财政专户核拨</w:t>
            </w:r>
          </w:p>
        </w:tc>
        <w:tc>
          <w:tcPr>
            <w:tcW w:w="1153"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2" w:hRule="atLeast"/>
          <w:jc w:val="center"/>
        </w:trPr>
        <w:tc>
          <w:tcPr>
            <w:tcW w:w="551" w:type="dxa"/>
            <w:shd w:val="clear" w:color="auto" w:fill="auto"/>
            <w:vAlign w:val="center"/>
          </w:tcPr>
          <w:p>
            <w:pPr>
              <w:spacing w:line="400" w:lineRule="exact"/>
              <w:jc w:val="center"/>
              <w:rPr>
                <w:rFonts w:asciiTheme="minorEastAsia" w:hAnsiTheme="minorEastAsia" w:cstheme="minorEastAsia"/>
                <w:b/>
                <w:sz w:val="18"/>
                <w:szCs w:val="18"/>
              </w:rPr>
            </w:pPr>
          </w:p>
        </w:tc>
        <w:tc>
          <w:tcPr>
            <w:tcW w:w="716" w:type="dxa"/>
            <w:shd w:val="clear" w:color="auto" w:fill="auto"/>
            <w:vAlign w:val="center"/>
          </w:tcPr>
          <w:p>
            <w:pPr>
              <w:spacing w:line="400" w:lineRule="exact"/>
              <w:jc w:val="right"/>
              <w:rPr>
                <w:rFonts w:asciiTheme="minorEastAsia" w:hAnsiTheme="minorEastAsia" w:cstheme="minorEastAsia"/>
                <w:b/>
                <w:sz w:val="18"/>
                <w:szCs w:val="18"/>
              </w:rPr>
            </w:pPr>
          </w:p>
        </w:tc>
        <w:tc>
          <w:tcPr>
            <w:tcW w:w="621" w:type="dxa"/>
            <w:shd w:val="clear" w:color="auto" w:fill="auto"/>
            <w:vAlign w:val="center"/>
          </w:tcPr>
          <w:p>
            <w:pPr>
              <w:spacing w:line="400" w:lineRule="exact"/>
              <w:jc w:val="left"/>
              <w:rPr>
                <w:rFonts w:asciiTheme="minorEastAsia" w:hAnsiTheme="minorEastAsia" w:cstheme="minorEastAsia"/>
                <w:b/>
                <w:sz w:val="18"/>
                <w:szCs w:val="18"/>
              </w:rPr>
            </w:pPr>
          </w:p>
        </w:tc>
        <w:tc>
          <w:tcPr>
            <w:tcW w:w="1022" w:type="dxa"/>
            <w:shd w:val="clear" w:color="auto" w:fill="auto"/>
            <w:vAlign w:val="center"/>
          </w:tcPr>
          <w:p>
            <w:pPr>
              <w:spacing w:line="400" w:lineRule="exact"/>
              <w:jc w:val="left"/>
              <w:rPr>
                <w:rFonts w:asciiTheme="minorEastAsia" w:hAnsiTheme="minorEastAsia" w:cstheme="minorEastAsia"/>
                <w:b/>
                <w:sz w:val="18"/>
                <w:szCs w:val="18"/>
              </w:rPr>
            </w:pPr>
          </w:p>
        </w:tc>
        <w:tc>
          <w:tcPr>
            <w:tcW w:w="500" w:type="dxa"/>
            <w:shd w:val="clear" w:color="auto" w:fill="auto"/>
            <w:vAlign w:val="center"/>
          </w:tcPr>
          <w:p>
            <w:pPr>
              <w:spacing w:line="400" w:lineRule="exact"/>
              <w:jc w:val="center"/>
              <w:rPr>
                <w:rFonts w:asciiTheme="minorEastAsia" w:hAnsiTheme="minorEastAsia" w:cstheme="minorEastAsia"/>
                <w:b/>
                <w:sz w:val="18"/>
                <w:szCs w:val="18"/>
              </w:rPr>
            </w:pPr>
          </w:p>
        </w:tc>
        <w:tc>
          <w:tcPr>
            <w:tcW w:w="335" w:type="dxa"/>
            <w:shd w:val="clear" w:color="auto" w:fill="auto"/>
            <w:vAlign w:val="center"/>
          </w:tcPr>
          <w:p>
            <w:pPr>
              <w:spacing w:line="400" w:lineRule="exact"/>
              <w:jc w:val="right"/>
              <w:rPr>
                <w:rFonts w:asciiTheme="minorEastAsia" w:hAnsiTheme="minorEastAsia" w:cstheme="minorEastAsia"/>
                <w:b/>
                <w:sz w:val="18"/>
                <w:szCs w:val="18"/>
              </w:rPr>
            </w:pPr>
          </w:p>
        </w:tc>
        <w:tc>
          <w:tcPr>
            <w:tcW w:w="438" w:type="dxa"/>
            <w:shd w:val="clear" w:color="auto" w:fill="auto"/>
            <w:vAlign w:val="center"/>
          </w:tcPr>
          <w:p>
            <w:pPr>
              <w:spacing w:line="400" w:lineRule="exact"/>
              <w:jc w:val="right"/>
              <w:rPr>
                <w:rFonts w:asciiTheme="minorEastAsia" w:hAnsiTheme="minorEastAsia" w:cstheme="minorEastAsia"/>
                <w:b/>
                <w:sz w:val="18"/>
                <w:szCs w:val="18"/>
              </w:rPr>
            </w:pPr>
          </w:p>
        </w:tc>
        <w:tc>
          <w:tcPr>
            <w:tcW w:w="565" w:type="dxa"/>
            <w:shd w:val="clear" w:color="auto" w:fill="auto"/>
            <w:vAlign w:val="center"/>
          </w:tcPr>
          <w:p>
            <w:pPr>
              <w:spacing w:line="400" w:lineRule="exact"/>
              <w:jc w:val="right"/>
              <w:rPr>
                <w:rFonts w:asciiTheme="minorEastAsia" w:hAnsiTheme="minorEastAsia" w:cstheme="minorEastAsia"/>
                <w:b/>
                <w:sz w:val="18"/>
                <w:szCs w:val="18"/>
              </w:rPr>
            </w:pPr>
          </w:p>
        </w:tc>
        <w:tc>
          <w:tcPr>
            <w:tcW w:w="857" w:type="dxa"/>
            <w:shd w:val="clear" w:color="auto" w:fill="auto"/>
            <w:vAlign w:val="center"/>
          </w:tcPr>
          <w:p>
            <w:pPr>
              <w:spacing w:line="400" w:lineRule="exact"/>
              <w:rPr>
                <w:rFonts w:asciiTheme="minorEastAsia" w:hAnsiTheme="minorEastAsia" w:cstheme="minorEastAsia"/>
                <w:b/>
                <w:sz w:val="18"/>
                <w:szCs w:val="18"/>
              </w:rPr>
            </w:pPr>
          </w:p>
        </w:tc>
        <w:tc>
          <w:tcPr>
            <w:tcW w:w="708" w:type="dxa"/>
            <w:shd w:val="clear" w:color="auto" w:fill="auto"/>
            <w:vAlign w:val="center"/>
          </w:tcPr>
          <w:p>
            <w:pPr>
              <w:spacing w:line="400" w:lineRule="exact"/>
              <w:jc w:val="right"/>
              <w:rPr>
                <w:rFonts w:asciiTheme="minorEastAsia" w:hAnsiTheme="minorEastAsia" w:cstheme="minorEastAsia"/>
                <w:b/>
                <w:sz w:val="18"/>
                <w:szCs w:val="18"/>
              </w:rPr>
            </w:pPr>
          </w:p>
        </w:tc>
        <w:tc>
          <w:tcPr>
            <w:tcW w:w="668" w:type="dxa"/>
            <w:shd w:val="clear" w:color="auto" w:fill="auto"/>
            <w:vAlign w:val="center"/>
          </w:tcPr>
          <w:p>
            <w:pPr>
              <w:spacing w:line="400" w:lineRule="exact"/>
              <w:jc w:val="right"/>
              <w:rPr>
                <w:rFonts w:asciiTheme="minorEastAsia" w:hAnsiTheme="minorEastAsia" w:cstheme="minorEastAsia"/>
                <w:b/>
                <w:sz w:val="18"/>
                <w:szCs w:val="18"/>
              </w:rPr>
            </w:pPr>
          </w:p>
        </w:tc>
        <w:tc>
          <w:tcPr>
            <w:tcW w:w="1126" w:type="dxa"/>
            <w:shd w:val="clear" w:color="auto" w:fill="auto"/>
            <w:vAlign w:val="center"/>
          </w:tcPr>
          <w:p>
            <w:pPr>
              <w:spacing w:line="400" w:lineRule="exact"/>
              <w:jc w:val="right"/>
              <w:rPr>
                <w:rFonts w:asciiTheme="minorEastAsia" w:hAnsiTheme="minorEastAsia" w:cstheme="minorEastAsia"/>
                <w:b/>
                <w:sz w:val="18"/>
                <w:szCs w:val="18"/>
              </w:rPr>
            </w:pPr>
          </w:p>
        </w:tc>
        <w:tc>
          <w:tcPr>
            <w:tcW w:w="1153" w:type="dxa"/>
            <w:shd w:val="clear" w:color="auto" w:fill="auto"/>
            <w:vAlign w:val="center"/>
          </w:tcPr>
          <w:p>
            <w:pPr>
              <w:spacing w:line="400" w:lineRule="exact"/>
              <w:jc w:val="right"/>
              <w:rPr>
                <w:rFonts w:asciiTheme="minorEastAsia" w:hAnsiTheme="minorEastAsia" w:cstheme="minorEastAsia"/>
                <w:b/>
                <w:sz w:val="18"/>
                <w:szCs w:val="18"/>
              </w:rPr>
            </w:pPr>
          </w:p>
        </w:tc>
      </w:tr>
    </w:tbl>
    <w:p>
      <w:pPr>
        <w:spacing w:line="400" w:lineRule="exact"/>
        <w:rPr>
          <w:rFonts w:ascii="仿宋" w:hAnsi="仿宋" w:eastAsia="仿宋"/>
          <w:sz w:val="32"/>
          <w:szCs w:val="32"/>
        </w:rPr>
      </w:pPr>
      <w:r>
        <w:rPr>
          <w:rFonts w:hint="eastAsia" w:ascii="楷体_GB2312" w:hAnsi="楷体_GB2312" w:eastAsia="楷体_GB2312" w:cs="楷体_GB2312"/>
          <w:b/>
          <w:bCs/>
          <w:sz w:val="28"/>
          <w:szCs w:val="28"/>
        </w:rPr>
        <w:t>注：无政府采购预算，空表列示。</w:t>
      </w:r>
    </w:p>
    <w:p>
      <w:pPr>
        <w:ind w:firstLine="640" w:firstLineChars="200"/>
        <w:rPr>
          <w:rFonts w:ascii="黑体" w:hAnsi="黑体" w:eastAsia="黑体"/>
          <w:sz w:val="32"/>
          <w:szCs w:val="32"/>
        </w:rPr>
      </w:pPr>
      <w:r>
        <w:rPr>
          <w:rFonts w:hint="eastAsia" w:ascii="黑体" w:hAnsi="黑体" w:eastAsia="黑体"/>
          <w:sz w:val="32"/>
          <w:szCs w:val="32"/>
        </w:rPr>
        <w:t>七、国有资产信息情况</w:t>
      </w:r>
    </w:p>
    <w:p>
      <w:pPr>
        <w:ind w:firstLine="640" w:firstLineChars="200"/>
        <w:rPr>
          <w:rFonts w:ascii="黑体" w:hAnsi="黑体" w:eastAsia="黑体"/>
          <w:sz w:val="32"/>
          <w:szCs w:val="32"/>
        </w:rPr>
      </w:pPr>
      <w:r>
        <w:rPr>
          <w:rFonts w:hint="eastAsia" w:ascii="仿宋" w:hAnsi="仿宋" w:eastAsia="仿宋" w:cs="仿宋"/>
          <w:bCs/>
          <w:kern w:val="0"/>
          <w:sz w:val="32"/>
          <w:szCs w:val="32"/>
        </w:rPr>
        <w:t>我部门2019年末固定资产总金额22万元（详见下表）。 2020年拟购置固定资产为零。在县委大楼统一办公，无办公用房。</w:t>
      </w:r>
    </w:p>
    <w:tbl>
      <w:tblPr>
        <w:tblStyle w:val="5"/>
        <w:tblW w:w="9374" w:type="dxa"/>
        <w:tblInd w:w="-81" w:type="dxa"/>
        <w:tblLayout w:type="fixed"/>
        <w:tblCellMar>
          <w:top w:w="0" w:type="dxa"/>
          <w:left w:w="108" w:type="dxa"/>
          <w:bottom w:w="0" w:type="dxa"/>
          <w:right w:w="108" w:type="dxa"/>
        </w:tblCellMar>
      </w:tblPr>
      <w:tblGrid>
        <w:gridCol w:w="4156"/>
        <w:gridCol w:w="1663"/>
        <w:gridCol w:w="3555"/>
      </w:tblGrid>
      <w:tr>
        <w:tblPrEx>
          <w:tblCellMar>
            <w:top w:w="0" w:type="dxa"/>
            <w:left w:w="108" w:type="dxa"/>
            <w:bottom w:w="0" w:type="dxa"/>
            <w:right w:w="108" w:type="dxa"/>
          </w:tblCellMar>
        </w:tblPrEx>
        <w:trPr>
          <w:trHeight w:val="90" w:hRule="atLeast"/>
        </w:trPr>
        <w:tc>
          <w:tcPr>
            <w:tcW w:w="9374" w:type="dxa"/>
            <w:gridSpan w:val="3"/>
            <w:tcBorders>
              <w:top w:val="nil"/>
              <w:left w:val="nil"/>
              <w:bottom w:val="nil"/>
              <w:right w:val="nil"/>
            </w:tcBorders>
            <w:vAlign w:val="center"/>
          </w:tcPr>
          <w:p>
            <w:pPr>
              <w:widowControl/>
              <w:rPr>
                <w:rFonts w:ascii="仿宋" w:hAnsi="仿宋" w:eastAsia="仿宋" w:cs="宋体"/>
                <w:color w:val="000000"/>
                <w:kern w:val="0"/>
                <w:sz w:val="28"/>
                <w:szCs w:val="28"/>
              </w:rPr>
            </w:pPr>
            <w:r>
              <w:rPr>
                <w:rFonts w:hint="eastAsia" w:ascii="仿宋" w:hAnsi="仿宋" w:eastAsia="仿宋"/>
                <w:b/>
                <w:bCs/>
                <w:sz w:val="28"/>
                <w:szCs w:val="28"/>
              </w:rPr>
              <w:t xml:space="preserve">                               涞水县总工会</w:t>
            </w:r>
          </w:p>
        </w:tc>
      </w:tr>
      <w:tr>
        <w:tblPrEx>
          <w:tblCellMar>
            <w:top w:w="0" w:type="dxa"/>
            <w:left w:w="108" w:type="dxa"/>
            <w:bottom w:w="0" w:type="dxa"/>
            <w:right w:w="108" w:type="dxa"/>
          </w:tblCellMar>
        </w:tblPrEx>
        <w:trPr>
          <w:trHeight w:val="90" w:hRule="atLeast"/>
        </w:trPr>
        <w:tc>
          <w:tcPr>
            <w:tcW w:w="9374" w:type="dxa"/>
            <w:gridSpan w:val="3"/>
            <w:tcBorders>
              <w:top w:val="nil"/>
              <w:left w:val="nil"/>
              <w:bottom w:val="single" w:color="auto" w:sz="4" w:space="0"/>
              <w:right w:val="nil"/>
            </w:tcBorders>
            <w:vAlign w:val="center"/>
          </w:tcPr>
          <w:p>
            <w:pPr>
              <w:widowControl/>
              <w:jc w:val="center"/>
              <w:rPr>
                <w:rFonts w:ascii="仿宋" w:hAnsi="仿宋" w:eastAsia="仿宋" w:cs="宋体"/>
                <w:color w:val="000000"/>
                <w:kern w:val="0"/>
                <w:sz w:val="28"/>
                <w:szCs w:val="28"/>
              </w:rPr>
            </w:pPr>
            <w:r>
              <w:rPr>
                <w:rFonts w:hint="eastAsia" w:ascii="仿宋" w:hAnsi="仿宋" w:eastAsia="仿宋" w:cs="宋体"/>
                <w:bCs/>
                <w:color w:val="000000"/>
                <w:kern w:val="0"/>
                <w:sz w:val="28"/>
                <w:szCs w:val="28"/>
              </w:rPr>
              <w:t xml:space="preserve">                           截止时间：2019年12月31日</w:t>
            </w:r>
          </w:p>
        </w:tc>
      </w:tr>
      <w:tr>
        <w:tblPrEx>
          <w:tblCellMar>
            <w:top w:w="0" w:type="dxa"/>
            <w:left w:w="108" w:type="dxa"/>
            <w:bottom w:w="0" w:type="dxa"/>
            <w:right w:w="108" w:type="dxa"/>
          </w:tblCellMar>
        </w:tblPrEx>
        <w:trPr>
          <w:trHeight w:val="90" w:hRule="atLeast"/>
        </w:trPr>
        <w:tc>
          <w:tcPr>
            <w:tcW w:w="415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　　目</w:t>
            </w:r>
          </w:p>
        </w:tc>
        <w:tc>
          <w:tcPr>
            <w:tcW w:w="1663"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355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价值（单位：万元）</w:t>
            </w:r>
          </w:p>
        </w:tc>
      </w:tr>
      <w:tr>
        <w:tblPrEx>
          <w:tblCellMar>
            <w:top w:w="0" w:type="dxa"/>
            <w:left w:w="108" w:type="dxa"/>
            <w:bottom w:w="0" w:type="dxa"/>
            <w:right w:w="108" w:type="dxa"/>
          </w:tblCellMar>
        </w:tblPrEx>
        <w:trPr>
          <w:trHeight w:val="90" w:hRule="atLeast"/>
        </w:trPr>
        <w:tc>
          <w:tcPr>
            <w:tcW w:w="415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固定资产总额</w:t>
            </w:r>
          </w:p>
        </w:tc>
        <w:tc>
          <w:tcPr>
            <w:tcW w:w="16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3555" w:type="dxa"/>
            <w:tcBorders>
              <w:top w:val="nil"/>
              <w:left w:val="nil"/>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22</w:t>
            </w:r>
          </w:p>
        </w:tc>
      </w:tr>
      <w:tr>
        <w:tblPrEx>
          <w:tblCellMar>
            <w:top w:w="0" w:type="dxa"/>
            <w:left w:w="108" w:type="dxa"/>
            <w:bottom w:w="0" w:type="dxa"/>
            <w:right w:w="108" w:type="dxa"/>
          </w:tblCellMar>
        </w:tblPrEx>
        <w:trPr>
          <w:trHeight w:val="90" w:hRule="atLeast"/>
        </w:trPr>
        <w:tc>
          <w:tcPr>
            <w:tcW w:w="415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1、房屋（平方米）</w:t>
            </w:r>
          </w:p>
        </w:tc>
        <w:tc>
          <w:tcPr>
            <w:tcW w:w="16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p>
        </w:tc>
        <w:tc>
          <w:tcPr>
            <w:tcW w:w="355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90" w:hRule="atLeast"/>
        </w:trPr>
        <w:tc>
          <w:tcPr>
            <w:tcW w:w="41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16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8"/>
                <w:szCs w:val="28"/>
              </w:rPr>
            </w:pPr>
          </w:p>
        </w:tc>
        <w:tc>
          <w:tcPr>
            <w:tcW w:w="355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90" w:hRule="atLeast"/>
        </w:trPr>
        <w:tc>
          <w:tcPr>
            <w:tcW w:w="415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2、车辆（台、辆）</w:t>
            </w:r>
          </w:p>
        </w:tc>
        <w:tc>
          <w:tcPr>
            <w:tcW w:w="16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1</w:t>
            </w:r>
          </w:p>
        </w:tc>
        <w:tc>
          <w:tcPr>
            <w:tcW w:w="355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22</w:t>
            </w:r>
          </w:p>
        </w:tc>
      </w:tr>
      <w:tr>
        <w:tblPrEx>
          <w:tblCellMar>
            <w:top w:w="0" w:type="dxa"/>
            <w:left w:w="108" w:type="dxa"/>
            <w:bottom w:w="0" w:type="dxa"/>
            <w:right w:w="108" w:type="dxa"/>
          </w:tblCellMar>
        </w:tblPrEx>
        <w:trPr>
          <w:trHeight w:val="90" w:hRule="atLeast"/>
        </w:trPr>
        <w:tc>
          <w:tcPr>
            <w:tcW w:w="415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3、单价在20万元以上的设备</w:t>
            </w:r>
          </w:p>
        </w:tc>
        <w:tc>
          <w:tcPr>
            <w:tcW w:w="16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355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90" w:hRule="atLeast"/>
        </w:trPr>
        <w:tc>
          <w:tcPr>
            <w:tcW w:w="415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4、其他固定资产</w:t>
            </w:r>
          </w:p>
        </w:tc>
        <w:tc>
          <w:tcPr>
            <w:tcW w:w="166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355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28"/>
                <w:szCs w:val="28"/>
              </w:rPr>
            </w:pPr>
          </w:p>
        </w:tc>
      </w:tr>
    </w:tbl>
    <w:p>
      <w:pPr>
        <w:ind w:firstLine="640" w:firstLineChars="200"/>
        <w:rPr>
          <w:rFonts w:ascii="黑体" w:hAnsi="黑体" w:eastAsia="黑体"/>
          <w:sz w:val="32"/>
          <w:szCs w:val="32"/>
        </w:rPr>
      </w:pPr>
      <w:r>
        <w:rPr>
          <w:rFonts w:ascii="黑体" w:hAnsi="黑体" w:eastAsia="黑体"/>
          <w:sz w:val="32"/>
          <w:szCs w:val="32"/>
        </w:rPr>
        <w:t>八</w:t>
      </w:r>
      <w:r>
        <w:rPr>
          <w:rFonts w:hint="eastAsia" w:ascii="黑体" w:hAnsi="黑体" w:eastAsia="黑体"/>
          <w:sz w:val="32"/>
          <w:szCs w:val="32"/>
        </w:rPr>
        <w:t>、</w:t>
      </w:r>
      <w:r>
        <w:rPr>
          <w:rFonts w:ascii="黑体" w:hAnsi="黑体" w:eastAsia="黑体"/>
          <w:sz w:val="32"/>
          <w:szCs w:val="32"/>
        </w:rPr>
        <w:t>专业名词解释</w:t>
      </w:r>
    </w:p>
    <w:p>
      <w:pPr>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、一般公共预算财政拨款收入：</w:t>
      </w:r>
      <w:r>
        <w:rPr>
          <w:rFonts w:hint="eastAsia" w:ascii="仿宋_GB2312" w:hAnsi="宋体" w:eastAsia="仿宋_GB2312"/>
          <w:sz w:val="32"/>
          <w:szCs w:val="32"/>
        </w:rPr>
        <w:t>县级财政当年拨付的资金。</w:t>
      </w:r>
    </w:p>
    <w:p>
      <w:pPr>
        <w:pStyle w:val="4"/>
        <w:widowControl/>
        <w:ind w:firstLine="578" w:firstLineChars="180"/>
        <w:rPr>
          <w:rFonts w:ascii="仿宋_GB2312" w:hAnsi="仿宋_GB2312" w:eastAsia="仿宋_GB2312" w:cs="仿宋_GB2312"/>
          <w:sz w:val="32"/>
          <w:szCs w:val="32"/>
        </w:rPr>
      </w:pPr>
      <w:r>
        <w:rPr>
          <w:rStyle w:val="7"/>
          <w:rFonts w:ascii="仿宋_GB2312" w:hAnsi="仿宋_GB2312" w:eastAsia="仿宋_GB2312" w:cs="仿宋_GB2312"/>
          <w:sz w:val="32"/>
          <w:szCs w:val="32"/>
          <w:shd w:val="clear" w:color="auto" w:fill="FFFFFF"/>
        </w:rPr>
        <w:t>2</w:t>
      </w:r>
      <w:r>
        <w:rPr>
          <w:rStyle w:val="7"/>
          <w:rFonts w:hint="eastAsia" w:ascii="仿宋_GB2312" w:hAnsi="仿宋_GB2312" w:eastAsia="仿宋_GB2312" w:cs="仿宋_GB2312"/>
          <w:sz w:val="32"/>
          <w:szCs w:val="32"/>
          <w:shd w:val="clear" w:color="auto" w:fill="FFFFFF"/>
        </w:rPr>
        <w:t>、其他收入：</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4"/>
        <w:widowControl/>
        <w:ind w:firstLine="578" w:firstLineChars="180"/>
        <w:rPr>
          <w:rFonts w:ascii="仿宋_GB2312" w:hAnsi="宋体" w:eastAsia="仿宋_GB2312"/>
          <w:sz w:val="32"/>
          <w:szCs w:val="32"/>
        </w:rPr>
      </w:pPr>
      <w:r>
        <w:rPr>
          <w:rStyle w:val="7"/>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、基本支出：</w:t>
      </w:r>
      <w:r>
        <w:rPr>
          <w:rFonts w:hint="eastAsia" w:ascii="仿宋_GB2312" w:hAnsi="宋体" w:eastAsia="仿宋_GB2312"/>
          <w:sz w:val="32"/>
          <w:szCs w:val="32"/>
        </w:rPr>
        <w:t>指为保障机构正常运转、完成日常工作任务而发生的人员支出和公用支出。</w:t>
      </w:r>
    </w:p>
    <w:p>
      <w:pPr>
        <w:pStyle w:val="4"/>
        <w:widowControl/>
        <w:rPr>
          <w:rFonts w:ascii="仿宋_GB2312" w:hAnsi="宋体" w:eastAsia="仿宋_GB2312"/>
          <w:sz w:val="32"/>
          <w:szCs w:val="32"/>
        </w:rPr>
      </w:pPr>
      <w:r>
        <w:rPr>
          <w:rFonts w:ascii="仿宋_GB2312" w:hAnsi="宋体" w:eastAsia="仿宋_GB2312"/>
          <w:b/>
          <w:bCs/>
          <w:sz w:val="32"/>
          <w:szCs w:val="32"/>
        </w:rPr>
        <w:t xml:space="preserve">    4</w:t>
      </w:r>
      <w:r>
        <w:rPr>
          <w:rFonts w:hint="eastAsia" w:ascii="仿宋_GB2312" w:hAnsi="宋体" w:eastAsia="仿宋_GB2312"/>
          <w:b/>
          <w:bCs/>
          <w:sz w:val="32"/>
          <w:szCs w:val="32"/>
        </w:rPr>
        <w:t>、项目支出</w:t>
      </w:r>
      <w:r>
        <w:rPr>
          <w:rFonts w:hint="eastAsia" w:ascii="仿宋_GB2312" w:hAnsi="宋体" w:eastAsia="仿宋_GB2312"/>
          <w:sz w:val="32"/>
          <w:szCs w:val="32"/>
        </w:rPr>
        <w:t>：指在基本支出之外为完成特定行政任务和事业发展目标所发生的支出。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、“三公”经费：</w:t>
      </w:r>
      <w:r>
        <w:rPr>
          <w:rFonts w:hint="eastAsia" w:ascii="仿宋_GB2312" w:hAnsi="宋体" w:eastAsia="仿宋_GB2312"/>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、机关运行经费：</w:t>
      </w:r>
      <w:r>
        <w:rPr>
          <w:rFonts w:hint="eastAsia" w:ascii="仿宋_GB2312" w:hAnsi="宋体" w:eastAsia="仿宋_GB2312"/>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黑体" w:hAnsi="黑体" w:eastAsia="黑体" w:cs="黑体"/>
          <w:sz w:val="32"/>
          <w:szCs w:val="32"/>
        </w:rPr>
      </w:pPr>
      <w:r>
        <w:rPr>
          <w:rFonts w:hint="eastAsia"/>
        </w:rPr>
        <w:t xml:space="preserve">     </w:t>
      </w:r>
      <w:r>
        <w:rPr>
          <w:rFonts w:hint="eastAsia" w:ascii="黑体" w:hAnsi="黑体" w:eastAsia="黑体" w:cs="黑体"/>
          <w:sz w:val="32"/>
          <w:szCs w:val="32"/>
        </w:rPr>
        <w:t xml:space="preserve"> </w:t>
      </w:r>
      <w:r>
        <w:rPr>
          <w:rFonts w:hint="eastAsia" w:ascii="黑体" w:hAnsi="黑体" w:eastAsia="黑体" w:cs="仿宋"/>
          <w:sz w:val="32"/>
          <w:szCs w:val="32"/>
        </w:rPr>
        <w:t>九、其他需要说明的事项</w:t>
      </w:r>
    </w:p>
    <w:p>
      <w:pPr>
        <w:ind w:firstLine="320" w:firstLineChars="100"/>
        <w:rPr>
          <w:rFonts w:ascii="仿宋" w:hAnsi="仿宋" w:eastAsia="仿宋" w:cs="仿宋"/>
          <w:sz w:val="32"/>
          <w:szCs w:val="32"/>
        </w:rPr>
      </w:pPr>
      <w:r>
        <w:rPr>
          <w:rFonts w:hint="eastAsia" w:ascii="仿宋" w:hAnsi="仿宋" w:eastAsia="仿宋" w:cs="仿宋"/>
          <w:sz w:val="32"/>
          <w:szCs w:val="32"/>
        </w:rPr>
        <w:t>我部门无政府性基金预算及国有资本经营预算，空表列示。</w:t>
      </w:r>
    </w:p>
    <w:p>
      <w:pPr>
        <w:ind w:firstLine="320" w:firstLineChars="100"/>
        <w:rPr>
          <w:rFonts w:ascii="仿宋" w:hAnsi="仿宋" w:eastAsia="仿宋" w:cs="仿宋"/>
          <w:sz w:val="32"/>
          <w:szCs w:val="32"/>
        </w:rPr>
      </w:pPr>
    </w:p>
    <w:p>
      <w:pPr>
        <w:ind w:firstLine="320" w:firstLineChars="100"/>
        <w:rPr>
          <w:rFonts w:ascii="仿宋" w:hAnsi="仿宋" w:eastAsia="仿宋" w:cs="仿宋"/>
          <w:sz w:val="32"/>
          <w:szCs w:val="32"/>
        </w:rPr>
      </w:pPr>
    </w:p>
    <w:p>
      <w:pPr>
        <w:ind w:firstLine="320" w:firstLineChars="100"/>
        <w:rPr>
          <w:rFonts w:ascii="仿宋" w:hAnsi="仿宋" w:eastAsia="仿宋" w:cs="仿宋"/>
          <w:sz w:val="32"/>
          <w:szCs w:val="32"/>
        </w:rPr>
      </w:pPr>
    </w:p>
    <w:p>
      <w:pPr>
        <w:ind w:firstLine="5440" w:firstLineChars="1700"/>
        <w:rPr>
          <w:rFonts w:ascii="黑体" w:hAnsi="黑体" w:eastAsia="黑体" w:cs="黑体"/>
          <w:sz w:val="32"/>
          <w:szCs w:val="32"/>
        </w:rPr>
      </w:pPr>
      <w:r>
        <w:rPr>
          <w:rFonts w:hint="eastAsia" w:ascii="仿宋" w:hAnsi="仿宋" w:eastAsia="仿宋" w:cs="仿宋"/>
          <w:sz w:val="32"/>
          <w:szCs w:val="32"/>
        </w:rPr>
        <w:t>2020年2月10日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9</w:t>
    </w:r>
    <w:r>
      <w:rPr>
        <w:rStyle w:val="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kZDkyNmVhYzBjMzE2YTAxMTkyMjkwYTA5NzQ2YmUifQ=="/>
  </w:docVars>
  <w:rsids>
    <w:rsidRoot w:val="009A0384"/>
    <w:rsid w:val="00081F9A"/>
    <w:rsid w:val="002478EE"/>
    <w:rsid w:val="002739A6"/>
    <w:rsid w:val="0043234D"/>
    <w:rsid w:val="00551AFD"/>
    <w:rsid w:val="005F4E1D"/>
    <w:rsid w:val="006950DC"/>
    <w:rsid w:val="009141BA"/>
    <w:rsid w:val="009A0384"/>
    <w:rsid w:val="00B00F4F"/>
    <w:rsid w:val="00C35B9A"/>
    <w:rsid w:val="00E85B4D"/>
    <w:rsid w:val="03451ED8"/>
    <w:rsid w:val="06A164E6"/>
    <w:rsid w:val="0F3D2BB0"/>
    <w:rsid w:val="124948B6"/>
    <w:rsid w:val="309A489C"/>
    <w:rsid w:val="42585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jc w:val="left"/>
    </w:pPr>
    <w:rPr>
      <w:rFonts w:ascii="Calibri" w:hAnsi="Calibri" w:eastAsia="宋体" w:cs="Times New Roman"/>
      <w:kern w:val="0"/>
      <w:sz w:val="24"/>
    </w:rPr>
  </w:style>
  <w:style w:type="character" w:styleId="7">
    <w:name w:val="Strong"/>
    <w:autoRedefine/>
    <w:qFormat/>
    <w:uiPriority w:val="0"/>
    <w:rPr>
      <w:b/>
    </w:rPr>
  </w:style>
  <w:style w:type="character" w:styleId="8">
    <w:name w:val="page number"/>
    <w:basedOn w:val="6"/>
    <w:unhideWhenUsed/>
    <w:qFormat/>
    <w:uiPriority w:val="99"/>
  </w:style>
  <w:style w:type="character" w:customStyle="1" w:styleId="9">
    <w:name w:val="页脚 字符"/>
    <w:basedOn w:val="6"/>
    <w:link w:val="2"/>
    <w:autoRedefine/>
    <w:semiHidden/>
    <w:qFormat/>
    <w:uiPriority w:val="99"/>
    <w:rPr>
      <w:sz w:val="18"/>
      <w:szCs w:val="18"/>
    </w:rPr>
  </w:style>
  <w:style w:type="character" w:customStyle="1" w:styleId="10">
    <w:name w:val="页眉 字符"/>
    <w:basedOn w:val="6"/>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812</Words>
  <Characters>4629</Characters>
  <Lines>38</Lines>
  <Paragraphs>10</Paragraphs>
  <TotalTime>0</TotalTime>
  <ScaleCrop>false</ScaleCrop>
  <LinksUpToDate>false</LinksUpToDate>
  <CharactersWithSpaces>5431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2020-02-03T06:24:00Z</dcterms:created>
  <dc:creator>lenovo</dc:creator>
  <cp:lastModifiedBy>lenovo</cp:lastModifiedBy>
  <dcterms:modified xsi:type="dcterms:W3CDTF">2023-12-29T08:57:18Z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065A8FA0020B43FD883C7D703F4C6877</vt:lpwstr>
  </property>
</Properties>
</file>