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涞水县三坡镇人民政府</w:t>
      </w:r>
      <w:r>
        <w:rPr>
          <w:rFonts w:ascii="黑体" w:hAnsi="黑体" w:eastAsia="黑体" w:cs="黑体"/>
          <w:b/>
          <w:color w:val="000000"/>
          <w:sz w:val="44"/>
        </w:rPr>
        <w:t>部门预算信息公开</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eastAsiaTheme="minorEastAsia"/>
          <w:lang w:eastAsia="zh-CN"/>
        </w:rPr>
        <w:t>3</w:t>
      </w:r>
      <w:r>
        <w:rPr>
          <w:rFonts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eastAsiaTheme="minorEastAsia"/>
          <w:lang w:eastAsia="zh-CN"/>
        </w:rPr>
        <w:t>5</w:t>
      </w:r>
      <w:r>
        <w:rPr>
          <w:rFonts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eastAsiaTheme="minorEastAsia"/>
          <w:lang w:eastAsia="zh-CN"/>
        </w:rPr>
        <w:t>7</w:t>
      </w:r>
      <w:r>
        <w:rPr>
          <w:rFonts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eastAsiaTheme="minorEastAsia"/>
          <w:lang w:eastAsia="zh-CN"/>
        </w:rPr>
        <w:t>9</w:t>
      </w:r>
      <w:r>
        <w:rPr>
          <w:rFonts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eastAsiaTheme="minorEastAsia"/>
          <w:lang w:eastAsia="zh-CN"/>
        </w:rPr>
        <w:t>11</w:t>
      </w:r>
      <w:r>
        <w:rPr>
          <w:rFonts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eastAsiaTheme="minorEastAsia"/>
          <w:lang w:eastAsia="zh-CN"/>
        </w:rPr>
        <w:t>2</w:t>
      </w:r>
      <w:r>
        <w:rPr>
          <w:rFonts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t>20</w:t>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34</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35</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35</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36</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hint="eastAsia" w:ascii="方正小标宋_GBK" w:hAnsi="方正小标宋_GBK" w:cs="方正小标宋_GBK" w:eastAsiaTheme="minorEastAsia"/>
          <w:color w:val="000000"/>
          <w:sz w:val="36"/>
          <w:lang w:eastAsia="zh-CN"/>
        </w:rPr>
      </w:pPr>
    </w:p>
    <w:p>
      <w:pPr>
        <w:outlineLvl w:val="1"/>
      </w:pPr>
      <w:r>
        <w:rPr>
          <w:rFonts w:hint="eastAsia" w:ascii="方正小标宋_GBK" w:hAnsi="方正小标宋_GBK" w:eastAsia="方正小标宋_GBK" w:cs="方正小标宋_GBK"/>
          <w:color w:val="000000"/>
          <w:sz w:val="36"/>
          <w:lang w:eastAsia="zh-CN"/>
        </w:rPr>
        <w:t xml:space="preserve">                              </w:t>
      </w: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1"/>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7" w:type="dxa"/>
            <w:gridSpan w:val="2"/>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1"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1"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tblHeader/>
          <w:jc w:val="center"/>
        </w:trPr>
        <w:tc>
          <w:tcPr>
            <w:tcW w:w="1021"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jc w:val="right"/>
              <w:rPr>
                <w:rFonts w:ascii="Calibri" w:hAnsi="Calibri" w:cs="Calibri"/>
                <w:color w:val="000000"/>
                <w:sz w:val="22"/>
                <w:szCs w:val="22"/>
                <w:lang w:eastAsia="zh-CN"/>
              </w:rPr>
            </w:pPr>
            <w:r>
              <w:rPr>
                <w:rFonts w:ascii="Calibri" w:hAnsi="Calibri" w:cs="Calibri"/>
                <w:color w:val="000000"/>
                <w:sz w:val="22"/>
                <w:szCs w:val="22"/>
              </w:rPr>
              <w:t>443.05</w:t>
            </w:r>
          </w:p>
        </w:tc>
        <w:tc>
          <w:tcPr>
            <w:tcW w:w="4535" w:type="dxa"/>
            <w:vAlign w:val="center"/>
          </w:tcPr>
          <w:p>
            <w:pPr>
              <w:pStyle w:val="16"/>
            </w:pPr>
            <w:r>
              <w:t>一、一般公共服务支出</w:t>
            </w:r>
          </w:p>
        </w:tc>
        <w:tc>
          <w:tcPr>
            <w:tcW w:w="2126" w:type="dxa"/>
          </w:tcPr>
          <w:p>
            <w:pPr>
              <w:pStyle w:val="15"/>
            </w:pPr>
            <w:r>
              <w:rPr>
                <w:rFonts w:ascii="Calibri" w:hAnsi="Calibri" w:cs="Calibri"/>
                <w:color w:val="000000"/>
                <w:sz w:val="22"/>
                <w:szCs w:val="22"/>
              </w:rPr>
              <w:t>378.16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tcPr>
          <w:p>
            <w:pPr>
              <w:pStyle w:val="15"/>
              <w:rPr>
                <w:lang w:eastAsia="zh-CN"/>
              </w:rPr>
            </w:pPr>
            <w:r>
              <w:rPr>
                <w:rFonts w:ascii="Calibri" w:hAnsi="Calibri" w:cs="Calibri"/>
                <w:color w:val="000000"/>
                <w:sz w:val="22"/>
                <w:szCs w:val="22"/>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tcPr>
          <w:p>
            <w:pPr>
              <w:pStyle w:val="15"/>
            </w:pPr>
            <w:r>
              <w:rPr>
                <w:rFonts w:ascii="Calibri" w:hAnsi="Calibri" w:cs="Calibri"/>
                <w:color w:val="000000"/>
                <w:sz w:val="22"/>
                <w:szCs w:val="22"/>
              </w:rPr>
              <w:t>28.14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tcPr>
          <w:p>
            <w:pPr>
              <w:pStyle w:val="15"/>
              <w:rPr>
                <w:lang w:eastAsia="zh-CN"/>
              </w:rPr>
            </w:pPr>
            <w:r>
              <w:rPr>
                <w:rFonts w:ascii="Calibri" w:hAnsi="Calibri" w:cs="Calibri"/>
                <w:color w:val="000000"/>
                <w:sz w:val="22"/>
                <w:szCs w:val="22"/>
              </w:rPr>
              <w:t>16.74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tcPr>
          <w:p>
            <w:pPr>
              <w:pStyle w:val="15"/>
            </w:pPr>
            <w:r>
              <w:rPr>
                <w:rFonts w:ascii="Calibri" w:hAnsi="Calibri" w:cs="Calibri"/>
                <w:color w:val="000000"/>
                <w:sz w:val="22"/>
                <w:szCs w:val="22"/>
              </w:rPr>
              <w:t>378.16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20</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18.26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23</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24</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26</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27</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28</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29</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30</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31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443.05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443.05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32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33</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443.05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5"/>
            </w:pPr>
            <w:r>
              <w:rPr>
                <w:rFonts w:ascii="Calibri" w:hAnsi="Calibri" w:cs="Calibri"/>
                <w:color w:val="000000"/>
                <w:sz w:val="22"/>
                <w:szCs w:val="22"/>
              </w:rPr>
              <w:t>443.05</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tcPr>
          <w:p>
            <w:pPr>
              <w:pStyle w:val="19"/>
            </w:pPr>
            <w:r>
              <w:rPr>
                <w:rFonts w:ascii="Calibri" w:hAnsi="Calibri" w:cs="Calibri"/>
                <w:color w:val="000000"/>
                <w:sz w:val="22"/>
                <w:szCs w:val="22"/>
              </w:rPr>
              <w:t>443.05</w:t>
            </w:r>
          </w:p>
        </w:tc>
        <w:tc>
          <w:tcPr>
            <w:tcW w:w="1134" w:type="dxa"/>
          </w:tcPr>
          <w:p>
            <w:pPr>
              <w:pStyle w:val="19"/>
            </w:pPr>
            <w:r>
              <w:rPr>
                <w:rFonts w:ascii="Calibri" w:hAnsi="Calibri" w:cs="Calibri"/>
                <w:color w:val="000000"/>
                <w:sz w:val="22"/>
                <w:szCs w:val="22"/>
              </w:rPr>
              <w:t>443.05</w:t>
            </w:r>
          </w:p>
        </w:tc>
        <w:tc>
          <w:tcPr>
            <w:tcW w:w="1134" w:type="dxa"/>
          </w:tcPr>
          <w:p>
            <w:pPr>
              <w:pStyle w:val="19"/>
            </w:pPr>
            <w:r>
              <w:rPr>
                <w:rFonts w:ascii="Calibri" w:hAnsi="Calibri" w:cs="Calibri"/>
                <w:color w:val="000000"/>
                <w:sz w:val="22"/>
                <w:szCs w:val="22"/>
              </w:rPr>
              <w:t>443.05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tcPr>
          <w:p>
            <w:pPr>
              <w:pStyle w:val="16"/>
            </w:pPr>
            <w:r>
              <w:rPr>
                <w:rFonts w:ascii="Calibri" w:hAnsi="Calibri" w:cs="Calibri"/>
                <w:color w:val="000000"/>
                <w:sz w:val="22"/>
                <w:szCs w:val="22"/>
              </w:rPr>
              <w:t>201</w:t>
            </w:r>
          </w:p>
        </w:tc>
        <w:tc>
          <w:tcPr>
            <w:tcW w:w="1559" w:type="dxa"/>
          </w:tcPr>
          <w:p>
            <w:pPr>
              <w:pStyle w:val="16"/>
            </w:pPr>
            <w:r>
              <w:rPr>
                <w:rFonts w:ascii="Calibri" w:hAnsi="Calibri" w:cs="Calibri"/>
                <w:color w:val="000000"/>
                <w:sz w:val="22"/>
                <w:szCs w:val="22"/>
              </w:rPr>
              <w:t>一般公共服务支出</w:t>
            </w:r>
          </w:p>
        </w:tc>
        <w:tc>
          <w:tcPr>
            <w:tcW w:w="1134" w:type="dxa"/>
          </w:tcPr>
          <w:p>
            <w:pPr>
              <w:pStyle w:val="15"/>
            </w:pPr>
            <w:r>
              <w:rPr>
                <w:rFonts w:ascii="Calibri" w:hAnsi="Calibri" w:cs="Calibri"/>
                <w:color w:val="000000"/>
                <w:sz w:val="22"/>
                <w:szCs w:val="22"/>
              </w:rPr>
              <w:t>378.16</w:t>
            </w:r>
          </w:p>
        </w:tc>
        <w:tc>
          <w:tcPr>
            <w:tcW w:w="1134" w:type="dxa"/>
          </w:tcPr>
          <w:p>
            <w:pPr>
              <w:pStyle w:val="15"/>
            </w:pPr>
            <w:r>
              <w:rPr>
                <w:rFonts w:ascii="Calibri" w:hAnsi="Calibri" w:cs="Calibri"/>
                <w:color w:val="000000"/>
                <w:sz w:val="22"/>
                <w:szCs w:val="22"/>
              </w:rPr>
              <w:t>378.16</w:t>
            </w:r>
          </w:p>
        </w:tc>
        <w:tc>
          <w:tcPr>
            <w:tcW w:w="1134" w:type="dxa"/>
          </w:tcPr>
          <w:p>
            <w:pPr>
              <w:pStyle w:val="15"/>
            </w:pPr>
            <w:r>
              <w:rPr>
                <w:rFonts w:ascii="Calibri" w:hAnsi="Calibri" w:cs="Calibri"/>
                <w:color w:val="000000"/>
                <w:sz w:val="22"/>
                <w:szCs w:val="22"/>
              </w:rPr>
              <w:t>378.16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tcPr>
          <w:p>
            <w:pPr>
              <w:pStyle w:val="16"/>
            </w:pPr>
            <w:r>
              <w:rPr>
                <w:rFonts w:ascii="Calibri" w:hAnsi="Calibri" w:cs="Calibri"/>
                <w:color w:val="000000"/>
                <w:sz w:val="22"/>
                <w:szCs w:val="22"/>
              </w:rPr>
              <w:t>20103</w:t>
            </w:r>
          </w:p>
        </w:tc>
        <w:tc>
          <w:tcPr>
            <w:tcW w:w="1559" w:type="dxa"/>
          </w:tcPr>
          <w:p>
            <w:pPr>
              <w:pStyle w:val="16"/>
            </w:pPr>
            <w:r>
              <w:rPr>
                <w:rFonts w:ascii="Calibri" w:hAnsi="Calibri" w:cs="Calibri"/>
                <w:color w:val="000000"/>
                <w:sz w:val="22"/>
                <w:szCs w:val="22"/>
              </w:rPr>
              <w:t>政府办公厅（室）及相关机构事务</w:t>
            </w:r>
          </w:p>
        </w:tc>
        <w:tc>
          <w:tcPr>
            <w:tcW w:w="1134" w:type="dxa"/>
          </w:tcPr>
          <w:p>
            <w:pPr>
              <w:pStyle w:val="15"/>
            </w:pPr>
            <w:r>
              <w:rPr>
                <w:rFonts w:ascii="Calibri" w:hAnsi="Calibri" w:cs="Calibri"/>
                <w:color w:val="000000"/>
                <w:sz w:val="22"/>
                <w:szCs w:val="22"/>
              </w:rPr>
              <w:t>378.16</w:t>
            </w:r>
          </w:p>
        </w:tc>
        <w:tc>
          <w:tcPr>
            <w:tcW w:w="1134" w:type="dxa"/>
          </w:tcPr>
          <w:p>
            <w:pPr>
              <w:pStyle w:val="15"/>
            </w:pPr>
            <w:r>
              <w:rPr>
                <w:rFonts w:ascii="Calibri" w:hAnsi="Calibri" w:cs="Calibri"/>
                <w:color w:val="000000"/>
                <w:sz w:val="22"/>
                <w:szCs w:val="22"/>
              </w:rPr>
              <w:t>378.16</w:t>
            </w:r>
          </w:p>
        </w:tc>
        <w:tc>
          <w:tcPr>
            <w:tcW w:w="1134" w:type="dxa"/>
          </w:tcPr>
          <w:p>
            <w:pPr>
              <w:pStyle w:val="15"/>
            </w:pPr>
            <w:r>
              <w:rPr>
                <w:rFonts w:ascii="Calibri" w:hAnsi="Calibri" w:cs="Calibri"/>
                <w:color w:val="000000"/>
                <w:sz w:val="22"/>
                <w:szCs w:val="22"/>
              </w:rPr>
              <w:t>378.16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tcPr>
          <w:p>
            <w:pPr>
              <w:pStyle w:val="16"/>
            </w:pPr>
            <w:r>
              <w:rPr>
                <w:rFonts w:ascii="Calibri" w:hAnsi="Calibri" w:cs="Calibri"/>
                <w:color w:val="000000"/>
                <w:sz w:val="22"/>
                <w:szCs w:val="22"/>
              </w:rPr>
              <w:t>2010301</w:t>
            </w:r>
          </w:p>
        </w:tc>
        <w:tc>
          <w:tcPr>
            <w:tcW w:w="1559" w:type="dxa"/>
          </w:tcPr>
          <w:p>
            <w:pPr>
              <w:pStyle w:val="16"/>
            </w:pPr>
            <w:r>
              <w:rPr>
                <w:rFonts w:ascii="Calibri" w:hAnsi="Calibri" w:cs="Calibri"/>
                <w:color w:val="000000"/>
                <w:sz w:val="22"/>
                <w:szCs w:val="22"/>
              </w:rPr>
              <w:t>行政运行</w:t>
            </w:r>
          </w:p>
        </w:tc>
        <w:tc>
          <w:tcPr>
            <w:tcW w:w="1134" w:type="dxa"/>
          </w:tcPr>
          <w:p>
            <w:pPr>
              <w:pStyle w:val="15"/>
            </w:pPr>
            <w:r>
              <w:rPr>
                <w:rFonts w:ascii="Calibri" w:hAnsi="Calibri" w:cs="Calibri"/>
                <w:color w:val="000000"/>
                <w:sz w:val="22"/>
                <w:szCs w:val="22"/>
              </w:rPr>
              <w:t>354.91</w:t>
            </w:r>
          </w:p>
        </w:tc>
        <w:tc>
          <w:tcPr>
            <w:tcW w:w="1134" w:type="dxa"/>
          </w:tcPr>
          <w:p>
            <w:pPr>
              <w:pStyle w:val="15"/>
            </w:pPr>
            <w:r>
              <w:rPr>
                <w:rFonts w:ascii="Calibri" w:hAnsi="Calibri" w:cs="Calibri"/>
                <w:color w:val="000000"/>
                <w:sz w:val="22"/>
                <w:szCs w:val="22"/>
              </w:rPr>
              <w:t>354.91</w:t>
            </w:r>
          </w:p>
        </w:tc>
        <w:tc>
          <w:tcPr>
            <w:tcW w:w="1134" w:type="dxa"/>
          </w:tcPr>
          <w:p>
            <w:pPr>
              <w:pStyle w:val="15"/>
            </w:pPr>
            <w:r>
              <w:rPr>
                <w:rFonts w:ascii="Calibri" w:hAnsi="Calibri" w:cs="Calibri"/>
                <w:color w:val="000000"/>
                <w:sz w:val="22"/>
                <w:szCs w:val="22"/>
              </w:rPr>
              <w:t>354.91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tcPr>
          <w:p>
            <w:pPr>
              <w:pStyle w:val="16"/>
            </w:pPr>
            <w:r>
              <w:rPr>
                <w:rFonts w:ascii="Calibri" w:hAnsi="Calibri" w:cs="Calibri"/>
                <w:color w:val="000000"/>
                <w:sz w:val="22"/>
                <w:szCs w:val="22"/>
              </w:rPr>
              <w:t>2010302</w:t>
            </w:r>
          </w:p>
        </w:tc>
        <w:tc>
          <w:tcPr>
            <w:tcW w:w="1559" w:type="dxa"/>
          </w:tcPr>
          <w:p>
            <w:pPr>
              <w:pStyle w:val="16"/>
            </w:pPr>
            <w:r>
              <w:rPr>
                <w:rFonts w:ascii="Calibri" w:hAnsi="Calibri" w:cs="Calibri"/>
                <w:color w:val="000000"/>
                <w:sz w:val="22"/>
                <w:szCs w:val="22"/>
              </w:rPr>
              <w:t>一般行政管理事务</w:t>
            </w:r>
          </w:p>
        </w:tc>
        <w:tc>
          <w:tcPr>
            <w:tcW w:w="1134" w:type="dxa"/>
          </w:tcPr>
          <w:p>
            <w:pPr>
              <w:pStyle w:val="15"/>
            </w:pPr>
            <w:r>
              <w:rPr>
                <w:rFonts w:ascii="Calibri" w:hAnsi="Calibri" w:cs="Calibri"/>
                <w:color w:val="000000"/>
                <w:sz w:val="22"/>
                <w:szCs w:val="22"/>
              </w:rPr>
              <w:t>23.25</w:t>
            </w:r>
          </w:p>
        </w:tc>
        <w:tc>
          <w:tcPr>
            <w:tcW w:w="1134" w:type="dxa"/>
          </w:tcPr>
          <w:p>
            <w:pPr>
              <w:pStyle w:val="15"/>
            </w:pPr>
            <w:r>
              <w:rPr>
                <w:rFonts w:ascii="Calibri" w:hAnsi="Calibri" w:cs="Calibri"/>
                <w:color w:val="000000"/>
                <w:sz w:val="22"/>
                <w:szCs w:val="22"/>
              </w:rPr>
              <w:t>23.25</w:t>
            </w:r>
          </w:p>
        </w:tc>
        <w:tc>
          <w:tcPr>
            <w:tcW w:w="1134" w:type="dxa"/>
          </w:tcPr>
          <w:p>
            <w:pPr>
              <w:pStyle w:val="15"/>
            </w:pPr>
            <w:r>
              <w:rPr>
                <w:rFonts w:ascii="Calibri" w:hAnsi="Calibri" w:cs="Calibri"/>
                <w:color w:val="000000"/>
                <w:sz w:val="22"/>
                <w:szCs w:val="22"/>
              </w:rPr>
              <w:t>23.25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tcPr>
          <w:p>
            <w:pPr>
              <w:pStyle w:val="16"/>
            </w:pPr>
            <w:r>
              <w:rPr>
                <w:rFonts w:ascii="Calibri" w:hAnsi="Calibri" w:cs="Calibri"/>
                <w:color w:val="000000"/>
                <w:sz w:val="22"/>
                <w:szCs w:val="22"/>
              </w:rPr>
              <w:t>207</w:t>
            </w:r>
          </w:p>
        </w:tc>
        <w:tc>
          <w:tcPr>
            <w:tcW w:w="1559" w:type="dxa"/>
          </w:tcPr>
          <w:p>
            <w:pPr>
              <w:pStyle w:val="16"/>
            </w:pPr>
            <w:r>
              <w:rPr>
                <w:rFonts w:ascii="Calibri" w:hAnsi="Calibri" w:cs="Calibri"/>
                <w:color w:val="000000"/>
                <w:sz w:val="22"/>
                <w:szCs w:val="22"/>
              </w:rPr>
              <w:t>文化旅游体育与传媒支出</w:t>
            </w:r>
          </w:p>
        </w:tc>
        <w:tc>
          <w:tcPr>
            <w:tcW w:w="1134" w:type="dxa"/>
          </w:tcPr>
          <w:p>
            <w:pPr>
              <w:pStyle w:val="15"/>
            </w:pPr>
            <w:r>
              <w:rPr>
                <w:rFonts w:ascii="Calibri" w:hAnsi="Calibri" w:cs="Calibri"/>
                <w:color w:val="000000"/>
                <w:sz w:val="22"/>
                <w:szCs w:val="22"/>
              </w:rPr>
              <w:t>1.75</w:t>
            </w:r>
          </w:p>
        </w:tc>
        <w:tc>
          <w:tcPr>
            <w:tcW w:w="1134" w:type="dxa"/>
          </w:tcPr>
          <w:p>
            <w:pPr>
              <w:pStyle w:val="15"/>
            </w:pPr>
            <w:r>
              <w:rPr>
                <w:rFonts w:ascii="Calibri" w:hAnsi="Calibri" w:cs="Calibri"/>
                <w:color w:val="000000"/>
                <w:sz w:val="22"/>
                <w:szCs w:val="22"/>
              </w:rPr>
              <w:t>1.75</w:t>
            </w:r>
          </w:p>
        </w:tc>
        <w:tc>
          <w:tcPr>
            <w:tcW w:w="1134" w:type="dxa"/>
          </w:tcPr>
          <w:p>
            <w:pPr>
              <w:pStyle w:val="15"/>
            </w:pPr>
            <w:r>
              <w:rPr>
                <w:rFonts w:ascii="Calibri" w:hAnsi="Calibri" w:cs="Calibri"/>
                <w:color w:val="000000"/>
                <w:sz w:val="22"/>
                <w:szCs w:val="22"/>
              </w:rPr>
              <w:t>1.75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tcPr>
          <w:p>
            <w:pPr>
              <w:pStyle w:val="16"/>
            </w:pPr>
            <w:r>
              <w:rPr>
                <w:rFonts w:ascii="Calibri" w:hAnsi="Calibri" w:cs="Calibri"/>
                <w:color w:val="000000"/>
                <w:sz w:val="22"/>
                <w:szCs w:val="22"/>
              </w:rPr>
              <w:t>20701</w:t>
            </w:r>
          </w:p>
        </w:tc>
        <w:tc>
          <w:tcPr>
            <w:tcW w:w="1559" w:type="dxa"/>
          </w:tcPr>
          <w:p>
            <w:pPr>
              <w:pStyle w:val="16"/>
            </w:pPr>
            <w:r>
              <w:rPr>
                <w:rFonts w:ascii="Calibri" w:hAnsi="Calibri" w:cs="Calibri"/>
                <w:color w:val="000000"/>
                <w:sz w:val="22"/>
                <w:szCs w:val="22"/>
              </w:rPr>
              <w:t>文化和旅游</w:t>
            </w:r>
          </w:p>
        </w:tc>
        <w:tc>
          <w:tcPr>
            <w:tcW w:w="1134" w:type="dxa"/>
          </w:tcPr>
          <w:p>
            <w:pPr>
              <w:pStyle w:val="15"/>
            </w:pPr>
            <w:r>
              <w:rPr>
                <w:rFonts w:ascii="Calibri" w:hAnsi="Calibri" w:cs="Calibri"/>
                <w:color w:val="000000"/>
                <w:sz w:val="22"/>
                <w:szCs w:val="22"/>
              </w:rPr>
              <w:t>1.75</w:t>
            </w:r>
          </w:p>
        </w:tc>
        <w:tc>
          <w:tcPr>
            <w:tcW w:w="1134" w:type="dxa"/>
          </w:tcPr>
          <w:p>
            <w:pPr>
              <w:pStyle w:val="15"/>
            </w:pPr>
            <w:r>
              <w:rPr>
                <w:rFonts w:ascii="Calibri" w:hAnsi="Calibri" w:cs="Calibri"/>
                <w:color w:val="000000"/>
                <w:sz w:val="22"/>
                <w:szCs w:val="22"/>
              </w:rPr>
              <w:t>1.75</w:t>
            </w:r>
          </w:p>
        </w:tc>
        <w:tc>
          <w:tcPr>
            <w:tcW w:w="1134" w:type="dxa"/>
          </w:tcPr>
          <w:p>
            <w:pPr>
              <w:pStyle w:val="15"/>
            </w:pPr>
            <w:r>
              <w:rPr>
                <w:rFonts w:ascii="Calibri" w:hAnsi="Calibri" w:cs="Calibri"/>
                <w:color w:val="000000"/>
                <w:sz w:val="22"/>
                <w:szCs w:val="22"/>
              </w:rPr>
              <w:t>1.75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tcPr>
          <w:p>
            <w:pPr>
              <w:pStyle w:val="16"/>
            </w:pPr>
            <w:r>
              <w:rPr>
                <w:rFonts w:ascii="Calibri" w:hAnsi="Calibri" w:cs="Calibri"/>
                <w:color w:val="000000"/>
                <w:sz w:val="22"/>
                <w:szCs w:val="22"/>
              </w:rPr>
              <w:t>2070199</w:t>
            </w:r>
          </w:p>
        </w:tc>
        <w:tc>
          <w:tcPr>
            <w:tcW w:w="1559" w:type="dxa"/>
          </w:tcPr>
          <w:p>
            <w:pPr>
              <w:pStyle w:val="16"/>
            </w:pPr>
            <w:r>
              <w:rPr>
                <w:rFonts w:ascii="Calibri" w:hAnsi="Calibri" w:cs="Calibri"/>
                <w:color w:val="000000"/>
                <w:sz w:val="22"/>
                <w:szCs w:val="22"/>
              </w:rPr>
              <w:t>其他文化和旅游支出</w:t>
            </w:r>
          </w:p>
        </w:tc>
        <w:tc>
          <w:tcPr>
            <w:tcW w:w="1134" w:type="dxa"/>
          </w:tcPr>
          <w:p>
            <w:pPr>
              <w:pStyle w:val="15"/>
            </w:pPr>
            <w:r>
              <w:rPr>
                <w:rFonts w:ascii="Calibri" w:hAnsi="Calibri" w:cs="Calibri"/>
                <w:color w:val="000000"/>
                <w:sz w:val="22"/>
                <w:szCs w:val="22"/>
              </w:rPr>
              <w:t>1.75</w:t>
            </w:r>
          </w:p>
        </w:tc>
        <w:tc>
          <w:tcPr>
            <w:tcW w:w="1134" w:type="dxa"/>
          </w:tcPr>
          <w:p>
            <w:pPr>
              <w:pStyle w:val="15"/>
            </w:pPr>
            <w:r>
              <w:rPr>
                <w:rFonts w:ascii="Calibri" w:hAnsi="Calibri" w:cs="Calibri"/>
                <w:color w:val="000000"/>
                <w:sz w:val="22"/>
                <w:szCs w:val="22"/>
              </w:rPr>
              <w:t>1.75</w:t>
            </w:r>
          </w:p>
        </w:tc>
        <w:tc>
          <w:tcPr>
            <w:tcW w:w="1134" w:type="dxa"/>
          </w:tcPr>
          <w:p>
            <w:pPr>
              <w:pStyle w:val="15"/>
            </w:pPr>
            <w:r>
              <w:rPr>
                <w:rFonts w:ascii="Calibri" w:hAnsi="Calibri" w:cs="Calibri"/>
                <w:color w:val="000000"/>
                <w:sz w:val="22"/>
                <w:szCs w:val="22"/>
              </w:rPr>
              <w:t>1.75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tcPr>
          <w:p>
            <w:pPr>
              <w:pStyle w:val="16"/>
            </w:pPr>
            <w:r>
              <w:rPr>
                <w:rFonts w:ascii="Calibri" w:hAnsi="Calibri" w:cs="Calibri"/>
                <w:color w:val="000000"/>
                <w:sz w:val="22"/>
                <w:szCs w:val="22"/>
              </w:rPr>
              <w:t>208</w:t>
            </w:r>
          </w:p>
        </w:tc>
        <w:tc>
          <w:tcPr>
            <w:tcW w:w="1559" w:type="dxa"/>
          </w:tcPr>
          <w:p>
            <w:pPr>
              <w:pStyle w:val="16"/>
            </w:pPr>
            <w:r>
              <w:rPr>
                <w:rFonts w:ascii="Calibri" w:hAnsi="Calibri" w:cs="Calibri"/>
                <w:color w:val="000000"/>
                <w:sz w:val="22"/>
                <w:szCs w:val="22"/>
              </w:rPr>
              <w:t>社会保障和就业支出</w:t>
            </w:r>
          </w:p>
        </w:tc>
        <w:tc>
          <w:tcPr>
            <w:tcW w:w="1134" w:type="dxa"/>
          </w:tcPr>
          <w:p>
            <w:pPr>
              <w:pStyle w:val="15"/>
            </w:pPr>
            <w:r>
              <w:rPr>
                <w:rFonts w:ascii="Calibri" w:hAnsi="Calibri" w:cs="Calibri"/>
                <w:color w:val="000000"/>
                <w:sz w:val="22"/>
                <w:szCs w:val="22"/>
              </w:rPr>
              <w:t>28.14</w:t>
            </w:r>
          </w:p>
        </w:tc>
        <w:tc>
          <w:tcPr>
            <w:tcW w:w="1134" w:type="dxa"/>
          </w:tcPr>
          <w:p>
            <w:pPr>
              <w:pStyle w:val="15"/>
            </w:pPr>
            <w:r>
              <w:rPr>
                <w:rFonts w:ascii="Calibri" w:hAnsi="Calibri" w:cs="Calibri"/>
                <w:color w:val="000000"/>
                <w:sz w:val="22"/>
                <w:szCs w:val="22"/>
              </w:rPr>
              <w:t>28.14</w:t>
            </w:r>
          </w:p>
        </w:tc>
        <w:tc>
          <w:tcPr>
            <w:tcW w:w="1134" w:type="dxa"/>
          </w:tcPr>
          <w:p>
            <w:pPr>
              <w:pStyle w:val="15"/>
            </w:pPr>
            <w:r>
              <w:rPr>
                <w:rFonts w:ascii="Calibri" w:hAnsi="Calibri" w:cs="Calibri"/>
                <w:color w:val="000000"/>
                <w:sz w:val="22"/>
                <w:szCs w:val="22"/>
              </w:rPr>
              <w:t>28.14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tcPr>
          <w:p>
            <w:pPr>
              <w:pStyle w:val="16"/>
            </w:pPr>
            <w:r>
              <w:rPr>
                <w:rFonts w:ascii="Calibri" w:hAnsi="Calibri" w:cs="Calibri"/>
                <w:color w:val="000000"/>
                <w:sz w:val="22"/>
                <w:szCs w:val="22"/>
              </w:rPr>
              <w:t>20805</w:t>
            </w:r>
          </w:p>
        </w:tc>
        <w:tc>
          <w:tcPr>
            <w:tcW w:w="1559" w:type="dxa"/>
          </w:tcPr>
          <w:p>
            <w:pPr>
              <w:pStyle w:val="16"/>
            </w:pPr>
            <w:r>
              <w:rPr>
                <w:rFonts w:ascii="Calibri" w:hAnsi="Calibri" w:cs="Calibri"/>
                <w:color w:val="000000"/>
                <w:sz w:val="22"/>
                <w:szCs w:val="22"/>
              </w:rPr>
              <w:t>行政事业单位养老支出</w:t>
            </w:r>
          </w:p>
        </w:tc>
        <w:tc>
          <w:tcPr>
            <w:tcW w:w="1134" w:type="dxa"/>
          </w:tcPr>
          <w:p>
            <w:pPr>
              <w:pStyle w:val="15"/>
            </w:pPr>
            <w:r>
              <w:rPr>
                <w:rFonts w:ascii="Calibri" w:hAnsi="Calibri" w:cs="Calibri"/>
                <w:color w:val="000000"/>
                <w:sz w:val="22"/>
                <w:szCs w:val="22"/>
              </w:rPr>
              <w:t>28.14</w:t>
            </w:r>
          </w:p>
        </w:tc>
        <w:tc>
          <w:tcPr>
            <w:tcW w:w="1134" w:type="dxa"/>
          </w:tcPr>
          <w:p>
            <w:pPr>
              <w:pStyle w:val="15"/>
            </w:pPr>
            <w:r>
              <w:rPr>
                <w:rFonts w:ascii="Calibri" w:hAnsi="Calibri" w:cs="Calibri"/>
                <w:color w:val="000000"/>
                <w:sz w:val="22"/>
                <w:szCs w:val="22"/>
              </w:rPr>
              <w:t>28.14</w:t>
            </w:r>
          </w:p>
        </w:tc>
        <w:tc>
          <w:tcPr>
            <w:tcW w:w="1134" w:type="dxa"/>
          </w:tcPr>
          <w:p>
            <w:pPr>
              <w:pStyle w:val="15"/>
            </w:pPr>
            <w:r>
              <w:rPr>
                <w:rFonts w:ascii="Calibri" w:hAnsi="Calibri" w:cs="Calibri"/>
                <w:color w:val="000000"/>
                <w:sz w:val="22"/>
                <w:szCs w:val="22"/>
              </w:rPr>
              <w:t>28.14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tcPr>
          <w:p>
            <w:pPr>
              <w:pStyle w:val="16"/>
            </w:pPr>
            <w:r>
              <w:rPr>
                <w:rFonts w:ascii="Calibri" w:hAnsi="Calibri" w:cs="Calibri"/>
                <w:color w:val="000000"/>
                <w:sz w:val="22"/>
                <w:szCs w:val="22"/>
              </w:rPr>
              <w:t>2080505</w:t>
            </w:r>
          </w:p>
        </w:tc>
        <w:tc>
          <w:tcPr>
            <w:tcW w:w="1559" w:type="dxa"/>
          </w:tcPr>
          <w:p>
            <w:pPr>
              <w:pStyle w:val="16"/>
            </w:pPr>
            <w:r>
              <w:rPr>
                <w:rFonts w:ascii="Calibri" w:hAnsi="Calibri" w:cs="Calibri"/>
                <w:color w:val="000000"/>
                <w:sz w:val="22"/>
                <w:szCs w:val="22"/>
              </w:rPr>
              <w:t>机关事业单位基本养老保险缴费支出</w:t>
            </w:r>
          </w:p>
        </w:tc>
        <w:tc>
          <w:tcPr>
            <w:tcW w:w="1134" w:type="dxa"/>
          </w:tcPr>
          <w:p>
            <w:pPr>
              <w:pStyle w:val="15"/>
            </w:pPr>
            <w:r>
              <w:rPr>
                <w:rFonts w:ascii="Calibri" w:hAnsi="Calibri" w:cs="Calibri"/>
                <w:color w:val="000000"/>
                <w:sz w:val="22"/>
                <w:szCs w:val="22"/>
              </w:rPr>
              <w:t>28.14</w:t>
            </w:r>
          </w:p>
        </w:tc>
        <w:tc>
          <w:tcPr>
            <w:tcW w:w="1134" w:type="dxa"/>
          </w:tcPr>
          <w:p>
            <w:pPr>
              <w:pStyle w:val="15"/>
            </w:pPr>
            <w:r>
              <w:rPr>
                <w:rFonts w:ascii="Calibri" w:hAnsi="Calibri" w:cs="Calibri"/>
                <w:color w:val="000000"/>
                <w:sz w:val="22"/>
                <w:szCs w:val="22"/>
              </w:rPr>
              <w:t>28.14</w:t>
            </w:r>
          </w:p>
        </w:tc>
        <w:tc>
          <w:tcPr>
            <w:tcW w:w="1134" w:type="dxa"/>
          </w:tcPr>
          <w:p>
            <w:pPr>
              <w:pStyle w:val="15"/>
            </w:pPr>
            <w:r>
              <w:rPr>
                <w:rFonts w:ascii="Calibri" w:hAnsi="Calibri" w:cs="Calibri"/>
                <w:color w:val="000000"/>
                <w:sz w:val="22"/>
                <w:szCs w:val="22"/>
              </w:rPr>
              <w:t>28.14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tcPr>
          <w:p>
            <w:pPr>
              <w:pStyle w:val="16"/>
            </w:pPr>
            <w:r>
              <w:rPr>
                <w:rFonts w:ascii="Calibri" w:hAnsi="Calibri" w:cs="Calibri"/>
                <w:color w:val="000000"/>
                <w:sz w:val="22"/>
                <w:szCs w:val="22"/>
              </w:rPr>
              <w:t>210</w:t>
            </w:r>
          </w:p>
        </w:tc>
        <w:tc>
          <w:tcPr>
            <w:tcW w:w="1559" w:type="dxa"/>
          </w:tcPr>
          <w:p>
            <w:pPr>
              <w:pStyle w:val="16"/>
            </w:pPr>
            <w:r>
              <w:rPr>
                <w:rFonts w:ascii="Calibri" w:hAnsi="Calibri" w:cs="Calibri"/>
                <w:color w:val="000000"/>
                <w:sz w:val="22"/>
                <w:szCs w:val="22"/>
              </w:rPr>
              <w:t>卫生健康支出</w:t>
            </w:r>
          </w:p>
        </w:tc>
        <w:tc>
          <w:tcPr>
            <w:tcW w:w="1134" w:type="dxa"/>
          </w:tcPr>
          <w:p>
            <w:pPr>
              <w:pStyle w:val="15"/>
            </w:pPr>
            <w:r>
              <w:rPr>
                <w:rFonts w:ascii="Calibri" w:hAnsi="Calibri" w:cs="Calibri"/>
                <w:color w:val="000000"/>
                <w:sz w:val="22"/>
                <w:szCs w:val="22"/>
              </w:rPr>
              <w:t>16.74</w:t>
            </w:r>
          </w:p>
        </w:tc>
        <w:tc>
          <w:tcPr>
            <w:tcW w:w="1134" w:type="dxa"/>
          </w:tcPr>
          <w:p>
            <w:pPr>
              <w:pStyle w:val="15"/>
            </w:pPr>
            <w:r>
              <w:rPr>
                <w:rFonts w:ascii="Calibri" w:hAnsi="Calibri" w:cs="Calibri"/>
                <w:color w:val="000000"/>
                <w:sz w:val="22"/>
                <w:szCs w:val="22"/>
              </w:rPr>
              <w:t>16.74</w:t>
            </w:r>
          </w:p>
        </w:tc>
        <w:tc>
          <w:tcPr>
            <w:tcW w:w="1134" w:type="dxa"/>
          </w:tcPr>
          <w:p>
            <w:pPr>
              <w:pStyle w:val="15"/>
            </w:pPr>
            <w:r>
              <w:rPr>
                <w:rFonts w:ascii="Calibri" w:hAnsi="Calibri" w:cs="Calibri"/>
                <w:color w:val="000000"/>
                <w:sz w:val="22"/>
                <w:szCs w:val="22"/>
              </w:rPr>
              <w:t>16.74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13</w:t>
            </w:r>
          </w:p>
        </w:tc>
        <w:tc>
          <w:tcPr>
            <w:tcW w:w="992" w:type="dxa"/>
          </w:tcPr>
          <w:p>
            <w:pPr>
              <w:pStyle w:val="16"/>
            </w:pPr>
            <w:r>
              <w:rPr>
                <w:rFonts w:ascii="Calibri" w:hAnsi="Calibri" w:cs="Calibri"/>
                <w:color w:val="000000"/>
                <w:sz w:val="22"/>
                <w:szCs w:val="22"/>
              </w:rPr>
              <w:t>21011</w:t>
            </w:r>
          </w:p>
        </w:tc>
        <w:tc>
          <w:tcPr>
            <w:tcW w:w="1559" w:type="dxa"/>
          </w:tcPr>
          <w:p>
            <w:pPr>
              <w:pStyle w:val="16"/>
            </w:pPr>
            <w:r>
              <w:rPr>
                <w:rFonts w:ascii="Calibri" w:hAnsi="Calibri" w:cs="Calibri"/>
                <w:color w:val="000000"/>
                <w:sz w:val="22"/>
                <w:szCs w:val="22"/>
              </w:rPr>
              <w:t>行政事业单位医疗</w:t>
            </w:r>
          </w:p>
        </w:tc>
        <w:tc>
          <w:tcPr>
            <w:tcW w:w="1134" w:type="dxa"/>
          </w:tcPr>
          <w:p>
            <w:pPr>
              <w:pStyle w:val="15"/>
            </w:pPr>
            <w:r>
              <w:rPr>
                <w:rFonts w:ascii="Calibri" w:hAnsi="Calibri" w:cs="Calibri"/>
                <w:color w:val="000000"/>
                <w:sz w:val="22"/>
                <w:szCs w:val="22"/>
              </w:rPr>
              <w:t>16.74</w:t>
            </w:r>
          </w:p>
        </w:tc>
        <w:tc>
          <w:tcPr>
            <w:tcW w:w="1134" w:type="dxa"/>
          </w:tcPr>
          <w:p>
            <w:pPr>
              <w:pStyle w:val="15"/>
            </w:pPr>
            <w:r>
              <w:rPr>
                <w:rFonts w:ascii="Calibri" w:hAnsi="Calibri" w:cs="Calibri"/>
                <w:color w:val="000000"/>
                <w:sz w:val="22"/>
                <w:szCs w:val="22"/>
              </w:rPr>
              <w:t>16.74</w:t>
            </w:r>
          </w:p>
        </w:tc>
        <w:tc>
          <w:tcPr>
            <w:tcW w:w="1134" w:type="dxa"/>
          </w:tcPr>
          <w:p>
            <w:pPr>
              <w:pStyle w:val="15"/>
            </w:pPr>
            <w:r>
              <w:rPr>
                <w:rFonts w:ascii="Calibri" w:hAnsi="Calibri" w:cs="Calibri"/>
                <w:color w:val="000000"/>
                <w:sz w:val="22"/>
                <w:szCs w:val="22"/>
              </w:rPr>
              <w:t>16.74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14</w:t>
            </w:r>
          </w:p>
        </w:tc>
        <w:tc>
          <w:tcPr>
            <w:tcW w:w="992" w:type="dxa"/>
          </w:tcPr>
          <w:p>
            <w:pPr>
              <w:pStyle w:val="16"/>
            </w:pPr>
            <w:r>
              <w:rPr>
                <w:rFonts w:ascii="Calibri" w:hAnsi="Calibri" w:cs="Calibri"/>
                <w:color w:val="000000"/>
                <w:sz w:val="22"/>
                <w:szCs w:val="22"/>
              </w:rPr>
              <w:t>2101101</w:t>
            </w:r>
          </w:p>
        </w:tc>
        <w:tc>
          <w:tcPr>
            <w:tcW w:w="1559" w:type="dxa"/>
          </w:tcPr>
          <w:p>
            <w:pPr>
              <w:pStyle w:val="16"/>
            </w:pPr>
            <w:r>
              <w:rPr>
                <w:rFonts w:ascii="Calibri" w:hAnsi="Calibri" w:cs="Calibri"/>
                <w:color w:val="000000"/>
                <w:sz w:val="22"/>
                <w:szCs w:val="22"/>
              </w:rPr>
              <w:t>行政单位医疗</w:t>
            </w:r>
          </w:p>
        </w:tc>
        <w:tc>
          <w:tcPr>
            <w:tcW w:w="1134" w:type="dxa"/>
          </w:tcPr>
          <w:p>
            <w:pPr>
              <w:pStyle w:val="15"/>
            </w:pPr>
            <w:r>
              <w:rPr>
                <w:rFonts w:ascii="Calibri" w:hAnsi="Calibri" w:cs="Calibri"/>
                <w:color w:val="000000"/>
                <w:sz w:val="22"/>
                <w:szCs w:val="22"/>
              </w:rPr>
              <w:t>15.4</w:t>
            </w:r>
          </w:p>
        </w:tc>
        <w:tc>
          <w:tcPr>
            <w:tcW w:w="1134" w:type="dxa"/>
          </w:tcPr>
          <w:p>
            <w:pPr>
              <w:pStyle w:val="15"/>
            </w:pPr>
            <w:r>
              <w:rPr>
                <w:rFonts w:ascii="Calibri" w:hAnsi="Calibri" w:cs="Calibri"/>
                <w:color w:val="000000"/>
                <w:sz w:val="22"/>
                <w:szCs w:val="22"/>
              </w:rPr>
              <w:t>15.4</w:t>
            </w:r>
          </w:p>
        </w:tc>
        <w:tc>
          <w:tcPr>
            <w:tcW w:w="1134" w:type="dxa"/>
          </w:tcPr>
          <w:p>
            <w:pPr>
              <w:pStyle w:val="15"/>
            </w:pPr>
            <w:r>
              <w:rPr>
                <w:rFonts w:ascii="Calibri" w:hAnsi="Calibri" w:cs="Calibri"/>
                <w:color w:val="000000"/>
                <w:sz w:val="22"/>
                <w:szCs w:val="22"/>
              </w:rPr>
              <w:t>15.4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15</w:t>
            </w:r>
          </w:p>
        </w:tc>
        <w:tc>
          <w:tcPr>
            <w:tcW w:w="992" w:type="dxa"/>
          </w:tcPr>
          <w:p>
            <w:pPr>
              <w:pStyle w:val="16"/>
            </w:pPr>
            <w:r>
              <w:rPr>
                <w:rFonts w:ascii="Calibri" w:hAnsi="Calibri" w:cs="Calibri"/>
                <w:color w:val="000000"/>
                <w:sz w:val="22"/>
                <w:szCs w:val="22"/>
              </w:rPr>
              <w:t>2101102</w:t>
            </w:r>
          </w:p>
        </w:tc>
        <w:tc>
          <w:tcPr>
            <w:tcW w:w="1559" w:type="dxa"/>
          </w:tcPr>
          <w:p>
            <w:pPr>
              <w:pStyle w:val="16"/>
            </w:pPr>
            <w:r>
              <w:rPr>
                <w:rFonts w:ascii="Calibri" w:hAnsi="Calibri" w:cs="Calibri"/>
                <w:color w:val="000000"/>
                <w:sz w:val="22"/>
                <w:szCs w:val="22"/>
              </w:rPr>
              <w:t>事业单位医疗</w:t>
            </w:r>
          </w:p>
        </w:tc>
        <w:tc>
          <w:tcPr>
            <w:tcW w:w="1134" w:type="dxa"/>
          </w:tcPr>
          <w:p>
            <w:pPr>
              <w:pStyle w:val="15"/>
            </w:pPr>
            <w:r>
              <w:rPr>
                <w:rFonts w:ascii="Calibri" w:hAnsi="Calibri" w:cs="Calibri"/>
                <w:color w:val="000000"/>
                <w:sz w:val="22"/>
                <w:szCs w:val="22"/>
              </w:rPr>
              <w:t>1.34</w:t>
            </w:r>
          </w:p>
        </w:tc>
        <w:tc>
          <w:tcPr>
            <w:tcW w:w="1134" w:type="dxa"/>
          </w:tcPr>
          <w:p>
            <w:pPr>
              <w:pStyle w:val="15"/>
            </w:pPr>
            <w:r>
              <w:rPr>
                <w:rFonts w:ascii="Calibri" w:hAnsi="Calibri" w:cs="Calibri"/>
                <w:color w:val="000000"/>
                <w:sz w:val="22"/>
                <w:szCs w:val="22"/>
              </w:rPr>
              <w:t>1.34</w:t>
            </w:r>
          </w:p>
        </w:tc>
        <w:tc>
          <w:tcPr>
            <w:tcW w:w="1134" w:type="dxa"/>
          </w:tcPr>
          <w:p>
            <w:pPr>
              <w:pStyle w:val="15"/>
            </w:pPr>
            <w:r>
              <w:rPr>
                <w:rFonts w:ascii="Calibri" w:hAnsi="Calibri" w:cs="Calibri"/>
                <w:color w:val="000000"/>
                <w:sz w:val="22"/>
                <w:szCs w:val="22"/>
              </w:rPr>
              <w:t>1.34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16</w:t>
            </w:r>
          </w:p>
        </w:tc>
        <w:tc>
          <w:tcPr>
            <w:tcW w:w="992" w:type="dxa"/>
          </w:tcPr>
          <w:p>
            <w:pPr>
              <w:pStyle w:val="16"/>
            </w:pPr>
            <w:r>
              <w:rPr>
                <w:rFonts w:ascii="Calibri" w:hAnsi="Calibri" w:cs="Calibri"/>
                <w:color w:val="000000"/>
                <w:sz w:val="22"/>
                <w:szCs w:val="22"/>
              </w:rPr>
              <w:t>221</w:t>
            </w:r>
          </w:p>
        </w:tc>
        <w:tc>
          <w:tcPr>
            <w:tcW w:w="1559" w:type="dxa"/>
          </w:tcPr>
          <w:p>
            <w:pPr>
              <w:pStyle w:val="16"/>
            </w:pPr>
            <w:r>
              <w:rPr>
                <w:rFonts w:ascii="Calibri" w:hAnsi="Calibri" w:cs="Calibri"/>
                <w:color w:val="000000"/>
                <w:sz w:val="22"/>
                <w:szCs w:val="22"/>
              </w:rPr>
              <w:t>住房保障支出</w:t>
            </w:r>
          </w:p>
        </w:tc>
        <w:tc>
          <w:tcPr>
            <w:tcW w:w="1134" w:type="dxa"/>
          </w:tcPr>
          <w:p>
            <w:pPr>
              <w:pStyle w:val="15"/>
            </w:pPr>
            <w:r>
              <w:rPr>
                <w:rFonts w:ascii="Calibri" w:hAnsi="Calibri" w:cs="Calibri"/>
                <w:color w:val="000000"/>
                <w:sz w:val="22"/>
                <w:szCs w:val="22"/>
              </w:rPr>
              <w:t>18.26</w:t>
            </w:r>
          </w:p>
        </w:tc>
        <w:tc>
          <w:tcPr>
            <w:tcW w:w="1134" w:type="dxa"/>
          </w:tcPr>
          <w:p>
            <w:pPr>
              <w:pStyle w:val="15"/>
            </w:pPr>
            <w:r>
              <w:rPr>
                <w:rFonts w:ascii="Calibri" w:hAnsi="Calibri" w:cs="Calibri"/>
                <w:color w:val="000000"/>
                <w:sz w:val="22"/>
                <w:szCs w:val="22"/>
              </w:rPr>
              <w:t>18.26</w:t>
            </w:r>
          </w:p>
        </w:tc>
        <w:tc>
          <w:tcPr>
            <w:tcW w:w="1134" w:type="dxa"/>
          </w:tcPr>
          <w:p>
            <w:pPr>
              <w:pStyle w:val="15"/>
            </w:pPr>
            <w:r>
              <w:rPr>
                <w:rFonts w:ascii="Calibri" w:hAnsi="Calibri" w:cs="Calibri"/>
                <w:color w:val="000000"/>
                <w:sz w:val="22"/>
                <w:szCs w:val="22"/>
              </w:rPr>
              <w:t>18.26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17</w:t>
            </w:r>
          </w:p>
        </w:tc>
        <w:tc>
          <w:tcPr>
            <w:tcW w:w="992" w:type="dxa"/>
          </w:tcPr>
          <w:p>
            <w:pPr>
              <w:pStyle w:val="16"/>
            </w:pPr>
            <w:r>
              <w:rPr>
                <w:rFonts w:ascii="Calibri" w:hAnsi="Calibri" w:cs="Calibri"/>
                <w:color w:val="000000"/>
                <w:sz w:val="22"/>
                <w:szCs w:val="22"/>
              </w:rPr>
              <w:t>22102</w:t>
            </w:r>
          </w:p>
        </w:tc>
        <w:tc>
          <w:tcPr>
            <w:tcW w:w="1559" w:type="dxa"/>
          </w:tcPr>
          <w:p>
            <w:pPr>
              <w:pStyle w:val="16"/>
            </w:pPr>
            <w:r>
              <w:rPr>
                <w:rFonts w:ascii="Calibri" w:hAnsi="Calibri" w:cs="Calibri"/>
                <w:color w:val="000000"/>
                <w:sz w:val="22"/>
                <w:szCs w:val="22"/>
              </w:rPr>
              <w:t>住房改革支出</w:t>
            </w:r>
          </w:p>
        </w:tc>
        <w:tc>
          <w:tcPr>
            <w:tcW w:w="1134" w:type="dxa"/>
          </w:tcPr>
          <w:p>
            <w:pPr>
              <w:pStyle w:val="15"/>
            </w:pPr>
            <w:r>
              <w:rPr>
                <w:rFonts w:ascii="Calibri" w:hAnsi="Calibri" w:cs="Calibri"/>
                <w:color w:val="000000"/>
                <w:sz w:val="22"/>
                <w:szCs w:val="22"/>
              </w:rPr>
              <w:t>18.26</w:t>
            </w:r>
          </w:p>
        </w:tc>
        <w:tc>
          <w:tcPr>
            <w:tcW w:w="1134" w:type="dxa"/>
          </w:tcPr>
          <w:p>
            <w:pPr>
              <w:pStyle w:val="15"/>
            </w:pPr>
            <w:r>
              <w:rPr>
                <w:rFonts w:ascii="Calibri" w:hAnsi="Calibri" w:cs="Calibri"/>
                <w:color w:val="000000"/>
                <w:sz w:val="22"/>
                <w:szCs w:val="22"/>
              </w:rPr>
              <w:t>18.26</w:t>
            </w:r>
          </w:p>
        </w:tc>
        <w:tc>
          <w:tcPr>
            <w:tcW w:w="1134" w:type="dxa"/>
          </w:tcPr>
          <w:p>
            <w:pPr>
              <w:pStyle w:val="15"/>
            </w:pPr>
            <w:r>
              <w:rPr>
                <w:rFonts w:ascii="Calibri" w:hAnsi="Calibri" w:cs="Calibri"/>
                <w:color w:val="000000"/>
                <w:sz w:val="22"/>
                <w:szCs w:val="22"/>
              </w:rPr>
              <w:t>18.26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18</w:t>
            </w:r>
          </w:p>
        </w:tc>
        <w:tc>
          <w:tcPr>
            <w:tcW w:w="992" w:type="dxa"/>
          </w:tcPr>
          <w:p>
            <w:pPr>
              <w:pStyle w:val="16"/>
            </w:pPr>
            <w:r>
              <w:rPr>
                <w:rFonts w:ascii="Calibri" w:hAnsi="Calibri" w:cs="Calibri"/>
                <w:color w:val="000000"/>
                <w:sz w:val="22"/>
                <w:szCs w:val="22"/>
              </w:rPr>
              <w:t>2210201</w:t>
            </w:r>
          </w:p>
        </w:tc>
        <w:tc>
          <w:tcPr>
            <w:tcW w:w="1559" w:type="dxa"/>
          </w:tcPr>
          <w:p>
            <w:pPr>
              <w:pStyle w:val="16"/>
            </w:pPr>
            <w:r>
              <w:rPr>
                <w:rFonts w:ascii="Calibri" w:hAnsi="Calibri" w:cs="Calibri"/>
                <w:color w:val="000000"/>
                <w:sz w:val="22"/>
                <w:szCs w:val="22"/>
              </w:rPr>
              <w:t>住房公积金</w:t>
            </w:r>
          </w:p>
        </w:tc>
        <w:tc>
          <w:tcPr>
            <w:tcW w:w="1134" w:type="dxa"/>
          </w:tcPr>
          <w:p>
            <w:pPr>
              <w:pStyle w:val="15"/>
            </w:pPr>
            <w:r>
              <w:rPr>
                <w:rFonts w:ascii="Calibri" w:hAnsi="Calibri" w:cs="Calibri"/>
                <w:color w:val="000000"/>
                <w:sz w:val="22"/>
                <w:szCs w:val="22"/>
              </w:rPr>
              <w:t>18.26</w:t>
            </w:r>
          </w:p>
        </w:tc>
        <w:tc>
          <w:tcPr>
            <w:tcW w:w="1134" w:type="dxa"/>
          </w:tcPr>
          <w:p>
            <w:pPr>
              <w:pStyle w:val="15"/>
            </w:pPr>
            <w:r>
              <w:rPr>
                <w:rFonts w:ascii="Calibri" w:hAnsi="Calibri" w:cs="Calibri"/>
                <w:color w:val="000000"/>
                <w:sz w:val="22"/>
                <w:szCs w:val="22"/>
              </w:rPr>
              <w:t>18.26</w:t>
            </w:r>
          </w:p>
        </w:tc>
        <w:tc>
          <w:tcPr>
            <w:tcW w:w="1134" w:type="dxa"/>
          </w:tcPr>
          <w:p>
            <w:pPr>
              <w:pStyle w:val="15"/>
            </w:pPr>
            <w:r>
              <w:rPr>
                <w:rFonts w:ascii="Calibri" w:hAnsi="Calibri" w:cs="Calibri"/>
                <w:color w:val="000000"/>
                <w:sz w:val="22"/>
                <w:szCs w:val="22"/>
              </w:rPr>
              <w:t>18.26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color w:val="000000"/>
                <w:sz w:val="22"/>
                <w:szCs w:val="22"/>
              </w:rPr>
              <w:t>栏次</w:t>
            </w:r>
          </w:p>
        </w:tc>
        <w:tc>
          <w:tcPr>
            <w:tcW w:w="992" w:type="dxa"/>
            <w:vAlign w:val="center"/>
          </w:tcPr>
          <w:p>
            <w:pPr>
              <w:pStyle w:val="14"/>
            </w:pPr>
            <w:r>
              <w:rPr>
                <w:rFonts w:hint="eastAsia"/>
                <w:color w:val="000000"/>
                <w:sz w:val="22"/>
                <w:szCs w:val="22"/>
              </w:rPr>
              <w:t>1</w:t>
            </w:r>
          </w:p>
        </w:tc>
        <w:tc>
          <w:tcPr>
            <w:tcW w:w="4536" w:type="dxa"/>
            <w:vAlign w:val="center"/>
          </w:tcPr>
          <w:p>
            <w:pPr>
              <w:pStyle w:val="14"/>
            </w:pPr>
            <w:r>
              <w:rPr>
                <w:rFonts w:hint="eastAsia"/>
                <w:color w:val="000000"/>
                <w:sz w:val="22"/>
                <w:szCs w:val="22"/>
              </w:rPr>
              <w:t>2</w:t>
            </w:r>
          </w:p>
        </w:tc>
        <w:tc>
          <w:tcPr>
            <w:tcW w:w="1361" w:type="dxa"/>
            <w:vAlign w:val="center"/>
          </w:tcPr>
          <w:p>
            <w:pPr>
              <w:pStyle w:val="14"/>
            </w:pPr>
            <w:r>
              <w:rPr>
                <w:rFonts w:hint="eastAsia"/>
                <w:color w:val="000000"/>
                <w:sz w:val="22"/>
                <w:szCs w:val="22"/>
              </w:rPr>
              <w:t>3</w:t>
            </w:r>
          </w:p>
        </w:tc>
        <w:tc>
          <w:tcPr>
            <w:tcW w:w="1361" w:type="dxa"/>
            <w:vAlign w:val="center"/>
          </w:tcPr>
          <w:p>
            <w:pPr>
              <w:pStyle w:val="14"/>
            </w:pPr>
            <w:r>
              <w:rPr>
                <w:rFonts w:hint="eastAsia"/>
                <w:color w:val="000000"/>
                <w:sz w:val="22"/>
                <w:szCs w:val="22"/>
              </w:rPr>
              <w:t>4</w:t>
            </w:r>
          </w:p>
        </w:tc>
        <w:tc>
          <w:tcPr>
            <w:tcW w:w="1361" w:type="dxa"/>
            <w:vAlign w:val="center"/>
          </w:tcPr>
          <w:p>
            <w:pPr>
              <w:pStyle w:val="14"/>
            </w:pPr>
            <w:r>
              <w:rPr>
                <w:rFonts w:hint="eastAsia"/>
                <w:color w:val="000000"/>
                <w:sz w:val="22"/>
                <w:szCs w:val="22"/>
              </w:rP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w:t>
            </w:r>
          </w:p>
        </w:tc>
        <w:tc>
          <w:tcPr>
            <w:tcW w:w="992" w:type="dxa"/>
          </w:tcPr>
          <w:p>
            <w:pPr>
              <w:pStyle w:val="20"/>
            </w:pPr>
            <w:r>
              <w:rPr>
                <w:rFonts w:ascii="Calibri" w:hAnsi="Calibri" w:cs="Calibri"/>
                <w:color w:val="000000"/>
                <w:sz w:val="22"/>
                <w:szCs w:val="22"/>
              </w:rPr>
              <w:t>　</w:t>
            </w:r>
          </w:p>
        </w:tc>
        <w:tc>
          <w:tcPr>
            <w:tcW w:w="4536" w:type="dxa"/>
          </w:tcPr>
          <w:p>
            <w:pPr>
              <w:pStyle w:val="18"/>
            </w:pPr>
            <w:r>
              <w:rPr>
                <w:rFonts w:ascii="Calibri" w:hAnsi="Calibri" w:cs="Calibri"/>
                <w:color w:val="000000"/>
                <w:sz w:val="22"/>
                <w:szCs w:val="22"/>
              </w:rPr>
              <w:t>合计</w:t>
            </w:r>
          </w:p>
        </w:tc>
        <w:tc>
          <w:tcPr>
            <w:tcW w:w="1361" w:type="dxa"/>
          </w:tcPr>
          <w:p>
            <w:pPr>
              <w:pStyle w:val="19"/>
            </w:pPr>
            <w:r>
              <w:rPr>
                <w:rFonts w:ascii="Calibri" w:hAnsi="Calibri" w:cs="Calibri"/>
                <w:color w:val="000000"/>
                <w:sz w:val="22"/>
                <w:szCs w:val="22"/>
              </w:rPr>
              <w:t>443.05</w:t>
            </w:r>
          </w:p>
        </w:tc>
        <w:tc>
          <w:tcPr>
            <w:tcW w:w="1361" w:type="dxa"/>
          </w:tcPr>
          <w:p>
            <w:pPr>
              <w:pStyle w:val="19"/>
            </w:pPr>
            <w:r>
              <w:rPr>
                <w:rFonts w:ascii="Calibri" w:hAnsi="Calibri" w:cs="Calibri"/>
                <w:color w:val="000000"/>
                <w:sz w:val="22"/>
                <w:szCs w:val="22"/>
              </w:rPr>
              <w:t>418.05</w:t>
            </w:r>
          </w:p>
        </w:tc>
        <w:tc>
          <w:tcPr>
            <w:tcW w:w="1361" w:type="dxa"/>
          </w:tcPr>
          <w:p>
            <w:pPr>
              <w:pStyle w:val="19"/>
            </w:pPr>
            <w:r>
              <w:rPr>
                <w:rFonts w:ascii="Calibri" w:hAnsi="Calibri" w:cs="Calibri"/>
                <w:color w:val="000000"/>
                <w:sz w:val="22"/>
                <w:szCs w:val="22"/>
              </w:rPr>
              <w:t>21.00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tcPr>
          <w:p>
            <w:pPr>
              <w:pStyle w:val="17"/>
            </w:pPr>
            <w:r>
              <w:rPr>
                <w:rFonts w:ascii="Calibri" w:hAnsi="Calibri" w:cs="Calibri"/>
                <w:color w:val="000000"/>
                <w:sz w:val="22"/>
                <w:szCs w:val="22"/>
              </w:rPr>
              <w:t>2</w:t>
            </w:r>
          </w:p>
        </w:tc>
        <w:tc>
          <w:tcPr>
            <w:tcW w:w="992" w:type="dxa"/>
          </w:tcPr>
          <w:p>
            <w:pPr>
              <w:pStyle w:val="16"/>
            </w:pPr>
            <w:r>
              <w:rPr>
                <w:rFonts w:ascii="Calibri" w:hAnsi="Calibri" w:cs="Calibri"/>
                <w:color w:val="000000"/>
                <w:sz w:val="22"/>
                <w:szCs w:val="22"/>
              </w:rPr>
              <w:t>201</w:t>
            </w:r>
          </w:p>
        </w:tc>
        <w:tc>
          <w:tcPr>
            <w:tcW w:w="4536" w:type="dxa"/>
          </w:tcPr>
          <w:p>
            <w:pPr>
              <w:pStyle w:val="16"/>
            </w:pPr>
            <w:r>
              <w:rPr>
                <w:rFonts w:ascii="Calibri" w:hAnsi="Calibri" w:cs="Calibri"/>
                <w:color w:val="000000"/>
                <w:sz w:val="22"/>
                <w:szCs w:val="22"/>
              </w:rPr>
              <w:t>一般公共服务支出</w:t>
            </w:r>
          </w:p>
        </w:tc>
        <w:tc>
          <w:tcPr>
            <w:tcW w:w="1361" w:type="dxa"/>
          </w:tcPr>
          <w:p>
            <w:pPr>
              <w:pStyle w:val="15"/>
            </w:pPr>
            <w:r>
              <w:rPr>
                <w:rFonts w:ascii="Calibri" w:hAnsi="Calibri" w:cs="Calibri"/>
                <w:color w:val="000000"/>
                <w:sz w:val="22"/>
                <w:szCs w:val="22"/>
              </w:rPr>
              <w:t>378.16</w:t>
            </w:r>
          </w:p>
        </w:tc>
        <w:tc>
          <w:tcPr>
            <w:tcW w:w="1361" w:type="dxa"/>
          </w:tcPr>
          <w:p>
            <w:pPr>
              <w:pStyle w:val="15"/>
            </w:pPr>
            <w:r>
              <w:rPr>
                <w:rFonts w:ascii="Calibri" w:hAnsi="Calibri" w:cs="Calibri"/>
                <w:color w:val="000000"/>
                <w:sz w:val="22"/>
                <w:szCs w:val="22"/>
              </w:rPr>
              <w:t>354.91</w:t>
            </w:r>
          </w:p>
        </w:tc>
        <w:tc>
          <w:tcPr>
            <w:tcW w:w="1361" w:type="dxa"/>
          </w:tcPr>
          <w:p>
            <w:pPr>
              <w:pStyle w:val="15"/>
            </w:pPr>
            <w:r>
              <w:rPr>
                <w:rFonts w:ascii="Calibri" w:hAnsi="Calibri" w:cs="Calibri"/>
                <w:color w:val="000000"/>
                <w:sz w:val="22"/>
                <w:szCs w:val="22"/>
              </w:rPr>
              <w:t>19.25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3</w:t>
            </w:r>
          </w:p>
        </w:tc>
        <w:tc>
          <w:tcPr>
            <w:tcW w:w="992" w:type="dxa"/>
          </w:tcPr>
          <w:p>
            <w:pPr>
              <w:pStyle w:val="16"/>
            </w:pPr>
            <w:r>
              <w:rPr>
                <w:rFonts w:ascii="Calibri" w:hAnsi="Calibri" w:cs="Calibri"/>
                <w:color w:val="000000"/>
                <w:sz w:val="22"/>
                <w:szCs w:val="22"/>
              </w:rPr>
              <w:t>20103</w:t>
            </w:r>
          </w:p>
        </w:tc>
        <w:tc>
          <w:tcPr>
            <w:tcW w:w="4536" w:type="dxa"/>
          </w:tcPr>
          <w:p>
            <w:pPr>
              <w:pStyle w:val="16"/>
            </w:pPr>
            <w:r>
              <w:rPr>
                <w:rFonts w:ascii="Calibri" w:hAnsi="Calibri" w:cs="Calibri"/>
                <w:color w:val="000000"/>
                <w:sz w:val="22"/>
                <w:szCs w:val="22"/>
              </w:rPr>
              <w:t>政府办公厅（室）及相关机构事务</w:t>
            </w:r>
          </w:p>
        </w:tc>
        <w:tc>
          <w:tcPr>
            <w:tcW w:w="1361" w:type="dxa"/>
          </w:tcPr>
          <w:p>
            <w:pPr>
              <w:pStyle w:val="15"/>
            </w:pPr>
            <w:r>
              <w:rPr>
                <w:rFonts w:ascii="Calibri" w:hAnsi="Calibri" w:cs="Calibri"/>
                <w:color w:val="000000"/>
                <w:sz w:val="22"/>
                <w:szCs w:val="22"/>
              </w:rPr>
              <w:t>378.16</w:t>
            </w:r>
          </w:p>
        </w:tc>
        <w:tc>
          <w:tcPr>
            <w:tcW w:w="1361" w:type="dxa"/>
          </w:tcPr>
          <w:p>
            <w:pPr>
              <w:pStyle w:val="15"/>
            </w:pPr>
            <w:r>
              <w:rPr>
                <w:rFonts w:ascii="Calibri" w:hAnsi="Calibri" w:cs="Calibri"/>
                <w:color w:val="000000"/>
                <w:sz w:val="22"/>
                <w:szCs w:val="22"/>
              </w:rPr>
              <w:t>354.91</w:t>
            </w:r>
          </w:p>
        </w:tc>
        <w:tc>
          <w:tcPr>
            <w:tcW w:w="1361" w:type="dxa"/>
          </w:tcPr>
          <w:p>
            <w:pPr>
              <w:pStyle w:val="15"/>
            </w:pPr>
            <w:r>
              <w:rPr>
                <w:rFonts w:ascii="Calibri" w:hAnsi="Calibri" w:cs="Calibri"/>
                <w:color w:val="000000"/>
                <w:sz w:val="22"/>
                <w:szCs w:val="22"/>
              </w:rPr>
              <w:t>19.25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4</w:t>
            </w:r>
          </w:p>
        </w:tc>
        <w:tc>
          <w:tcPr>
            <w:tcW w:w="992" w:type="dxa"/>
          </w:tcPr>
          <w:p>
            <w:pPr>
              <w:pStyle w:val="16"/>
            </w:pPr>
            <w:r>
              <w:rPr>
                <w:rFonts w:ascii="Calibri" w:hAnsi="Calibri" w:cs="Calibri"/>
                <w:color w:val="000000"/>
                <w:sz w:val="22"/>
                <w:szCs w:val="22"/>
              </w:rPr>
              <w:t>2010301</w:t>
            </w:r>
          </w:p>
        </w:tc>
        <w:tc>
          <w:tcPr>
            <w:tcW w:w="4536" w:type="dxa"/>
          </w:tcPr>
          <w:p>
            <w:pPr>
              <w:pStyle w:val="16"/>
            </w:pPr>
            <w:r>
              <w:rPr>
                <w:rFonts w:ascii="Calibri" w:hAnsi="Calibri" w:cs="Calibri"/>
                <w:color w:val="000000"/>
                <w:sz w:val="22"/>
                <w:szCs w:val="22"/>
              </w:rPr>
              <w:t>行政运行</w:t>
            </w:r>
          </w:p>
        </w:tc>
        <w:tc>
          <w:tcPr>
            <w:tcW w:w="1361" w:type="dxa"/>
          </w:tcPr>
          <w:p>
            <w:pPr>
              <w:pStyle w:val="15"/>
            </w:pPr>
            <w:r>
              <w:rPr>
                <w:rFonts w:ascii="Calibri" w:hAnsi="Calibri" w:cs="Calibri"/>
                <w:color w:val="000000"/>
                <w:sz w:val="22"/>
                <w:szCs w:val="22"/>
              </w:rPr>
              <w:t>354.91</w:t>
            </w:r>
          </w:p>
        </w:tc>
        <w:tc>
          <w:tcPr>
            <w:tcW w:w="1361" w:type="dxa"/>
          </w:tcPr>
          <w:p>
            <w:pPr>
              <w:pStyle w:val="15"/>
            </w:pPr>
            <w:r>
              <w:rPr>
                <w:rFonts w:ascii="Calibri" w:hAnsi="Calibri" w:cs="Calibri"/>
                <w:color w:val="000000"/>
                <w:sz w:val="22"/>
                <w:szCs w:val="22"/>
              </w:rPr>
              <w:t>354.91</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5</w:t>
            </w:r>
          </w:p>
        </w:tc>
        <w:tc>
          <w:tcPr>
            <w:tcW w:w="992" w:type="dxa"/>
          </w:tcPr>
          <w:p>
            <w:pPr>
              <w:pStyle w:val="16"/>
            </w:pPr>
            <w:r>
              <w:rPr>
                <w:rFonts w:ascii="Calibri" w:hAnsi="Calibri" w:cs="Calibri"/>
                <w:color w:val="000000"/>
                <w:sz w:val="22"/>
                <w:szCs w:val="22"/>
              </w:rPr>
              <w:t>2010302</w:t>
            </w:r>
          </w:p>
        </w:tc>
        <w:tc>
          <w:tcPr>
            <w:tcW w:w="4536" w:type="dxa"/>
          </w:tcPr>
          <w:p>
            <w:pPr>
              <w:pStyle w:val="16"/>
            </w:pPr>
            <w:r>
              <w:rPr>
                <w:rFonts w:ascii="Calibri" w:hAnsi="Calibri" w:cs="Calibri"/>
                <w:color w:val="000000"/>
                <w:sz w:val="22"/>
                <w:szCs w:val="22"/>
              </w:rPr>
              <w:t>一般行政管理事务</w:t>
            </w:r>
          </w:p>
        </w:tc>
        <w:tc>
          <w:tcPr>
            <w:tcW w:w="1361" w:type="dxa"/>
          </w:tcPr>
          <w:p>
            <w:pPr>
              <w:pStyle w:val="15"/>
            </w:pPr>
            <w:r>
              <w:rPr>
                <w:rFonts w:ascii="Calibri" w:hAnsi="Calibri" w:cs="Calibri"/>
                <w:color w:val="000000"/>
                <w:sz w:val="22"/>
                <w:szCs w:val="22"/>
              </w:rPr>
              <w:t>23.25</w:t>
            </w:r>
          </w:p>
        </w:tc>
        <w:tc>
          <w:tcPr>
            <w:tcW w:w="1361" w:type="dxa"/>
          </w:tcPr>
          <w:p>
            <w:pPr>
              <w:pStyle w:val="15"/>
            </w:pPr>
            <w:r>
              <w:rPr>
                <w:rFonts w:ascii="Calibri" w:hAnsi="Calibri" w:cs="Calibri"/>
                <w:color w:val="000000"/>
                <w:sz w:val="22"/>
                <w:szCs w:val="22"/>
              </w:rPr>
              <w:t>　</w:t>
            </w:r>
          </w:p>
        </w:tc>
        <w:tc>
          <w:tcPr>
            <w:tcW w:w="1361" w:type="dxa"/>
          </w:tcPr>
          <w:p>
            <w:pPr>
              <w:pStyle w:val="15"/>
            </w:pPr>
            <w:r>
              <w:rPr>
                <w:rFonts w:ascii="Calibri" w:hAnsi="Calibri" w:cs="Calibri"/>
                <w:color w:val="000000"/>
                <w:sz w:val="22"/>
                <w:szCs w:val="22"/>
              </w:rPr>
              <w:t>19.25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6</w:t>
            </w:r>
          </w:p>
        </w:tc>
        <w:tc>
          <w:tcPr>
            <w:tcW w:w="992" w:type="dxa"/>
          </w:tcPr>
          <w:p>
            <w:pPr>
              <w:pStyle w:val="16"/>
            </w:pPr>
            <w:r>
              <w:rPr>
                <w:rFonts w:ascii="Calibri" w:hAnsi="Calibri" w:cs="Calibri"/>
                <w:color w:val="000000"/>
                <w:sz w:val="22"/>
                <w:szCs w:val="22"/>
              </w:rPr>
              <w:t>207</w:t>
            </w:r>
          </w:p>
        </w:tc>
        <w:tc>
          <w:tcPr>
            <w:tcW w:w="4536" w:type="dxa"/>
          </w:tcPr>
          <w:p>
            <w:pPr>
              <w:pStyle w:val="16"/>
            </w:pPr>
            <w:r>
              <w:rPr>
                <w:rFonts w:ascii="Calibri" w:hAnsi="Calibri" w:cs="Calibri"/>
                <w:color w:val="000000"/>
                <w:sz w:val="22"/>
                <w:szCs w:val="22"/>
              </w:rPr>
              <w:t>文化旅游体育与传媒支出</w:t>
            </w:r>
          </w:p>
        </w:tc>
        <w:tc>
          <w:tcPr>
            <w:tcW w:w="1361" w:type="dxa"/>
          </w:tcPr>
          <w:p>
            <w:pPr>
              <w:pStyle w:val="15"/>
            </w:pPr>
            <w:r>
              <w:rPr>
                <w:rFonts w:ascii="Calibri" w:hAnsi="Calibri" w:cs="Calibri"/>
                <w:color w:val="000000"/>
                <w:sz w:val="22"/>
                <w:szCs w:val="22"/>
              </w:rPr>
              <w:t>1.75</w:t>
            </w:r>
          </w:p>
        </w:tc>
        <w:tc>
          <w:tcPr>
            <w:tcW w:w="1361" w:type="dxa"/>
          </w:tcPr>
          <w:p>
            <w:pPr>
              <w:pStyle w:val="15"/>
            </w:pPr>
            <w:r>
              <w:rPr>
                <w:rFonts w:ascii="Calibri" w:hAnsi="Calibri" w:cs="Calibri"/>
                <w:color w:val="000000"/>
                <w:sz w:val="22"/>
                <w:szCs w:val="22"/>
              </w:rPr>
              <w:t>　</w:t>
            </w:r>
          </w:p>
        </w:tc>
        <w:tc>
          <w:tcPr>
            <w:tcW w:w="1361" w:type="dxa"/>
          </w:tcPr>
          <w:p>
            <w:pPr>
              <w:pStyle w:val="15"/>
            </w:pPr>
            <w:r>
              <w:rPr>
                <w:rFonts w:ascii="Calibri" w:hAnsi="Calibri" w:cs="Calibri"/>
                <w:color w:val="000000"/>
                <w:sz w:val="22"/>
                <w:szCs w:val="22"/>
              </w:rPr>
              <w:t>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7</w:t>
            </w:r>
          </w:p>
        </w:tc>
        <w:tc>
          <w:tcPr>
            <w:tcW w:w="992" w:type="dxa"/>
          </w:tcPr>
          <w:p>
            <w:pPr>
              <w:pStyle w:val="16"/>
            </w:pPr>
            <w:r>
              <w:rPr>
                <w:rFonts w:ascii="Calibri" w:hAnsi="Calibri" w:cs="Calibri"/>
                <w:color w:val="000000"/>
                <w:sz w:val="22"/>
                <w:szCs w:val="22"/>
              </w:rPr>
              <w:t>20701</w:t>
            </w:r>
          </w:p>
        </w:tc>
        <w:tc>
          <w:tcPr>
            <w:tcW w:w="4536" w:type="dxa"/>
          </w:tcPr>
          <w:p>
            <w:pPr>
              <w:pStyle w:val="16"/>
            </w:pPr>
            <w:r>
              <w:rPr>
                <w:rFonts w:ascii="Calibri" w:hAnsi="Calibri" w:cs="Calibri"/>
                <w:color w:val="000000"/>
                <w:sz w:val="22"/>
                <w:szCs w:val="22"/>
              </w:rPr>
              <w:t>文化和旅游</w:t>
            </w:r>
          </w:p>
        </w:tc>
        <w:tc>
          <w:tcPr>
            <w:tcW w:w="1361" w:type="dxa"/>
          </w:tcPr>
          <w:p>
            <w:pPr>
              <w:pStyle w:val="15"/>
            </w:pPr>
            <w:r>
              <w:rPr>
                <w:rFonts w:ascii="Calibri" w:hAnsi="Calibri" w:cs="Calibri"/>
                <w:color w:val="000000"/>
                <w:sz w:val="22"/>
                <w:szCs w:val="22"/>
              </w:rPr>
              <w:t>1.75</w:t>
            </w:r>
          </w:p>
        </w:tc>
        <w:tc>
          <w:tcPr>
            <w:tcW w:w="1361" w:type="dxa"/>
          </w:tcPr>
          <w:p>
            <w:pPr>
              <w:pStyle w:val="15"/>
            </w:pPr>
            <w:r>
              <w:rPr>
                <w:rFonts w:ascii="Calibri" w:hAnsi="Calibri" w:cs="Calibri"/>
                <w:color w:val="000000"/>
                <w:sz w:val="22"/>
                <w:szCs w:val="22"/>
              </w:rPr>
              <w:t>　</w:t>
            </w:r>
          </w:p>
        </w:tc>
        <w:tc>
          <w:tcPr>
            <w:tcW w:w="1361" w:type="dxa"/>
          </w:tcPr>
          <w:p>
            <w:pPr>
              <w:pStyle w:val="15"/>
            </w:pPr>
            <w:r>
              <w:rPr>
                <w:rFonts w:ascii="Calibri" w:hAnsi="Calibri" w:cs="Calibri"/>
                <w:color w:val="000000"/>
                <w:sz w:val="22"/>
                <w:szCs w:val="22"/>
              </w:rPr>
              <w:t>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8</w:t>
            </w:r>
          </w:p>
        </w:tc>
        <w:tc>
          <w:tcPr>
            <w:tcW w:w="992" w:type="dxa"/>
          </w:tcPr>
          <w:p>
            <w:pPr>
              <w:pStyle w:val="16"/>
            </w:pPr>
            <w:r>
              <w:rPr>
                <w:rFonts w:ascii="Calibri" w:hAnsi="Calibri" w:cs="Calibri"/>
                <w:color w:val="000000"/>
                <w:sz w:val="22"/>
                <w:szCs w:val="22"/>
              </w:rPr>
              <w:t>2070199</w:t>
            </w:r>
          </w:p>
        </w:tc>
        <w:tc>
          <w:tcPr>
            <w:tcW w:w="4536" w:type="dxa"/>
          </w:tcPr>
          <w:p>
            <w:pPr>
              <w:pStyle w:val="16"/>
            </w:pPr>
            <w:r>
              <w:rPr>
                <w:rFonts w:ascii="Calibri" w:hAnsi="Calibri" w:cs="Calibri"/>
                <w:color w:val="000000"/>
                <w:sz w:val="22"/>
                <w:szCs w:val="22"/>
              </w:rPr>
              <w:t>其他文化和旅游支出</w:t>
            </w:r>
          </w:p>
        </w:tc>
        <w:tc>
          <w:tcPr>
            <w:tcW w:w="1361" w:type="dxa"/>
          </w:tcPr>
          <w:p>
            <w:pPr>
              <w:pStyle w:val="15"/>
            </w:pPr>
            <w:r>
              <w:rPr>
                <w:rFonts w:ascii="Calibri" w:hAnsi="Calibri" w:cs="Calibri"/>
                <w:color w:val="000000"/>
                <w:sz w:val="22"/>
                <w:szCs w:val="22"/>
              </w:rPr>
              <w:t>1.75</w:t>
            </w:r>
          </w:p>
        </w:tc>
        <w:tc>
          <w:tcPr>
            <w:tcW w:w="1361" w:type="dxa"/>
          </w:tcPr>
          <w:p>
            <w:pPr>
              <w:pStyle w:val="15"/>
            </w:pPr>
            <w:r>
              <w:rPr>
                <w:rFonts w:ascii="Calibri" w:hAnsi="Calibri" w:cs="Calibri"/>
                <w:color w:val="000000"/>
                <w:sz w:val="22"/>
                <w:szCs w:val="22"/>
              </w:rPr>
              <w:t>　</w:t>
            </w:r>
          </w:p>
        </w:tc>
        <w:tc>
          <w:tcPr>
            <w:tcW w:w="1361" w:type="dxa"/>
          </w:tcPr>
          <w:p>
            <w:pPr>
              <w:pStyle w:val="15"/>
            </w:pPr>
            <w:r>
              <w:rPr>
                <w:rFonts w:ascii="Calibri" w:hAnsi="Calibri" w:cs="Calibri"/>
                <w:color w:val="000000"/>
                <w:sz w:val="22"/>
                <w:szCs w:val="22"/>
              </w:rPr>
              <w:t>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9</w:t>
            </w:r>
          </w:p>
        </w:tc>
        <w:tc>
          <w:tcPr>
            <w:tcW w:w="992" w:type="dxa"/>
          </w:tcPr>
          <w:p>
            <w:pPr>
              <w:pStyle w:val="16"/>
            </w:pPr>
            <w:r>
              <w:rPr>
                <w:rFonts w:ascii="Calibri" w:hAnsi="Calibri" w:cs="Calibri"/>
                <w:color w:val="000000"/>
                <w:sz w:val="22"/>
                <w:szCs w:val="22"/>
              </w:rPr>
              <w:t>208</w:t>
            </w:r>
          </w:p>
        </w:tc>
        <w:tc>
          <w:tcPr>
            <w:tcW w:w="4536" w:type="dxa"/>
          </w:tcPr>
          <w:p>
            <w:pPr>
              <w:pStyle w:val="16"/>
            </w:pPr>
            <w:r>
              <w:rPr>
                <w:rFonts w:ascii="Calibri" w:hAnsi="Calibri" w:cs="Calibri"/>
                <w:color w:val="000000"/>
                <w:sz w:val="22"/>
                <w:szCs w:val="22"/>
              </w:rPr>
              <w:t>社会保障和就业支出</w:t>
            </w:r>
          </w:p>
        </w:tc>
        <w:tc>
          <w:tcPr>
            <w:tcW w:w="1361" w:type="dxa"/>
          </w:tcPr>
          <w:p>
            <w:pPr>
              <w:pStyle w:val="15"/>
            </w:pPr>
            <w:r>
              <w:rPr>
                <w:rFonts w:ascii="Calibri" w:hAnsi="Calibri" w:cs="Calibri"/>
                <w:color w:val="000000"/>
                <w:sz w:val="22"/>
                <w:szCs w:val="22"/>
              </w:rPr>
              <w:t>28.14</w:t>
            </w:r>
          </w:p>
        </w:tc>
        <w:tc>
          <w:tcPr>
            <w:tcW w:w="1361" w:type="dxa"/>
          </w:tcPr>
          <w:p>
            <w:pPr>
              <w:pStyle w:val="15"/>
            </w:pPr>
            <w:r>
              <w:rPr>
                <w:rFonts w:ascii="Calibri" w:hAnsi="Calibri" w:cs="Calibri"/>
                <w:color w:val="000000"/>
                <w:sz w:val="22"/>
                <w:szCs w:val="22"/>
              </w:rPr>
              <w:t>28.14</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10</w:t>
            </w:r>
          </w:p>
        </w:tc>
        <w:tc>
          <w:tcPr>
            <w:tcW w:w="992" w:type="dxa"/>
          </w:tcPr>
          <w:p>
            <w:pPr>
              <w:pStyle w:val="16"/>
            </w:pPr>
            <w:r>
              <w:rPr>
                <w:rFonts w:ascii="Calibri" w:hAnsi="Calibri" w:cs="Calibri"/>
                <w:color w:val="000000"/>
                <w:sz w:val="22"/>
                <w:szCs w:val="22"/>
              </w:rPr>
              <w:t>20805</w:t>
            </w:r>
          </w:p>
        </w:tc>
        <w:tc>
          <w:tcPr>
            <w:tcW w:w="4536" w:type="dxa"/>
          </w:tcPr>
          <w:p>
            <w:pPr>
              <w:pStyle w:val="16"/>
            </w:pPr>
            <w:r>
              <w:rPr>
                <w:rFonts w:ascii="Calibri" w:hAnsi="Calibri" w:cs="Calibri"/>
                <w:color w:val="000000"/>
                <w:sz w:val="22"/>
                <w:szCs w:val="22"/>
              </w:rPr>
              <w:t>行政事业单位养老支出</w:t>
            </w:r>
          </w:p>
        </w:tc>
        <w:tc>
          <w:tcPr>
            <w:tcW w:w="1361" w:type="dxa"/>
          </w:tcPr>
          <w:p>
            <w:pPr>
              <w:pStyle w:val="15"/>
            </w:pPr>
            <w:r>
              <w:rPr>
                <w:rFonts w:ascii="Calibri" w:hAnsi="Calibri" w:cs="Calibri"/>
                <w:color w:val="000000"/>
                <w:sz w:val="22"/>
                <w:szCs w:val="22"/>
              </w:rPr>
              <w:t>28.14</w:t>
            </w:r>
          </w:p>
        </w:tc>
        <w:tc>
          <w:tcPr>
            <w:tcW w:w="1361" w:type="dxa"/>
          </w:tcPr>
          <w:p>
            <w:pPr>
              <w:pStyle w:val="15"/>
            </w:pPr>
            <w:r>
              <w:rPr>
                <w:rFonts w:ascii="Calibri" w:hAnsi="Calibri" w:cs="Calibri"/>
                <w:color w:val="000000"/>
                <w:sz w:val="22"/>
                <w:szCs w:val="22"/>
              </w:rPr>
              <w:t>28.14</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11</w:t>
            </w:r>
          </w:p>
        </w:tc>
        <w:tc>
          <w:tcPr>
            <w:tcW w:w="992" w:type="dxa"/>
          </w:tcPr>
          <w:p>
            <w:pPr>
              <w:pStyle w:val="16"/>
            </w:pPr>
            <w:r>
              <w:rPr>
                <w:rFonts w:ascii="Calibri" w:hAnsi="Calibri" w:cs="Calibri"/>
                <w:color w:val="000000"/>
                <w:sz w:val="22"/>
                <w:szCs w:val="22"/>
              </w:rPr>
              <w:t>2080505</w:t>
            </w:r>
          </w:p>
        </w:tc>
        <w:tc>
          <w:tcPr>
            <w:tcW w:w="4536" w:type="dxa"/>
          </w:tcPr>
          <w:p>
            <w:pPr>
              <w:pStyle w:val="16"/>
            </w:pPr>
            <w:r>
              <w:rPr>
                <w:rFonts w:ascii="Calibri" w:hAnsi="Calibri" w:cs="Calibri"/>
                <w:color w:val="000000"/>
                <w:sz w:val="22"/>
                <w:szCs w:val="22"/>
              </w:rPr>
              <w:t>机关事业单位基本养老保险缴费支出</w:t>
            </w:r>
          </w:p>
        </w:tc>
        <w:tc>
          <w:tcPr>
            <w:tcW w:w="1361" w:type="dxa"/>
          </w:tcPr>
          <w:p>
            <w:pPr>
              <w:pStyle w:val="15"/>
            </w:pPr>
            <w:r>
              <w:rPr>
                <w:rFonts w:ascii="Calibri" w:hAnsi="Calibri" w:cs="Calibri"/>
                <w:color w:val="000000"/>
                <w:sz w:val="22"/>
                <w:szCs w:val="22"/>
              </w:rPr>
              <w:t>28.14</w:t>
            </w:r>
          </w:p>
        </w:tc>
        <w:tc>
          <w:tcPr>
            <w:tcW w:w="1361" w:type="dxa"/>
          </w:tcPr>
          <w:p>
            <w:pPr>
              <w:pStyle w:val="15"/>
            </w:pPr>
            <w:r>
              <w:rPr>
                <w:rFonts w:ascii="Calibri" w:hAnsi="Calibri" w:cs="Calibri"/>
                <w:color w:val="000000"/>
                <w:sz w:val="22"/>
                <w:szCs w:val="22"/>
              </w:rPr>
              <w:t>28.14</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12</w:t>
            </w:r>
          </w:p>
        </w:tc>
        <w:tc>
          <w:tcPr>
            <w:tcW w:w="992" w:type="dxa"/>
          </w:tcPr>
          <w:p>
            <w:pPr>
              <w:pStyle w:val="16"/>
            </w:pPr>
            <w:r>
              <w:rPr>
                <w:rFonts w:ascii="Calibri" w:hAnsi="Calibri" w:cs="Calibri"/>
                <w:color w:val="000000"/>
                <w:sz w:val="22"/>
                <w:szCs w:val="22"/>
              </w:rPr>
              <w:t>210</w:t>
            </w:r>
          </w:p>
        </w:tc>
        <w:tc>
          <w:tcPr>
            <w:tcW w:w="4536" w:type="dxa"/>
          </w:tcPr>
          <w:p>
            <w:pPr>
              <w:pStyle w:val="16"/>
            </w:pPr>
            <w:r>
              <w:rPr>
                <w:rFonts w:ascii="Calibri" w:hAnsi="Calibri" w:cs="Calibri"/>
                <w:color w:val="000000"/>
                <w:sz w:val="22"/>
                <w:szCs w:val="22"/>
              </w:rPr>
              <w:t>卫生健康支出</w:t>
            </w:r>
          </w:p>
        </w:tc>
        <w:tc>
          <w:tcPr>
            <w:tcW w:w="1361" w:type="dxa"/>
          </w:tcPr>
          <w:p>
            <w:pPr>
              <w:pStyle w:val="15"/>
            </w:pPr>
            <w:r>
              <w:rPr>
                <w:rFonts w:ascii="Calibri" w:hAnsi="Calibri" w:cs="Calibri"/>
                <w:color w:val="000000"/>
                <w:sz w:val="22"/>
                <w:szCs w:val="22"/>
              </w:rPr>
              <w:t>16.74</w:t>
            </w:r>
          </w:p>
        </w:tc>
        <w:tc>
          <w:tcPr>
            <w:tcW w:w="1361" w:type="dxa"/>
          </w:tcPr>
          <w:p>
            <w:pPr>
              <w:pStyle w:val="15"/>
            </w:pPr>
            <w:r>
              <w:rPr>
                <w:rFonts w:ascii="Calibri" w:hAnsi="Calibri" w:cs="Calibri"/>
                <w:color w:val="000000"/>
                <w:sz w:val="22"/>
                <w:szCs w:val="22"/>
              </w:rPr>
              <w:t>16.74</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13</w:t>
            </w:r>
          </w:p>
        </w:tc>
        <w:tc>
          <w:tcPr>
            <w:tcW w:w="992" w:type="dxa"/>
          </w:tcPr>
          <w:p>
            <w:pPr>
              <w:pStyle w:val="16"/>
            </w:pPr>
            <w:r>
              <w:rPr>
                <w:rFonts w:ascii="Calibri" w:hAnsi="Calibri" w:cs="Calibri"/>
                <w:color w:val="000000"/>
                <w:sz w:val="22"/>
                <w:szCs w:val="22"/>
              </w:rPr>
              <w:t>21011</w:t>
            </w:r>
          </w:p>
        </w:tc>
        <w:tc>
          <w:tcPr>
            <w:tcW w:w="4536" w:type="dxa"/>
          </w:tcPr>
          <w:p>
            <w:pPr>
              <w:pStyle w:val="16"/>
            </w:pPr>
            <w:r>
              <w:rPr>
                <w:rFonts w:ascii="Calibri" w:hAnsi="Calibri" w:cs="Calibri"/>
                <w:color w:val="000000"/>
                <w:sz w:val="22"/>
                <w:szCs w:val="22"/>
              </w:rPr>
              <w:t>行政事业单位医疗</w:t>
            </w:r>
          </w:p>
        </w:tc>
        <w:tc>
          <w:tcPr>
            <w:tcW w:w="1361" w:type="dxa"/>
          </w:tcPr>
          <w:p>
            <w:pPr>
              <w:pStyle w:val="15"/>
            </w:pPr>
            <w:r>
              <w:rPr>
                <w:rFonts w:ascii="Calibri" w:hAnsi="Calibri" w:cs="Calibri"/>
                <w:color w:val="000000"/>
                <w:sz w:val="22"/>
                <w:szCs w:val="22"/>
              </w:rPr>
              <w:t>16.74</w:t>
            </w:r>
          </w:p>
        </w:tc>
        <w:tc>
          <w:tcPr>
            <w:tcW w:w="1361" w:type="dxa"/>
          </w:tcPr>
          <w:p>
            <w:pPr>
              <w:pStyle w:val="15"/>
            </w:pPr>
            <w:r>
              <w:rPr>
                <w:rFonts w:ascii="Calibri" w:hAnsi="Calibri" w:cs="Calibri"/>
                <w:color w:val="000000"/>
                <w:sz w:val="22"/>
                <w:szCs w:val="22"/>
              </w:rPr>
              <w:t>16.74</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14</w:t>
            </w:r>
          </w:p>
        </w:tc>
        <w:tc>
          <w:tcPr>
            <w:tcW w:w="992" w:type="dxa"/>
          </w:tcPr>
          <w:p>
            <w:pPr>
              <w:pStyle w:val="16"/>
            </w:pPr>
            <w:r>
              <w:rPr>
                <w:rFonts w:ascii="Calibri" w:hAnsi="Calibri" w:cs="Calibri"/>
                <w:color w:val="000000"/>
                <w:sz w:val="22"/>
                <w:szCs w:val="22"/>
              </w:rPr>
              <w:t>2101101</w:t>
            </w:r>
          </w:p>
        </w:tc>
        <w:tc>
          <w:tcPr>
            <w:tcW w:w="4536" w:type="dxa"/>
          </w:tcPr>
          <w:p>
            <w:pPr>
              <w:pStyle w:val="16"/>
            </w:pPr>
            <w:r>
              <w:rPr>
                <w:rFonts w:ascii="Calibri" w:hAnsi="Calibri" w:cs="Calibri"/>
                <w:color w:val="000000"/>
                <w:sz w:val="22"/>
                <w:szCs w:val="22"/>
              </w:rPr>
              <w:t>行政单位医疗</w:t>
            </w:r>
          </w:p>
        </w:tc>
        <w:tc>
          <w:tcPr>
            <w:tcW w:w="1361" w:type="dxa"/>
          </w:tcPr>
          <w:p>
            <w:pPr>
              <w:pStyle w:val="15"/>
            </w:pPr>
            <w:r>
              <w:rPr>
                <w:rFonts w:ascii="Calibri" w:hAnsi="Calibri" w:cs="Calibri"/>
                <w:color w:val="000000"/>
                <w:sz w:val="22"/>
                <w:szCs w:val="22"/>
              </w:rPr>
              <w:t>15.4</w:t>
            </w:r>
          </w:p>
        </w:tc>
        <w:tc>
          <w:tcPr>
            <w:tcW w:w="1361" w:type="dxa"/>
          </w:tcPr>
          <w:p>
            <w:pPr>
              <w:pStyle w:val="15"/>
            </w:pPr>
            <w:r>
              <w:rPr>
                <w:rFonts w:ascii="Calibri" w:hAnsi="Calibri" w:cs="Calibri"/>
                <w:color w:val="000000"/>
                <w:sz w:val="22"/>
                <w:szCs w:val="22"/>
              </w:rPr>
              <w:t>15.4</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15</w:t>
            </w:r>
          </w:p>
        </w:tc>
        <w:tc>
          <w:tcPr>
            <w:tcW w:w="992" w:type="dxa"/>
          </w:tcPr>
          <w:p>
            <w:pPr>
              <w:pStyle w:val="16"/>
            </w:pPr>
            <w:r>
              <w:rPr>
                <w:rFonts w:ascii="Calibri" w:hAnsi="Calibri" w:cs="Calibri"/>
                <w:color w:val="000000"/>
                <w:sz w:val="22"/>
                <w:szCs w:val="22"/>
              </w:rPr>
              <w:t>2101102</w:t>
            </w:r>
          </w:p>
        </w:tc>
        <w:tc>
          <w:tcPr>
            <w:tcW w:w="4536" w:type="dxa"/>
          </w:tcPr>
          <w:p>
            <w:pPr>
              <w:pStyle w:val="16"/>
            </w:pPr>
            <w:r>
              <w:rPr>
                <w:rFonts w:ascii="Calibri" w:hAnsi="Calibri" w:cs="Calibri"/>
                <w:color w:val="000000"/>
                <w:sz w:val="22"/>
                <w:szCs w:val="22"/>
              </w:rPr>
              <w:t>事业单位医疗</w:t>
            </w:r>
          </w:p>
        </w:tc>
        <w:tc>
          <w:tcPr>
            <w:tcW w:w="1361" w:type="dxa"/>
          </w:tcPr>
          <w:p>
            <w:pPr>
              <w:pStyle w:val="15"/>
            </w:pPr>
            <w:r>
              <w:rPr>
                <w:rFonts w:ascii="Calibri" w:hAnsi="Calibri" w:cs="Calibri"/>
                <w:color w:val="000000"/>
                <w:sz w:val="22"/>
                <w:szCs w:val="22"/>
              </w:rPr>
              <w:t>1.34</w:t>
            </w:r>
          </w:p>
        </w:tc>
        <w:tc>
          <w:tcPr>
            <w:tcW w:w="1361" w:type="dxa"/>
          </w:tcPr>
          <w:p>
            <w:pPr>
              <w:pStyle w:val="15"/>
            </w:pPr>
            <w:r>
              <w:rPr>
                <w:rFonts w:ascii="Calibri" w:hAnsi="Calibri" w:cs="Calibri"/>
                <w:color w:val="000000"/>
                <w:sz w:val="22"/>
                <w:szCs w:val="22"/>
              </w:rPr>
              <w:t>1.34</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16</w:t>
            </w:r>
          </w:p>
        </w:tc>
        <w:tc>
          <w:tcPr>
            <w:tcW w:w="992" w:type="dxa"/>
          </w:tcPr>
          <w:p>
            <w:pPr>
              <w:pStyle w:val="16"/>
            </w:pPr>
            <w:r>
              <w:rPr>
                <w:rFonts w:ascii="Calibri" w:hAnsi="Calibri" w:cs="Calibri"/>
                <w:color w:val="000000"/>
                <w:sz w:val="22"/>
                <w:szCs w:val="22"/>
              </w:rPr>
              <w:t>221</w:t>
            </w:r>
          </w:p>
        </w:tc>
        <w:tc>
          <w:tcPr>
            <w:tcW w:w="4536" w:type="dxa"/>
          </w:tcPr>
          <w:p>
            <w:pPr>
              <w:pStyle w:val="16"/>
            </w:pPr>
            <w:r>
              <w:rPr>
                <w:rFonts w:ascii="Calibri" w:hAnsi="Calibri" w:cs="Calibri"/>
                <w:color w:val="000000"/>
                <w:sz w:val="22"/>
                <w:szCs w:val="22"/>
              </w:rPr>
              <w:t>住房保障支出</w:t>
            </w:r>
          </w:p>
        </w:tc>
        <w:tc>
          <w:tcPr>
            <w:tcW w:w="1361" w:type="dxa"/>
          </w:tcPr>
          <w:p>
            <w:pPr>
              <w:pStyle w:val="15"/>
            </w:pPr>
            <w:r>
              <w:rPr>
                <w:rFonts w:ascii="Calibri" w:hAnsi="Calibri" w:cs="Calibri"/>
                <w:color w:val="000000"/>
                <w:sz w:val="22"/>
                <w:szCs w:val="22"/>
              </w:rPr>
              <w:t>18.26</w:t>
            </w:r>
          </w:p>
        </w:tc>
        <w:tc>
          <w:tcPr>
            <w:tcW w:w="1361" w:type="dxa"/>
          </w:tcPr>
          <w:p>
            <w:pPr>
              <w:pStyle w:val="15"/>
            </w:pPr>
            <w:r>
              <w:rPr>
                <w:rFonts w:ascii="Calibri" w:hAnsi="Calibri" w:cs="Calibri"/>
                <w:color w:val="000000"/>
                <w:sz w:val="22"/>
                <w:szCs w:val="22"/>
              </w:rPr>
              <w:t>18.26</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17</w:t>
            </w:r>
          </w:p>
        </w:tc>
        <w:tc>
          <w:tcPr>
            <w:tcW w:w="992" w:type="dxa"/>
          </w:tcPr>
          <w:p>
            <w:pPr>
              <w:pStyle w:val="16"/>
            </w:pPr>
            <w:r>
              <w:rPr>
                <w:rFonts w:ascii="Calibri" w:hAnsi="Calibri" w:cs="Calibri"/>
                <w:color w:val="000000"/>
                <w:sz w:val="22"/>
                <w:szCs w:val="22"/>
              </w:rPr>
              <w:t>22102</w:t>
            </w:r>
          </w:p>
        </w:tc>
        <w:tc>
          <w:tcPr>
            <w:tcW w:w="4536" w:type="dxa"/>
          </w:tcPr>
          <w:p>
            <w:pPr>
              <w:pStyle w:val="16"/>
            </w:pPr>
            <w:r>
              <w:rPr>
                <w:rFonts w:ascii="Calibri" w:hAnsi="Calibri" w:cs="Calibri"/>
                <w:color w:val="000000"/>
                <w:sz w:val="22"/>
                <w:szCs w:val="22"/>
              </w:rPr>
              <w:t>住房改革支出</w:t>
            </w:r>
          </w:p>
        </w:tc>
        <w:tc>
          <w:tcPr>
            <w:tcW w:w="1361" w:type="dxa"/>
          </w:tcPr>
          <w:p>
            <w:pPr>
              <w:pStyle w:val="15"/>
            </w:pPr>
            <w:r>
              <w:rPr>
                <w:rFonts w:ascii="Calibri" w:hAnsi="Calibri" w:cs="Calibri"/>
                <w:color w:val="000000"/>
                <w:sz w:val="22"/>
                <w:szCs w:val="22"/>
              </w:rPr>
              <w:t>18.26</w:t>
            </w:r>
          </w:p>
        </w:tc>
        <w:tc>
          <w:tcPr>
            <w:tcW w:w="1361" w:type="dxa"/>
          </w:tcPr>
          <w:p>
            <w:pPr>
              <w:pStyle w:val="15"/>
            </w:pPr>
            <w:r>
              <w:rPr>
                <w:rFonts w:ascii="Calibri" w:hAnsi="Calibri" w:cs="Calibri"/>
                <w:color w:val="000000"/>
                <w:sz w:val="22"/>
                <w:szCs w:val="22"/>
              </w:rPr>
              <w:t>18.26</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18</w:t>
            </w:r>
          </w:p>
        </w:tc>
        <w:tc>
          <w:tcPr>
            <w:tcW w:w="992" w:type="dxa"/>
          </w:tcPr>
          <w:p>
            <w:pPr>
              <w:pStyle w:val="16"/>
            </w:pPr>
            <w:r>
              <w:rPr>
                <w:rFonts w:ascii="Calibri" w:hAnsi="Calibri" w:cs="Calibri"/>
                <w:color w:val="000000"/>
                <w:sz w:val="22"/>
                <w:szCs w:val="22"/>
              </w:rPr>
              <w:t>2210201</w:t>
            </w:r>
          </w:p>
        </w:tc>
        <w:tc>
          <w:tcPr>
            <w:tcW w:w="4536" w:type="dxa"/>
          </w:tcPr>
          <w:p>
            <w:pPr>
              <w:pStyle w:val="16"/>
            </w:pPr>
            <w:r>
              <w:rPr>
                <w:rFonts w:ascii="Calibri" w:hAnsi="Calibri" w:cs="Calibri"/>
                <w:color w:val="000000"/>
                <w:sz w:val="22"/>
                <w:szCs w:val="22"/>
              </w:rPr>
              <w:t>住房公积金</w:t>
            </w:r>
          </w:p>
        </w:tc>
        <w:tc>
          <w:tcPr>
            <w:tcW w:w="1361" w:type="dxa"/>
          </w:tcPr>
          <w:p>
            <w:pPr>
              <w:pStyle w:val="15"/>
            </w:pPr>
            <w:r>
              <w:rPr>
                <w:rFonts w:ascii="Calibri" w:hAnsi="Calibri" w:cs="Calibri"/>
                <w:color w:val="000000"/>
                <w:sz w:val="22"/>
                <w:szCs w:val="22"/>
              </w:rPr>
              <w:t>18.26</w:t>
            </w:r>
          </w:p>
        </w:tc>
        <w:tc>
          <w:tcPr>
            <w:tcW w:w="1361" w:type="dxa"/>
          </w:tcPr>
          <w:p>
            <w:pPr>
              <w:pStyle w:val="15"/>
            </w:pPr>
            <w:r>
              <w:rPr>
                <w:rFonts w:ascii="Calibri" w:hAnsi="Calibri" w:cs="Calibri"/>
                <w:color w:val="000000"/>
                <w:sz w:val="22"/>
                <w:szCs w:val="22"/>
              </w:rPr>
              <w:t>18.26</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jc w:val="right"/>
              <w:rPr>
                <w:rFonts w:ascii="Calibri" w:hAnsi="Calibri" w:cs="Calibri" w:eastAsiaTheme="minorEastAsia"/>
                <w:color w:val="000000"/>
                <w:sz w:val="22"/>
                <w:szCs w:val="22"/>
                <w:lang w:eastAsia="zh-CN"/>
              </w:rPr>
            </w:pPr>
            <w:r>
              <w:rPr>
                <w:rFonts w:ascii="Calibri" w:hAnsi="Calibri" w:cs="Calibri"/>
                <w:color w:val="000000"/>
                <w:sz w:val="22"/>
                <w:szCs w:val="22"/>
              </w:rPr>
              <w:t>443.05</w:t>
            </w:r>
          </w:p>
        </w:tc>
        <w:tc>
          <w:tcPr>
            <w:tcW w:w="3402" w:type="dxa"/>
            <w:vAlign w:val="center"/>
          </w:tcPr>
          <w:p>
            <w:pPr>
              <w:pStyle w:val="16"/>
            </w:pPr>
            <w:r>
              <w:t>一、一般公共服务支出</w:t>
            </w:r>
          </w:p>
        </w:tc>
        <w:tc>
          <w:tcPr>
            <w:tcW w:w="1474" w:type="dxa"/>
          </w:tcPr>
          <w:p>
            <w:pPr>
              <w:pStyle w:val="15"/>
            </w:pPr>
            <w:r>
              <w:rPr>
                <w:rFonts w:ascii="Calibri" w:hAnsi="Calibri" w:cs="Calibri"/>
                <w:color w:val="000000"/>
                <w:sz w:val="22"/>
                <w:szCs w:val="22"/>
              </w:rPr>
              <w:t>378.16</w:t>
            </w:r>
          </w:p>
        </w:tc>
        <w:tc>
          <w:tcPr>
            <w:tcW w:w="1474" w:type="dxa"/>
          </w:tcPr>
          <w:p>
            <w:pPr>
              <w:pStyle w:val="15"/>
            </w:pPr>
            <w:r>
              <w:rPr>
                <w:rFonts w:ascii="Calibri" w:hAnsi="Calibri" w:cs="Calibri"/>
                <w:color w:val="000000"/>
                <w:sz w:val="22"/>
                <w:szCs w:val="22"/>
              </w:rPr>
              <w:t>378.16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tcPr>
          <w:p>
            <w:pPr>
              <w:pStyle w:val="15"/>
            </w:pPr>
            <w:r>
              <w:rPr>
                <w:rFonts w:ascii="Calibri" w:hAnsi="Calibri" w:cs="Calibri"/>
                <w:color w:val="000000"/>
                <w:sz w:val="22"/>
                <w:szCs w:val="22"/>
              </w:rPr>
              <w:t>1.75</w:t>
            </w:r>
          </w:p>
        </w:tc>
        <w:tc>
          <w:tcPr>
            <w:tcW w:w="1474" w:type="dxa"/>
          </w:tcPr>
          <w:p>
            <w:pPr>
              <w:pStyle w:val="15"/>
            </w:pPr>
            <w:r>
              <w:rPr>
                <w:rFonts w:ascii="Calibri" w:hAnsi="Calibri" w:cs="Calibri"/>
                <w:color w:val="000000"/>
                <w:sz w:val="22"/>
                <w:szCs w:val="22"/>
              </w:rPr>
              <w:t>1.75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tcPr>
          <w:p>
            <w:pPr>
              <w:pStyle w:val="15"/>
            </w:pPr>
            <w:r>
              <w:rPr>
                <w:rFonts w:ascii="Calibri" w:hAnsi="Calibri" w:cs="Calibri"/>
                <w:color w:val="000000"/>
                <w:sz w:val="22"/>
                <w:szCs w:val="22"/>
              </w:rPr>
              <w:t>28.14</w:t>
            </w:r>
          </w:p>
        </w:tc>
        <w:tc>
          <w:tcPr>
            <w:tcW w:w="1474" w:type="dxa"/>
          </w:tcPr>
          <w:p>
            <w:pPr>
              <w:pStyle w:val="15"/>
            </w:pPr>
            <w:r>
              <w:rPr>
                <w:rFonts w:ascii="Calibri" w:hAnsi="Calibri" w:cs="Calibri"/>
                <w:color w:val="000000"/>
                <w:sz w:val="22"/>
                <w:szCs w:val="22"/>
              </w:rPr>
              <w:t>28.14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tcPr>
          <w:p>
            <w:pPr>
              <w:pStyle w:val="15"/>
            </w:pPr>
            <w:r>
              <w:rPr>
                <w:rFonts w:ascii="Calibri" w:hAnsi="Calibri" w:cs="Calibri"/>
                <w:color w:val="000000"/>
                <w:sz w:val="22"/>
                <w:szCs w:val="22"/>
              </w:rPr>
              <w:t>16.74</w:t>
            </w:r>
          </w:p>
        </w:tc>
        <w:tc>
          <w:tcPr>
            <w:tcW w:w="1474" w:type="dxa"/>
          </w:tcPr>
          <w:p>
            <w:pPr>
              <w:pStyle w:val="15"/>
            </w:pPr>
            <w:r>
              <w:rPr>
                <w:rFonts w:ascii="Calibri" w:hAnsi="Calibri" w:cs="Calibri"/>
                <w:color w:val="000000"/>
                <w:sz w:val="22"/>
                <w:szCs w:val="22"/>
              </w:rPr>
              <w:t>16.74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tcPr>
          <w:p>
            <w:pPr>
              <w:pStyle w:val="15"/>
            </w:pPr>
            <w:r>
              <w:rPr>
                <w:rFonts w:ascii="Calibri" w:hAnsi="Calibri" w:cs="Calibri"/>
                <w:color w:val="000000"/>
                <w:sz w:val="22"/>
                <w:szCs w:val="22"/>
              </w:rPr>
              <w:t>18.26</w:t>
            </w:r>
          </w:p>
        </w:tc>
        <w:tc>
          <w:tcPr>
            <w:tcW w:w="1474" w:type="dxa"/>
          </w:tcPr>
          <w:p>
            <w:pPr>
              <w:pStyle w:val="15"/>
            </w:pPr>
            <w:r>
              <w:rPr>
                <w:rFonts w:ascii="Calibri" w:hAnsi="Calibri" w:cs="Calibri"/>
                <w:color w:val="000000"/>
                <w:sz w:val="22"/>
                <w:szCs w:val="22"/>
              </w:rPr>
              <w:t>18.26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tcPr>
          <w:p>
            <w:pPr>
              <w:jc w:val="right"/>
              <w:rPr>
                <w:rFonts w:ascii="Calibri" w:hAnsi="Calibri" w:cs="Calibri"/>
                <w:color w:val="000000"/>
                <w:sz w:val="22"/>
                <w:szCs w:val="22"/>
                <w:lang w:eastAsia="zh-CN"/>
              </w:rPr>
            </w:pPr>
            <w:r>
              <w:rPr>
                <w:rFonts w:ascii="Calibri" w:hAnsi="Calibri" w:cs="Calibri"/>
                <w:color w:val="000000"/>
                <w:sz w:val="22"/>
                <w:szCs w:val="22"/>
              </w:rPr>
              <w:t>443.05</w:t>
            </w:r>
          </w:p>
        </w:tc>
        <w:tc>
          <w:tcPr>
            <w:tcW w:w="3402" w:type="dxa"/>
            <w:vAlign w:val="center"/>
          </w:tcPr>
          <w:p>
            <w:pPr>
              <w:pStyle w:val="18"/>
            </w:pPr>
            <w:r>
              <w:t>本年支出合计</w:t>
            </w:r>
          </w:p>
        </w:tc>
        <w:tc>
          <w:tcPr>
            <w:tcW w:w="1474" w:type="dxa"/>
          </w:tcPr>
          <w:p>
            <w:pPr>
              <w:pStyle w:val="19"/>
            </w:pPr>
            <w:r>
              <w:rPr>
                <w:rFonts w:ascii="Calibri" w:hAnsi="Calibri" w:cs="Calibri"/>
                <w:color w:val="000000"/>
                <w:sz w:val="22"/>
                <w:szCs w:val="22"/>
              </w:rPr>
              <w:t>443.05</w:t>
            </w:r>
          </w:p>
        </w:tc>
        <w:tc>
          <w:tcPr>
            <w:tcW w:w="1474" w:type="dxa"/>
          </w:tcPr>
          <w:p>
            <w:pPr>
              <w:pStyle w:val="19"/>
            </w:pPr>
            <w:r>
              <w:rPr>
                <w:rFonts w:ascii="Calibri" w:hAnsi="Calibri" w:cs="Calibri"/>
                <w:color w:val="000000"/>
                <w:sz w:val="22"/>
                <w:szCs w:val="22"/>
              </w:rPr>
              <w:t>443.05</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tcPr>
          <w:p>
            <w:pPr>
              <w:pStyle w:val="15"/>
            </w:pPr>
            <w:r>
              <w:rPr>
                <w:rFonts w:ascii="Calibri" w:hAnsi="Calibri" w:cs="Calibri"/>
                <w:color w:val="000000"/>
                <w:sz w:val="22"/>
                <w:szCs w:val="22"/>
              </w:rPr>
              <w:t>　</w:t>
            </w:r>
          </w:p>
        </w:tc>
        <w:tc>
          <w:tcPr>
            <w:tcW w:w="3402" w:type="dxa"/>
            <w:vAlign w:val="center"/>
          </w:tcPr>
          <w:p>
            <w:pPr>
              <w:pStyle w:val="16"/>
            </w:pPr>
            <w:r>
              <w:t>年末财政拨款结转和结余</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tcPr>
          <w:p>
            <w:pPr>
              <w:pStyle w:val="15"/>
            </w:pPr>
            <w:r>
              <w:rPr>
                <w:rFonts w:ascii="Calibri" w:hAnsi="Calibri" w:cs="Calibri"/>
                <w:color w:val="000000"/>
                <w:sz w:val="22"/>
                <w:szCs w:val="22"/>
              </w:rPr>
              <w:t>　</w:t>
            </w:r>
          </w:p>
        </w:tc>
        <w:tc>
          <w:tcPr>
            <w:tcW w:w="3402" w:type="dxa"/>
            <w:vAlign w:val="center"/>
          </w:tcPr>
          <w:p>
            <w:pPr>
              <w:pStyle w:val="16"/>
            </w:pP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tcPr>
          <w:p>
            <w:pPr>
              <w:pStyle w:val="15"/>
            </w:pPr>
            <w:r>
              <w:rPr>
                <w:rFonts w:ascii="Calibri" w:hAnsi="Calibri" w:cs="Calibri"/>
                <w:color w:val="000000"/>
                <w:sz w:val="22"/>
                <w:szCs w:val="22"/>
              </w:rPr>
              <w:t>　</w:t>
            </w:r>
          </w:p>
        </w:tc>
        <w:tc>
          <w:tcPr>
            <w:tcW w:w="3402" w:type="dxa"/>
            <w:vAlign w:val="center"/>
          </w:tcPr>
          <w:p>
            <w:pPr>
              <w:pStyle w:val="16"/>
            </w:pP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tcPr>
          <w:p>
            <w:pPr>
              <w:pStyle w:val="15"/>
            </w:pPr>
            <w:r>
              <w:rPr>
                <w:rFonts w:ascii="Calibri" w:hAnsi="Calibri" w:cs="Calibri"/>
                <w:color w:val="000000"/>
                <w:sz w:val="22"/>
                <w:szCs w:val="22"/>
              </w:rPr>
              <w:t>　</w:t>
            </w:r>
          </w:p>
        </w:tc>
        <w:tc>
          <w:tcPr>
            <w:tcW w:w="3402" w:type="dxa"/>
            <w:vAlign w:val="center"/>
          </w:tcPr>
          <w:p>
            <w:pPr>
              <w:pStyle w:val="16"/>
            </w:pP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tcPr>
          <w:p>
            <w:pPr>
              <w:pStyle w:val="19"/>
            </w:pPr>
            <w:r>
              <w:rPr>
                <w:rFonts w:ascii="Calibri" w:hAnsi="Calibri" w:cs="Calibri"/>
                <w:color w:val="000000"/>
                <w:sz w:val="22"/>
                <w:szCs w:val="22"/>
              </w:rPr>
              <w:t>443.05</w:t>
            </w:r>
          </w:p>
        </w:tc>
        <w:tc>
          <w:tcPr>
            <w:tcW w:w="3402" w:type="dxa"/>
            <w:vAlign w:val="center"/>
          </w:tcPr>
          <w:p>
            <w:pPr>
              <w:pStyle w:val="18"/>
            </w:pPr>
            <w:r>
              <w:t>支出总计</w:t>
            </w:r>
          </w:p>
        </w:tc>
        <w:tc>
          <w:tcPr>
            <w:tcW w:w="1474" w:type="dxa"/>
          </w:tcPr>
          <w:p>
            <w:pPr>
              <w:pStyle w:val="19"/>
            </w:pPr>
            <w:r>
              <w:rPr>
                <w:rFonts w:ascii="Calibri" w:hAnsi="Calibri" w:cs="Calibri"/>
                <w:color w:val="000000"/>
                <w:sz w:val="22"/>
                <w:szCs w:val="22"/>
              </w:rPr>
              <w:t>443.05</w:t>
            </w:r>
          </w:p>
        </w:tc>
        <w:tc>
          <w:tcPr>
            <w:tcW w:w="1474" w:type="dxa"/>
          </w:tcPr>
          <w:p>
            <w:pPr>
              <w:pStyle w:val="19"/>
            </w:pPr>
            <w:r>
              <w:rPr>
                <w:rFonts w:ascii="Calibri" w:hAnsi="Calibri" w:cs="Calibri"/>
                <w:color w:val="000000"/>
                <w:sz w:val="22"/>
                <w:szCs w:val="22"/>
              </w:rPr>
              <w:t>443.05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14160" w:type="dxa"/>
        <w:tblInd w:w="113" w:type="dxa"/>
        <w:tblLayout w:type="autofit"/>
        <w:tblCellMar>
          <w:top w:w="0" w:type="dxa"/>
          <w:left w:w="108" w:type="dxa"/>
          <w:bottom w:w="0" w:type="dxa"/>
          <w:right w:w="108" w:type="dxa"/>
        </w:tblCellMar>
      </w:tblPr>
      <w:tblGrid>
        <w:gridCol w:w="699"/>
        <w:gridCol w:w="1353"/>
        <w:gridCol w:w="5279"/>
        <w:gridCol w:w="958"/>
        <w:gridCol w:w="958"/>
        <w:gridCol w:w="1353"/>
        <w:gridCol w:w="1840"/>
        <w:gridCol w:w="1720"/>
      </w:tblGrid>
      <w:tr>
        <w:tblPrEx>
          <w:tblCellMar>
            <w:top w:w="0" w:type="dxa"/>
            <w:left w:w="108" w:type="dxa"/>
            <w:bottom w:w="0" w:type="dxa"/>
            <w:right w:w="108" w:type="dxa"/>
          </w:tblCellMar>
        </w:tblPrEx>
        <w:trPr>
          <w:trHeight w:val="280" w:hRule="atLeast"/>
        </w:trPr>
        <w:tc>
          <w:tcPr>
            <w:tcW w:w="1060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xml:space="preserve"> [806]涞水县三坡镇人民政府</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w:t>
            </w:r>
            <w:r>
              <w:rPr>
                <w:rFonts w:ascii="宋体" w:hAnsi="宋体" w:eastAsia="宋体" w:cs="宋体"/>
                <w:color w:val="000000"/>
                <w:sz w:val="22"/>
                <w:szCs w:val="22"/>
                <w:lang w:eastAsia="zh-CN"/>
              </w:rPr>
              <w:t>3</w:t>
            </w:r>
          </w:p>
        </w:tc>
        <w:tc>
          <w:tcPr>
            <w:tcW w:w="172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280" w:hRule="atLeast"/>
        </w:trPr>
        <w:tc>
          <w:tcPr>
            <w:tcW w:w="69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63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95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4151"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172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280" w:hRule="atLeast"/>
        </w:trPr>
        <w:tc>
          <w:tcPr>
            <w:tcW w:w="69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527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95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5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c>
          <w:tcPr>
            <w:tcW w:w="17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280" w:hRule="atLeast"/>
        </w:trPr>
        <w:tc>
          <w:tcPr>
            <w:tcW w:w="69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27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95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95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7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443.05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418.05</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351.07</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66.98</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378.16</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354.91</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287.93</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66.98</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23.25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378.16</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354.91</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287.93</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66.98</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23.25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354.91</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354.91</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287.93</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66.98</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23.25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23.25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207</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文化旅游体育与传媒支出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1.75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20701</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文化和旅游</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1.75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2070199</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其他文化和旅游支出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1.75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28.14</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28.14</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28.14</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28.14</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28.14</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28.14</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28.14</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28.14</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28.14</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16.74</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16.74</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16.74</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16.74</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16.74</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16.74</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15.4</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15.4</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15.4</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2101102</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事业单位医疗</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1.34</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1.34</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1.34</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18.26</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18.26</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18.26</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18.26</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18.26</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18.26</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14"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18.26</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18.26</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18.26</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14640" w:type="dxa"/>
        <w:tblInd w:w="113" w:type="dxa"/>
        <w:tblLayout w:type="autofit"/>
        <w:tblCellMar>
          <w:top w:w="0" w:type="dxa"/>
          <w:left w:w="108" w:type="dxa"/>
          <w:bottom w:w="0" w:type="dxa"/>
          <w:right w:w="108" w:type="dxa"/>
        </w:tblCellMar>
      </w:tblPr>
      <w:tblGrid>
        <w:gridCol w:w="853"/>
        <w:gridCol w:w="1652"/>
        <w:gridCol w:w="5646"/>
        <w:gridCol w:w="1169"/>
        <w:gridCol w:w="3160"/>
        <w:gridCol w:w="2160"/>
      </w:tblGrid>
      <w:tr>
        <w:tblPrEx>
          <w:tblCellMar>
            <w:top w:w="0" w:type="dxa"/>
            <w:left w:w="108" w:type="dxa"/>
            <w:bottom w:w="0" w:type="dxa"/>
            <w:right w:w="108" w:type="dxa"/>
          </w:tblCellMar>
        </w:tblPrEx>
        <w:trPr>
          <w:trHeight w:val="280" w:hRule="atLeast"/>
        </w:trPr>
        <w:tc>
          <w:tcPr>
            <w:tcW w:w="93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xml:space="preserve"> [806]涞水县三坡镇人民政府</w:t>
            </w:r>
          </w:p>
        </w:tc>
        <w:tc>
          <w:tcPr>
            <w:tcW w:w="31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w:t>
            </w:r>
            <w:r>
              <w:rPr>
                <w:rFonts w:ascii="宋体" w:hAnsi="宋体" w:eastAsia="宋体" w:cs="宋体"/>
                <w:color w:val="000000"/>
                <w:sz w:val="22"/>
                <w:szCs w:val="22"/>
                <w:lang w:eastAsia="zh-CN"/>
              </w:rPr>
              <w:t>3</w:t>
            </w:r>
          </w:p>
        </w:tc>
        <w:tc>
          <w:tcPr>
            <w:tcW w:w="21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280" w:hRule="atLeast"/>
        </w:trPr>
        <w:tc>
          <w:tcPr>
            <w:tcW w:w="85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729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支出部门经济分类科目</w:t>
            </w:r>
          </w:p>
        </w:tc>
        <w:tc>
          <w:tcPr>
            <w:tcW w:w="648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280" w:hRule="atLeast"/>
        </w:trPr>
        <w:tc>
          <w:tcPr>
            <w:tcW w:w="85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65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56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1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1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1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280" w:hRule="atLeast"/>
        </w:trPr>
        <w:tc>
          <w:tcPr>
            <w:tcW w:w="85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65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6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1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1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1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418.05</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351.07</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66.98</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工资福利支出</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348.16</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348.16</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30101</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基本工资</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156.04</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156.04</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30102</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津贴补贴</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70.39</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70.39</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30103</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奖金</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33.72</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33.72</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30107</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绩效工资</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24.87</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24.87</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30108</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28.14</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28.14</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30110</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城镇职工基本医疗保险缴费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11.88</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11.88</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30111</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公务员医疗补助</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3.52</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3.52</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cs="Calibri"/>
                <w:color w:val="000000"/>
                <w:sz w:val="22"/>
                <w:szCs w:val="22"/>
              </w:rPr>
              <w:t>10</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30112</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其他社会保障缴费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rPr>
            </w:pPr>
            <w:r>
              <w:rPr>
                <w:rFonts w:ascii="Calibri" w:hAnsi="Calibri" w:cs="Calibri"/>
                <w:color w:val="000000"/>
                <w:sz w:val="22"/>
                <w:szCs w:val="22"/>
              </w:rPr>
              <w:t>1.34</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rPr>
            </w:pPr>
            <w:r>
              <w:rPr>
                <w:rFonts w:ascii="Calibri" w:hAnsi="Calibri" w:cs="Calibri"/>
                <w:color w:val="000000"/>
                <w:sz w:val="22"/>
                <w:szCs w:val="22"/>
              </w:rPr>
              <w:t>1.34</w:t>
            </w:r>
          </w:p>
        </w:tc>
        <w:tc>
          <w:tcPr>
            <w:tcW w:w="2160" w:type="dxa"/>
            <w:tcBorders>
              <w:top w:val="nil"/>
              <w:left w:val="nil"/>
              <w:bottom w:val="single" w:color="auto" w:sz="4" w:space="0"/>
              <w:right w:val="single" w:color="auto" w:sz="4" w:space="0"/>
            </w:tcBorders>
            <w:shd w:val="clear" w:color="auto" w:fill="auto"/>
            <w:noWrap/>
          </w:tcPr>
          <w:p>
            <w:pPr>
              <w:jc w:val="right"/>
              <w:rPr>
                <w:rFonts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cs="Calibri"/>
                <w:color w:val="000000"/>
                <w:sz w:val="22"/>
                <w:szCs w:val="22"/>
              </w:rPr>
              <w:t>11</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30113</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住房公积金</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18.26</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18.26</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cs="Calibri"/>
                <w:color w:val="000000"/>
                <w:sz w:val="22"/>
                <w:szCs w:val="22"/>
              </w:rPr>
              <w:t>12</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302</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商品和服务支出</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66.98</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66.98</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cs="Calibri"/>
                <w:color w:val="000000"/>
                <w:sz w:val="22"/>
                <w:szCs w:val="22"/>
              </w:rPr>
              <w:t>13</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30201</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办公费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8.28</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8.28</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cs="Calibri"/>
                <w:color w:val="000000"/>
                <w:sz w:val="22"/>
                <w:szCs w:val="22"/>
              </w:rPr>
              <w:t>14</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30207</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邮电费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0.36</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0.36</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cs="Calibri"/>
                <w:color w:val="000000"/>
                <w:sz w:val="22"/>
                <w:szCs w:val="22"/>
              </w:rPr>
              <w:t>15</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30208</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取暖费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5.00</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5.00</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cs="Calibri"/>
                <w:color w:val="000000"/>
                <w:sz w:val="22"/>
                <w:szCs w:val="22"/>
              </w:rPr>
              <w:t>16</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30211</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差旅费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cs="Calibri"/>
                <w:color w:val="000000"/>
                <w:sz w:val="22"/>
                <w:szCs w:val="22"/>
              </w:rPr>
              <w:t>17</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30217</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公务接待费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1.34</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1.34</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cs="Calibri"/>
                <w:color w:val="000000"/>
                <w:sz w:val="22"/>
                <w:szCs w:val="22"/>
              </w:rPr>
              <w:t>18</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30226</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劳务费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27.26</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27.26</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cs="Calibri"/>
                <w:color w:val="000000"/>
                <w:sz w:val="22"/>
                <w:szCs w:val="22"/>
              </w:rPr>
              <w:t>19</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30228</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工会经费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2.83</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2.83</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cs="Calibri"/>
                <w:color w:val="000000"/>
                <w:sz w:val="22"/>
                <w:szCs w:val="22"/>
              </w:rPr>
              <w:t>20</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30229</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福利费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3.35</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3.35</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cs="Calibri"/>
                <w:color w:val="000000"/>
                <w:sz w:val="22"/>
                <w:szCs w:val="22"/>
              </w:rPr>
              <w:t>21</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30231</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公务用车运行维护费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7.00</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7.00</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cs="Calibri"/>
                <w:color w:val="000000"/>
                <w:sz w:val="22"/>
                <w:szCs w:val="22"/>
              </w:rPr>
              <w:t>22</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30239</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其他交通费用</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9</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9</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cs="Calibri"/>
                <w:color w:val="000000"/>
                <w:sz w:val="22"/>
                <w:szCs w:val="22"/>
              </w:rPr>
              <w:t>23</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30299</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其他商品和服务支出</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0.56</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0.56</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cs="Calibri"/>
                <w:color w:val="000000"/>
                <w:sz w:val="22"/>
                <w:szCs w:val="22"/>
              </w:rPr>
              <w:t>24</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303</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对个人和家庭的补助</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2.91</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2.91</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cs="Calibri"/>
                <w:color w:val="000000"/>
                <w:sz w:val="22"/>
                <w:szCs w:val="22"/>
              </w:rPr>
              <w:t>25</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cs="Calibri"/>
                <w:color w:val="000000"/>
                <w:sz w:val="22"/>
                <w:szCs w:val="22"/>
              </w:rPr>
              <w:t>30305</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hint="eastAsia" w:ascii="宋体" w:hAnsi="宋体" w:eastAsia="宋体" w:cs="宋体"/>
                <w:color w:val="000000"/>
                <w:sz w:val="22"/>
                <w:szCs w:val="22"/>
              </w:rPr>
              <w:t>生活补助</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2.91</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cs="Calibri"/>
                <w:color w:val="000000"/>
                <w:sz w:val="22"/>
                <w:szCs w:val="22"/>
              </w:rPr>
              <w:t>2.91</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tbl>
      <w:tblPr>
        <w:tblStyle w:val="8"/>
        <w:tblpPr w:leftFromText="180" w:rightFromText="180" w:vertAnchor="text" w:horzAnchor="margin" w:tblpXSpec="center" w:tblpY="318"/>
        <w:tblW w:w="141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7030" w:type="dxa"/>
            <w:gridSpan w:val="3"/>
            <w:tcBorders>
              <w:top w:val="single" w:color="FFFFFF" w:sz="6" w:space="0"/>
              <w:left w:val="single" w:color="FFFFFF" w:sz="6" w:space="0"/>
              <w:right w:val="single" w:color="FFFFFF" w:sz="6" w:space="0"/>
            </w:tcBorders>
            <w:vAlign w:val="center"/>
          </w:tcPr>
          <w:p>
            <w:pPr>
              <w:pStyle w:val="13"/>
            </w:pPr>
            <w:bookmarkStart w:id="7" w:name="_Toc_2_2_0000000009"/>
            <w:r>
              <w:t>[806]</w:t>
            </w:r>
            <w:r>
              <w:rPr>
                <w:rFonts w:hint="eastAsia"/>
              </w:rPr>
              <w:t>涞水县三坡镇人民政府</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rPr>
                <w:lang w:eastAsia="zh-CN"/>
              </w:rPr>
              <w:t>8</w:t>
            </w:r>
            <w:r>
              <w:rPr>
                <w:rFonts w:hint="eastAsia"/>
                <w:lang w:eastAsia="zh-CN"/>
              </w:rPr>
              <w:t>.34</w:t>
            </w:r>
          </w:p>
        </w:tc>
        <w:tc>
          <w:tcPr>
            <w:tcW w:w="2381" w:type="dxa"/>
            <w:vAlign w:val="center"/>
          </w:tcPr>
          <w:p>
            <w:pPr>
              <w:pStyle w:val="19"/>
            </w:pPr>
            <w:r>
              <w:rPr>
                <w:lang w:eastAsia="zh-CN"/>
              </w:rPr>
              <w:t>8</w:t>
            </w:r>
            <w:r>
              <w:rPr>
                <w:rFonts w:hint="eastAsia"/>
                <w:lang w:eastAsia="zh-CN"/>
              </w:rPr>
              <w:t>.34</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rPr>
                <w:rFonts w:hint="eastAsia" w:eastAsiaTheme="minorEastAsia"/>
                <w:lang w:eastAsia="zh-CN"/>
              </w:rPr>
            </w:pPr>
            <w:r>
              <w:rPr>
                <w:lang w:eastAsia="zh-CN"/>
              </w:rPr>
              <w:t>8</w:t>
            </w:r>
            <w:r>
              <w:rPr>
                <w:rFonts w:hint="eastAsia"/>
                <w:lang w:eastAsia="zh-CN"/>
              </w:rPr>
              <w:t>.34</w:t>
            </w:r>
          </w:p>
        </w:tc>
        <w:tc>
          <w:tcPr>
            <w:tcW w:w="2381" w:type="dxa"/>
            <w:vAlign w:val="center"/>
          </w:tcPr>
          <w:p>
            <w:pPr>
              <w:pStyle w:val="15"/>
              <w:rPr>
                <w:rFonts w:hint="eastAsia" w:eastAsiaTheme="minorEastAsia"/>
                <w:lang w:eastAsia="zh-CN"/>
              </w:rPr>
            </w:pPr>
            <w:r>
              <w:rPr>
                <w:lang w:eastAsia="zh-CN"/>
              </w:rPr>
              <w:t>8</w:t>
            </w:r>
            <w:r>
              <w:rPr>
                <w:rFonts w:hint="eastAsia"/>
                <w:lang w:eastAsia="zh-CN"/>
              </w:rPr>
              <w:t>.34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tcPr>
          <w:p>
            <w:pPr>
              <w:pStyle w:val="15"/>
              <w:rPr>
                <w:lang w:eastAsia="zh-CN"/>
              </w:rPr>
            </w:pPr>
            <w:r>
              <w:rPr>
                <w:rFonts w:ascii="Calibri" w:hAnsi="Calibri" w:cs="Calibri"/>
                <w:color w:val="000000"/>
                <w:sz w:val="22"/>
                <w:szCs w:val="22"/>
              </w:rPr>
              <w:t>7.00</w:t>
            </w:r>
          </w:p>
        </w:tc>
        <w:tc>
          <w:tcPr>
            <w:tcW w:w="2381" w:type="dxa"/>
          </w:tcPr>
          <w:p>
            <w:pPr>
              <w:pStyle w:val="15"/>
              <w:rPr>
                <w:lang w:eastAsia="zh-CN"/>
              </w:rPr>
            </w:pPr>
            <w:r>
              <w:rPr>
                <w:rFonts w:ascii="Calibri" w:hAnsi="Calibri" w:cs="Calibri"/>
                <w:color w:val="000000"/>
                <w:sz w:val="22"/>
                <w:szCs w:val="22"/>
              </w:rPr>
              <w:t>7.00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9</w:t>
            </w:r>
          </w:p>
        </w:tc>
        <w:tc>
          <w:tcPr>
            <w:tcW w:w="3798" w:type="dxa"/>
            <w:vAlign w:val="center"/>
          </w:tcPr>
          <w:p>
            <w:pPr>
              <w:pStyle w:val="16"/>
            </w:pPr>
            <w:r>
              <w:t>三、公务接待费</w:t>
            </w:r>
          </w:p>
        </w:tc>
        <w:tc>
          <w:tcPr>
            <w:tcW w:w="2382" w:type="dxa"/>
          </w:tcPr>
          <w:p>
            <w:pPr>
              <w:pStyle w:val="15"/>
              <w:rPr>
                <w:lang w:eastAsia="zh-CN"/>
              </w:rPr>
            </w:pPr>
            <w:r>
              <w:rPr>
                <w:rFonts w:ascii="Calibri" w:hAnsi="Calibri" w:cs="Calibri"/>
                <w:color w:val="000000"/>
                <w:sz w:val="22"/>
                <w:szCs w:val="22"/>
              </w:rPr>
              <w:t>1.34</w:t>
            </w:r>
          </w:p>
        </w:tc>
        <w:tc>
          <w:tcPr>
            <w:tcW w:w="2381" w:type="dxa"/>
          </w:tcPr>
          <w:p>
            <w:pPr>
              <w:pStyle w:val="15"/>
              <w:rPr>
                <w:lang w:eastAsia="zh-CN"/>
              </w:rPr>
            </w:pPr>
            <w:r>
              <w:rPr>
                <w:rFonts w:ascii="Calibri" w:hAnsi="Calibri" w:cs="Calibri"/>
                <w:color w:val="000000"/>
                <w:sz w:val="22"/>
                <w:szCs w:val="22"/>
              </w:rPr>
              <w:t>1.34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10</w:t>
            </w:r>
          </w:p>
        </w:tc>
        <w:tc>
          <w:tcPr>
            <w:tcW w:w="3798" w:type="dxa"/>
            <w:vAlign w:val="center"/>
          </w:tcPr>
          <w:p>
            <w:pPr>
              <w:pStyle w:val="16"/>
            </w:pPr>
            <w:r>
              <w:t>四、会议费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11</w:t>
            </w:r>
          </w:p>
        </w:tc>
        <w:tc>
          <w:tcPr>
            <w:tcW w:w="3798" w:type="dxa"/>
            <w:vAlign w:val="center"/>
          </w:tcPr>
          <w:p>
            <w:pPr>
              <w:pStyle w:val="16"/>
            </w:pPr>
            <w:r>
              <w:t>五、培训费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center"/>
        <w:outlineLvl w:val="1"/>
        <w:rPr>
          <w:rFonts w:eastAsia="方正小标宋_GBK" w:cs="方正小标宋_GBK" w:asciiTheme="minorHAnsi" w:hAnsiTheme="minorHAnsi"/>
          <w:color w:val="000000"/>
          <w:sz w:val="36"/>
          <w:lang w:val="uk-UA"/>
        </w:rPr>
      </w:pPr>
    </w:p>
    <w:p>
      <w:pPr>
        <w:jc w:val="center"/>
        <w:outlineLvl w:val="1"/>
      </w:pPr>
      <w:r>
        <w:rPr>
          <w:rFonts w:ascii="方正小标宋_GBK" w:hAnsi="方正小标宋_GBK" w:eastAsia="方正小标宋_GBK" w:cs="方正小标宋_GBK"/>
          <w:color w:val="000000"/>
          <w:sz w:val="36"/>
        </w:rPr>
        <w:t>部门预算财政拨款“三公”经费支出表</w:t>
      </w:r>
      <w:bookmarkEnd w:id="7"/>
    </w:p>
    <w:p>
      <w:pPr>
        <w:jc w:val="center"/>
        <w:rPr>
          <w:rFonts w:ascii="方正小标宋_GBK" w:hAnsi="方正小标宋_GBK" w:eastAsia="方正小标宋_GBK" w:cs="方正小标宋_GBK"/>
          <w:color w:val="000000"/>
          <w:sz w:val="44"/>
          <w:lang w:eastAsia="zh-CN"/>
        </w:rPr>
      </w:pPr>
    </w:p>
    <w:p>
      <w:pPr>
        <w:jc w:val="center"/>
      </w:pPr>
      <w:r>
        <w:rPr>
          <w:rFonts w:hint="eastAsia" w:ascii="方正小标宋_GBK" w:hAnsi="方正小标宋_GBK" w:eastAsia="方正小标宋_GBK" w:cs="方正小标宋_GBK"/>
          <w:color w:val="000000"/>
          <w:sz w:val="44"/>
          <w:lang w:eastAsia="zh-CN"/>
        </w:rPr>
        <w:t>涞水县三坡镇人民政府</w:t>
      </w:r>
      <w:r>
        <w:rPr>
          <w:rFonts w:ascii="方正小标宋_GBK" w:hAnsi="方正小标宋_GBK" w:eastAsia="方正小标宋_GBK" w:cs="方正小标宋_GBK"/>
          <w:color w:val="000000"/>
          <w:sz w:val="44"/>
        </w:rPr>
        <w:t>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涞水县三坡镇人民政府</w:t>
      </w:r>
      <w:r>
        <w:rPr>
          <w:rFonts w:eastAsia="方正仿宋_GBK"/>
          <w:color w:val="000000"/>
          <w:sz w:val="28"/>
        </w:rPr>
        <w:t>2023年部门预算公开如下：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1"/>
      </w:pPr>
      <w:r>
        <w:rPr>
          <w:rFonts w:hint="eastAsia"/>
          <w:lang w:eastAsia="zh-CN"/>
        </w:rPr>
        <w:t>涞水县三坡镇人民政府</w:t>
      </w:r>
      <w:r>
        <w:t>部门职责</w:t>
      </w:r>
    </w:p>
    <w:p>
      <w:pPr>
        <w:pStyle w:val="21"/>
      </w:pPr>
      <w:r>
        <w:rPr>
          <w:rFonts w:hint="eastAsia"/>
          <w:lang w:eastAsia="zh-CN"/>
        </w:rPr>
        <w:t>（</w:t>
      </w:r>
      <w:r>
        <w:t>一</w:t>
      </w:r>
      <w:r>
        <w:rPr>
          <w:rFonts w:hint="eastAsia"/>
          <w:lang w:eastAsia="zh-CN"/>
        </w:rPr>
        <w:t>）</w:t>
      </w:r>
      <w:r>
        <w:t>财政收入管理</w:t>
      </w:r>
    </w:p>
    <w:p>
      <w:pPr>
        <w:pStyle w:val="21"/>
      </w:pPr>
      <w:r>
        <w:t>深化税收制度改革，完善地方税体系。完善和规范地方性税收法规，规范税收优惠政策，监督检查税政政策执行情况。制定非税收入管理政策，加强非税收入征管。</w:t>
      </w:r>
    </w:p>
    <w:p>
      <w:pPr>
        <w:pStyle w:val="21"/>
      </w:pPr>
      <w:r>
        <w:rPr>
          <w:rFonts w:hint="eastAsia"/>
          <w:lang w:eastAsia="zh-CN"/>
        </w:rPr>
        <w:t>（二）</w:t>
      </w:r>
      <w:r>
        <w:t>财政资源配置管理</w:t>
      </w:r>
    </w:p>
    <w:p>
      <w:pPr>
        <w:pStyle w:val="21"/>
      </w:pPr>
      <w:r>
        <w:t>通过对财政收支以及相应的财政税收政策，调整和引导现有社会经济资源的流向和流量，以达到资源的优化配置和充分利用，实现最大的经济效益和社会效益的功能。</w:t>
      </w:r>
    </w:p>
    <w:p>
      <w:pPr>
        <w:pStyle w:val="21"/>
        <w:ind w:firstLineChars="200"/>
      </w:pPr>
      <w:r>
        <w:rPr>
          <w:rFonts w:hint="eastAsia"/>
          <w:lang w:eastAsia="zh-CN"/>
        </w:rPr>
        <w:t>（三）</w:t>
      </w:r>
      <w:r>
        <w:t>财政体制管理</w:t>
      </w:r>
    </w:p>
    <w:p>
      <w:pPr>
        <w:pStyle w:val="21"/>
      </w:pPr>
      <w:r>
        <w:t>承担财政体制管理的责任。负责拟订县对乡镇财政管理体制，研究提出县对乡镇财政管理体制指导性意见。</w:t>
      </w:r>
    </w:p>
    <w:p>
      <w:pPr>
        <w:pStyle w:val="21"/>
      </w:pPr>
      <w:r>
        <w:rPr>
          <w:rFonts w:hint="eastAsia"/>
          <w:lang w:eastAsia="zh-CN"/>
        </w:rPr>
        <w:t>（四）</w:t>
      </w:r>
      <w:r>
        <w:t>预算管理</w:t>
      </w:r>
    </w:p>
    <w:p>
      <w:pPr>
        <w:pStyle w:val="21"/>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1"/>
      </w:pPr>
      <w:r>
        <w:rPr>
          <w:rFonts w:hint="eastAsia"/>
          <w:lang w:eastAsia="zh-CN"/>
        </w:rPr>
        <w:t>（五）</w:t>
      </w:r>
      <w:r>
        <w:t>国库管理</w:t>
      </w:r>
    </w:p>
    <w:p>
      <w:pPr>
        <w:pStyle w:val="21"/>
      </w:pPr>
      <w:r>
        <w:t>预算单位用款计划及额度审核下达；财政专户资金审核拨付；全县预算执行分析；组织实施总决算会计，组织部门决算汇编；国库现金管理；管理全县预算单位银行账户。</w:t>
      </w:r>
    </w:p>
    <w:p>
      <w:pPr>
        <w:pStyle w:val="21"/>
      </w:pPr>
      <w:r>
        <w:rPr>
          <w:rFonts w:hint="eastAsia"/>
          <w:lang w:eastAsia="zh-CN"/>
        </w:rPr>
        <w:t>（六）</w:t>
      </w:r>
      <w:r>
        <w:t>财政监督管理</w:t>
      </w:r>
    </w:p>
    <w:p>
      <w:pPr>
        <w:pStyle w:val="21"/>
      </w:pPr>
      <w:r>
        <w:t>负责对财政性资金使用情况进行绩效监督评价，反映财政收支管理中的重大问题。</w:t>
      </w:r>
    </w:p>
    <w:p>
      <w:pPr>
        <w:pStyle w:val="21"/>
      </w:pPr>
      <w:r>
        <w:rPr>
          <w:rFonts w:hint="eastAsia"/>
          <w:lang w:eastAsia="zh-CN"/>
        </w:rPr>
        <w:t>（七）</w:t>
      </w:r>
      <w:r>
        <w:t>财务会计管理</w:t>
      </w:r>
    </w:p>
    <w:p>
      <w:pPr>
        <w:pStyle w:val="21"/>
      </w:pPr>
      <w:bookmarkStart w:id="28" w:name="_GoBack"/>
      <w:bookmarkEnd w:id="28"/>
      <w:r>
        <w:t>监督和规范会计行为，组织实施国家统一的会计制度、财务制度；管理会计从业资格；按规定承担会计专业技术资格管理。</w:t>
      </w:r>
    </w:p>
    <w:p>
      <w:pPr>
        <w:pStyle w:val="21"/>
      </w:pPr>
      <w:r>
        <w:rPr>
          <w:rFonts w:hint="eastAsia"/>
          <w:lang w:eastAsia="zh-CN"/>
        </w:rPr>
        <w:t>（八）</w:t>
      </w:r>
      <w:r>
        <w:t>国有资产管理</w:t>
      </w:r>
    </w:p>
    <w:p>
      <w:pPr>
        <w:pStyle w:val="21"/>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1"/>
      </w:pPr>
      <w:r>
        <w:rPr>
          <w:rFonts w:hint="eastAsia"/>
          <w:lang w:eastAsia="zh-CN"/>
        </w:rPr>
        <w:t>（九）</w:t>
      </w:r>
      <w:r>
        <w:t>政府专项工作服务与管理</w:t>
      </w:r>
    </w:p>
    <w:p>
      <w:pPr>
        <w:pStyle w:val="21"/>
      </w:pPr>
      <w:r>
        <w:t>政府采购、农村综合改革、政府债务、综合治税、政府购买服务、规范津补贴等政府专项工作的服务与管理。</w:t>
      </w:r>
    </w:p>
    <w:p>
      <w:pPr>
        <w:pStyle w:val="21"/>
      </w:pPr>
      <w:r>
        <w:rPr>
          <w:rFonts w:hint="eastAsia"/>
          <w:lang w:eastAsia="zh-CN"/>
        </w:rPr>
        <w:t>（十）</w:t>
      </w:r>
      <w:r>
        <w:t>财政政务管理</w:t>
      </w:r>
    </w:p>
    <w:p>
      <w:pPr>
        <w:pStyle w:val="21"/>
      </w:pPr>
      <w:r>
        <w:t>负责财政系统综合业务管理和机关综合事务管理。</w:t>
      </w:r>
    </w:p>
    <w:p>
      <w:pPr>
        <w:pStyle w:val="21"/>
      </w:pPr>
      <w:r>
        <w:rPr>
          <w:rFonts w:hint="eastAsia"/>
          <w:lang w:eastAsia="zh-CN"/>
        </w:rPr>
        <w:t>（十一）</w:t>
      </w:r>
      <w:r>
        <w:t>其他事项</w:t>
      </w:r>
    </w:p>
    <w:p>
      <w:pPr>
        <w:pStyle w:val="21"/>
      </w:pPr>
      <w:r>
        <w:t>上级财政部门和县委、县政府交办的其他事项。</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45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130"/>
        <w:gridCol w:w="1993"/>
        <w:gridCol w:w="2299"/>
        <w:gridCol w:w="4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tblHeader/>
          <w:jc w:val="center"/>
        </w:trPr>
        <w:tc>
          <w:tcPr>
            <w:tcW w:w="6130" w:type="dxa"/>
            <w:vAlign w:val="center"/>
          </w:tcPr>
          <w:p>
            <w:pPr>
              <w:pStyle w:val="14"/>
            </w:pPr>
            <w:r>
              <w:t>单位名称</w:t>
            </w:r>
          </w:p>
        </w:tc>
        <w:tc>
          <w:tcPr>
            <w:tcW w:w="1993" w:type="dxa"/>
            <w:vAlign w:val="center"/>
          </w:tcPr>
          <w:p>
            <w:pPr>
              <w:pStyle w:val="14"/>
            </w:pPr>
            <w:r>
              <w:t>单位性质</w:t>
            </w:r>
          </w:p>
        </w:tc>
        <w:tc>
          <w:tcPr>
            <w:tcW w:w="2299" w:type="dxa"/>
            <w:vAlign w:val="center"/>
          </w:tcPr>
          <w:p>
            <w:pPr>
              <w:pStyle w:val="14"/>
            </w:pPr>
            <w:r>
              <w:t>单位规格</w:t>
            </w:r>
          </w:p>
        </w:tc>
        <w:tc>
          <w:tcPr>
            <w:tcW w:w="4138"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6130" w:type="dxa"/>
            <w:vAlign w:val="center"/>
          </w:tcPr>
          <w:p>
            <w:pPr>
              <w:pStyle w:val="16"/>
            </w:pPr>
            <w:r>
              <w:rPr>
                <w:rFonts w:hint="eastAsia"/>
                <w:lang w:eastAsia="zh-CN"/>
              </w:rPr>
              <w:t>涞水县三坡镇人民政府</w:t>
            </w:r>
          </w:p>
        </w:tc>
        <w:tc>
          <w:tcPr>
            <w:tcW w:w="1993" w:type="dxa"/>
            <w:vAlign w:val="center"/>
          </w:tcPr>
          <w:p>
            <w:pPr>
              <w:pStyle w:val="17"/>
            </w:pPr>
            <w:r>
              <w:t>行政</w:t>
            </w:r>
          </w:p>
        </w:tc>
        <w:tc>
          <w:tcPr>
            <w:tcW w:w="2299" w:type="dxa"/>
            <w:vAlign w:val="center"/>
          </w:tcPr>
          <w:p>
            <w:pPr>
              <w:pStyle w:val="17"/>
            </w:pPr>
            <w:r>
              <w:t>正科级</w:t>
            </w:r>
          </w:p>
        </w:tc>
        <w:tc>
          <w:tcPr>
            <w:tcW w:w="4138"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lang w:eastAsia="zh-CN"/>
        </w:rPr>
      </w:pPr>
      <w:r>
        <w:rPr>
          <w:rFonts w:hint="eastAsia" w:eastAsia="方正仿宋_GBK"/>
          <w:color w:val="000000"/>
          <w:sz w:val="28"/>
          <w:lang w:eastAsia="zh-CN"/>
        </w:rPr>
        <w:t>1、收入情况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w:t>
      </w:r>
      <w:r>
        <w:rPr>
          <w:rFonts w:eastAsia="方正仿宋_GBK"/>
          <w:color w:val="000000"/>
          <w:sz w:val="28"/>
          <w:lang w:eastAsia="zh-CN"/>
        </w:rPr>
        <w:t>3</w:t>
      </w:r>
      <w:r>
        <w:rPr>
          <w:rFonts w:hint="eastAsia" w:eastAsia="方正仿宋_GBK"/>
          <w:color w:val="000000"/>
          <w:sz w:val="28"/>
          <w:lang w:eastAsia="zh-CN"/>
        </w:rPr>
        <w:t>年我部门预算总收入</w:t>
      </w:r>
      <w:r>
        <w:rPr>
          <w:rFonts w:eastAsia="方正仿宋_GBK"/>
          <w:color w:val="000000"/>
          <w:sz w:val="28"/>
          <w:lang w:eastAsia="zh-CN"/>
        </w:rPr>
        <w:t>443.05</w:t>
      </w:r>
      <w:r>
        <w:rPr>
          <w:rFonts w:hint="eastAsia" w:eastAsia="方正仿宋_GBK"/>
          <w:color w:val="000000"/>
          <w:sz w:val="28"/>
          <w:lang w:eastAsia="zh-CN"/>
        </w:rPr>
        <w:t>万元，其中：一般公共预算拨款收入</w:t>
      </w:r>
      <w:r>
        <w:rPr>
          <w:rFonts w:eastAsia="方正仿宋_GBK"/>
          <w:color w:val="000000"/>
          <w:sz w:val="28"/>
          <w:lang w:eastAsia="zh-CN"/>
        </w:rPr>
        <w:t>443.05</w:t>
      </w:r>
      <w:r>
        <w:rPr>
          <w:rFonts w:hint="eastAsia" w:eastAsia="方正仿宋_GBK"/>
          <w:color w:val="000000"/>
          <w:sz w:val="28"/>
          <w:lang w:eastAsia="zh-CN"/>
        </w:rPr>
        <w:t xml:space="preserve">万元，政府性基金拨款收入0万元，国有资本经营收入0万元，其他来源收入0万元。 </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2．支出情况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w:t>
      </w:r>
      <w:r>
        <w:rPr>
          <w:rFonts w:eastAsia="方正仿宋_GBK"/>
          <w:color w:val="000000"/>
          <w:sz w:val="28"/>
          <w:lang w:eastAsia="zh-CN"/>
        </w:rPr>
        <w:t>3</w:t>
      </w:r>
      <w:r>
        <w:rPr>
          <w:rFonts w:hint="eastAsia" w:eastAsia="方正仿宋_GBK"/>
          <w:color w:val="000000"/>
          <w:sz w:val="28"/>
          <w:lang w:eastAsia="zh-CN"/>
        </w:rPr>
        <w:t>年我部门预算支出</w:t>
      </w:r>
      <w:r>
        <w:rPr>
          <w:rFonts w:eastAsia="方正仿宋_GBK"/>
          <w:color w:val="000000"/>
          <w:sz w:val="28"/>
          <w:lang w:eastAsia="zh-CN"/>
        </w:rPr>
        <w:t>443.05</w:t>
      </w:r>
      <w:r>
        <w:rPr>
          <w:rFonts w:hint="eastAsia" w:eastAsia="方正仿宋_GBK"/>
          <w:color w:val="000000"/>
          <w:sz w:val="28"/>
          <w:lang w:eastAsia="zh-CN"/>
        </w:rPr>
        <w:t>万元，其中，基本支出</w:t>
      </w:r>
      <w:r>
        <w:rPr>
          <w:rFonts w:eastAsia="方正仿宋_GBK"/>
          <w:color w:val="000000"/>
          <w:sz w:val="28"/>
          <w:lang w:eastAsia="zh-CN"/>
        </w:rPr>
        <w:t>418.05</w:t>
      </w:r>
      <w:r>
        <w:rPr>
          <w:rFonts w:hint="eastAsia" w:eastAsia="方正仿宋_GBK"/>
          <w:color w:val="000000"/>
          <w:sz w:val="28"/>
          <w:lang w:eastAsia="zh-CN"/>
        </w:rPr>
        <w:t>万元，包含人员经费3</w:t>
      </w:r>
      <w:r>
        <w:rPr>
          <w:rFonts w:eastAsia="方正仿宋_GBK"/>
          <w:color w:val="000000"/>
          <w:sz w:val="28"/>
          <w:lang w:eastAsia="zh-CN"/>
        </w:rPr>
        <w:t>51.07</w:t>
      </w:r>
      <w:r>
        <w:rPr>
          <w:rFonts w:hint="eastAsia" w:eastAsia="方正仿宋_GBK"/>
          <w:color w:val="000000"/>
          <w:sz w:val="28"/>
          <w:lang w:eastAsia="zh-CN"/>
        </w:rPr>
        <w:t>万元，日常公用经费</w:t>
      </w:r>
      <w:r>
        <w:rPr>
          <w:rFonts w:eastAsia="方正仿宋_GBK"/>
          <w:color w:val="000000"/>
          <w:sz w:val="28"/>
          <w:lang w:eastAsia="zh-CN"/>
        </w:rPr>
        <w:t>66.98</w:t>
      </w:r>
      <w:r>
        <w:rPr>
          <w:rFonts w:hint="eastAsia" w:eastAsia="方正仿宋_GBK"/>
          <w:color w:val="000000"/>
          <w:sz w:val="28"/>
          <w:lang w:eastAsia="zh-CN"/>
        </w:rPr>
        <w:t>万元；项目支出2</w:t>
      </w:r>
      <w:r>
        <w:rPr>
          <w:rFonts w:eastAsia="方正仿宋_GBK"/>
          <w:color w:val="000000"/>
          <w:sz w:val="28"/>
          <w:lang w:eastAsia="zh-CN"/>
        </w:rPr>
        <w:t>5</w:t>
      </w:r>
      <w:r>
        <w:rPr>
          <w:rFonts w:hint="eastAsia" w:eastAsia="方正仿宋_GBK"/>
          <w:color w:val="000000"/>
          <w:sz w:val="28"/>
          <w:lang w:eastAsia="zh-CN"/>
        </w:rPr>
        <w:t>万元。</w:t>
      </w:r>
    </w:p>
    <w:p>
      <w:pPr>
        <w:spacing w:line="500" w:lineRule="exact"/>
        <w:ind w:firstLine="560"/>
        <w:rPr>
          <w:rFonts w:eastAsia="方正仿宋_GBK"/>
          <w:color w:val="000000"/>
          <w:sz w:val="28"/>
          <w:lang w:eastAsia="zh-CN"/>
        </w:rPr>
      </w:pPr>
      <w:r>
        <w:rPr>
          <w:rFonts w:hint="eastAsia" w:eastAsia="方正仿宋_GBK"/>
          <w:color w:val="000000"/>
          <w:sz w:val="28"/>
          <w:lang w:eastAsia="zh-CN"/>
        </w:rPr>
        <w:t>3、比上年增减情况：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本年度预算收支安排</w:t>
      </w:r>
      <w:r>
        <w:rPr>
          <w:rFonts w:eastAsia="方正仿宋_GBK"/>
          <w:color w:val="000000"/>
          <w:sz w:val="28"/>
          <w:lang w:eastAsia="zh-CN"/>
        </w:rPr>
        <w:t>443.05</w:t>
      </w:r>
      <w:r>
        <w:rPr>
          <w:rFonts w:hint="eastAsia" w:eastAsia="方正仿宋_GBK"/>
          <w:color w:val="000000"/>
          <w:sz w:val="28"/>
          <w:lang w:eastAsia="zh-CN"/>
        </w:rPr>
        <w:t>万元，较上年增加2</w:t>
      </w:r>
      <w:r>
        <w:rPr>
          <w:rFonts w:eastAsia="方正仿宋_GBK"/>
          <w:color w:val="000000"/>
          <w:sz w:val="28"/>
          <w:lang w:eastAsia="zh-CN"/>
        </w:rPr>
        <w:t>9.44</w:t>
      </w:r>
      <w:r>
        <w:rPr>
          <w:rFonts w:hint="eastAsia" w:eastAsia="方正仿宋_GBK"/>
          <w:color w:val="000000"/>
          <w:sz w:val="28"/>
          <w:lang w:eastAsia="zh-CN"/>
        </w:rPr>
        <w:t>万元。基本支出增加</w:t>
      </w:r>
      <w:r>
        <w:rPr>
          <w:rFonts w:eastAsia="方正仿宋_GBK"/>
          <w:color w:val="000000"/>
          <w:sz w:val="28"/>
          <w:lang w:eastAsia="zh-CN"/>
        </w:rPr>
        <w:t>25.44</w:t>
      </w:r>
      <w:r>
        <w:rPr>
          <w:rFonts w:hint="eastAsia" w:eastAsia="方正仿宋_GBK"/>
          <w:color w:val="000000"/>
          <w:sz w:val="28"/>
          <w:lang w:eastAsia="zh-CN"/>
        </w:rPr>
        <w:t>万元。其中：人员经费支出增加</w:t>
      </w:r>
      <w:r>
        <w:rPr>
          <w:rFonts w:eastAsia="方正仿宋_GBK"/>
          <w:color w:val="000000"/>
          <w:sz w:val="28"/>
          <w:lang w:eastAsia="zh-CN"/>
        </w:rPr>
        <w:t>29.85</w:t>
      </w:r>
      <w:r>
        <w:rPr>
          <w:rFonts w:hint="eastAsia" w:eastAsia="方正仿宋_GBK"/>
          <w:color w:val="000000"/>
          <w:sz w:val="28"/>
          <w:lang w:eastAsia="zh-CN"/>
        </w:rPr>
        <w:t>万元，日常公用支出减少</w:t>
      </w:r>
      <w:r>
        <w:rPr>
          <w:rFonts w:eastAsia="方正仿宋_GBK"/>
          <w:color w:val="000000"/>
          <w:sz w:val="28"/>
          <w:lang w:eastAsia="zh-CN"/>
        </w:rPr>
        <w:t>4.41</w:t>
      </w:r>
      <w:r>
        <w:rPr>
          <w:rFonts w:hint="eastAsia" w:eastAsia="方正仿宋_GBK"/>
          <w:color w:val="000000"/>
          <w:sz w:val="28"/>
          <w:lang w:eastAsia="zh-CN"/>
        </w:rPr>
        <w:t>万元；项目支出增加</w:t>
      </w:r>
      <w:r>
        <w:rPr>
          <w:rFonts w:eastAsia="方正仿宋_GBK"/>
          <w:color w:val="000000"/>
          <w:sz w:val="28"/>
          <w:lang w:eastAsia="zh-CN"/>
        </w:rPr>
        <w:t>4</w:t>
      </w:r>
      <w:r>
        <w:rPr>
          <w:rFonts w:hint="eastAsia" w:eastAsia="方正仿宋_GBK"/>
          <w:color w:val="000000"/>
          <w:sz w:val="28"/>
          <w:lang w:eastAsia="zh-CN"/>
        </w:rPr>
        <w:t>万元。</w:t>
      </w:r>
    </w:p>
    <w:p>
      <w:pPr>
        <w:pStyle w:val="22"/>
      </w:pPr>
    </w:p>
    <w:p>
      <w:pPr>
        <w:spacing w:before="10" w:after="10" w:line="360" w:lineRule="auto"/>
        <w:ind w:firstLine="640"/>
        <w:outlineLvl w:val="2"/>
        <w:rPr>
          <w:rFonts w:ascii="黑体" w:hAnsi="黑体" w:eastAsia="黑体" w:cs="黑体"/>
          <w:color w:val="000000"/>
          <w:sz w:val="32"/>
          <w:lang w:eastAsia="zh-CN"/>
        </w:rPr>
      </w:pPr>
      <w:bookmarkStart w:id="10" w:name="_Toc_3_3_0000000012"/>
    </w:p>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三、机关运行经费安排情况</w:t>
      </w:r>
      <w:bookmarkEnd w:id="10"/>
    </w:p>
    <w:p>
      <w:pPr>
        <w:spacing w:line="500" w:lineRule="exact"/>
        <w:ind w:firstLine="560"/>
        <w:rPr>
          <w:rFonts w:eastAsia="方正仿宋_GBK"/>
          <w:color w:val="000000"/>
          <w:sz w:val="28"/>
        </w:rPr>
      </w:pPr>
      <w:r>
        <w:rPr>
          <w:rFonts w:hint="eastAsia" w:eastAsia="方正仿宋_GBK"/>
          <w:color w:val="000000"/>
          <w:sz w:val="28"/>
        </w:rPr>
        <w:t>202</w:t>
      </w:r>
      <w:r>
        <w:rPr>
          <w:rFonts w:eastAsia="方正仿宋_GBK"/>
          <w:color w:val="000000"/>
          <w:sz w:val="28"/>
        </w:rPr>
        <w:t>3</w:t>
      </w:r>
      <w:r>
        <w:rPr>
          <w:rFonts w:hint="eastAsia" w:eastAsia="方正仿宋_GBK"/>
          <w:color w:val="000000"/>
          <w:sz w:val="28"/>
        </w:rPr>
        <w:t>年</w:t>
      </w:r>
      <w:r>
        <w:rPr>
          <w:rFonts w:hint="eastAsia" w:eastAsia="方正仿宋_GBK"/>
          <w:color w:val="000000"/>
          <w:sz w:val="28"/>
          <w:lang w:eastAsia="zh-CN"/>
        </w:rPr>
        <w:t>涞水县三坡镇人民政府</w:t>
      </w:r>
      <w:r>
        <w:rPr>
          <w:rFonts w:hint="eastAsia" w:eastAsia="方正仿宋_GBK"/>
          <w:color w:val="000000"/>
          <w:sz w:val="28"/>
        </w:rPr>
        <w:t>部门预算安排机关运行经费支出</w:t>
      </w:r>
      <w:r>
        <w:rPr>
          <w:rFonts w:ascii="仿宋" w:hAnsi="仿宋" w:eastAsia="仿宋"/>
          <w:color w:val="000000"/>
          <w:sz w:val="32"/>
          <w:szCs w:val="32"/>
        </w:rPr>
        <w:t>66.98</w:t>
      </w:r>
      <w:r>
        <w:rPr>
          <w:rFonts w:hint="eastAsia" w:eastAsia="方正仿宋_GBK"/>
          <w:color w:val="000000"/>
          <w:sz w:val="28"/>
        </w:rPr>
        <w:t>万元，其中包括办公费8.</w:t>
      </w:r>
      <w:r>
        <w:rPr>
          <w:rFonts w:eastAsia="方正仿宋_GBK"/>
          <w:color w:val="000000"/>
          <w:sz w:val="28"/>
        </w:rPr>
        <w:t>28</w:t>
      </w:r>
      <w:r>
        <w:rPr>
          <w:rFonts w:hint="eastAsia" w:eastAsia="方正仿宋_GBK"/>
          <w:color w:val="000000"/>
          <w:sz w:val="28"/>
        </w:rPr>
        <w:t>万元，邮电费0.36万元，取暖费5万元，差旅费2万元，公务接待费</w:t>
      </w:r>
      <w:r>
        <w:rPr>
          <w:rFonts w:eastAsia="方正仿宋_GBK"/>
          <w:color w:val="000000"/>
          <w:sz w:val="28"/>
        </w:rPr>
        <w:t>1</w:t>
      </w:r>
      <w:r>
        <w:rPr>
          <w:rFonts w:hint="eastAsia" w:eastAsia="方正仿宋_GBK"/>
          <w:color w:val="000000"/>
          <w:sz w:val="28"/>
        </w:rPr>
        <w:t>.34万元，公务车运行维护费7万元,公务交通补贴</w:t>
      </w:r>
      <w:r>
        <w:rPr>
          <w:rFonts w:eastAsia="方正仿宋_GBK"/>
          <w:color w:val="000000"/>
          <w:sz w:val="28"/>
        </w:rPr>
        <w:t>9</w:t>
      </w:r>
      <w:r>
        <w:rPr>
          <w:rFonts w:hint="eastAsia" w:eastAsia="方正仿宋_GBK"/>
          <w:color w:val="000000"/>
          <w:sz w:val="28"/>
        </w:rPr>
        <w:t>万元，工会经费</w:t>
      </w:r>
      <w:r>
        <w:rPr>
          <w:rFonts w:eastAsia="方正仿宋_GBK"/>
          <w:color w:val="000000"/>
          <w:sz w:val="28"/>
        </w:rPr>
        <w:t>2.83</w:t>
      </w:r>
      <w:r>
        <w:rPr>
          <w:rFonts w:hint="eastAsia" w:eastAsia="方正仿宋_GBK"/>
          <w:color w:val="000000"/>
          <w:sz w:val="28"/>
        </w:rPr>
        <w:t>万元，职工福利费</w:t>
      </w:r>
      <w:r>
        <w:rPr>
          <w:rFonts w:eastAsia="方正仿宋_GBK"/>
          <w:color w:val="000000"/>
          <w:sz w:val="28"/>
        </w:rPr>
        <w:t>3.35</w:t>
      </w:r>
      <w:r>
        <w:rPr>
          <w:rFonts w:hint="eastAsia" w:eastAsia="方正仿宋_GBK"/>
          <w:color w:val="000000"/>
          <w:sz w:val="28"/>
        </w:rPr>
        <w:t>万元，劳务费27.</w:t>
      </w:r>
      <w:r>
        <w:rPr>
          <w:rFonts w:eastAsia="方正仿宋_GBK"/>
          <w:color w:val="000000"/>
          <w:sz w:val="28"/>
        </w:rPr>
        <w:t>2</w:t>
      </w:r>
      <w:r>
        <w:rPr>
          <w:rFonts w:hint="eastAsia" w:eastAsia="方正仿宋_GBK"/>
          <w:color w:val="000000"/>
          <w:sz w:val="28"/>
        </w:rPr>
        <w:t>6万元，离退休人员经费0.</w:t>
      </w:r>
      <w:r>
        <w:rPr>
          <w:rFonts w:eastAsia="方正仿宋_GBK"/>
          <w:color w:val="000000"/>
          <w:sz w:val="28"/>
        </w:rPr>
        <w:t>56</w:t>
      </w:r>
      <w:r>
        <w:rPr>
          <w:rFonts w:hint="eastAsia" w:eastAsia="方正仿宋_GBK"/>
          <w:color w:val="000000"/>
          <w:sz w:val="28"/>
        </w:rPr>
        <w:t>万元。</w:t>
      </w:r>
    </w:p>
    <w:p>
      <w:pPr>
        <w:spacing w:line="500" w:lineRule="exact"/>
        <w:ind w:firstLine="560"/>
        <w:rPr>
          <w:rFonts w:eastAsia="方正仿宋_GBK"/>
          <w:color w:val="000000"/>
          <w:sz w:val="28"/>
        </w:rPr>
      </w:pPr>
    </w:p>
    <w:p>
      <w:pPr>
        <w:pStyle w:val="23"/>
      </w:pPr>
    </w:p>
    <w:p>
      <w:pPr>
        <w:spacing w:before="10" w:after="10" w:line="360" w:lineRule="auto"/>
        <w:ind w:firstLine="640"/>
        <w:outlineLvl w:val="2"/>
        <w:rPr>
          <w:rFonts w:ascii="黑体" w:hAnsi="黑体" w:eastAsia="黑体" w:cs="黑体"/>
          <w:color w:val="000000"/>
          <w:sz w:val="32"/>
          <w:lang w:eastAsia="zh-CN"/>
        </w:rPr>
      </w:pPr>
      <w:bookmarkStart w:id="11" w:name="_Toc_3_3_0000000013"/>
      <w:r>
        <w:rPr>
          <w:rFonts w:ascii="黑体" w:hAnsi="黑体" w:eastAsia="黑体" w:cs="黑体"/>
          <w:color w:val="000000"/>
          <w:sz w:val="32"/>
        </w:rPr>
        <w:t>四、财政拨款“三公”经费预算情况及增减变化原因</w:t>
      </w:r>
      <w:bookmarkEnd w:id="11"/>
    </w:p>
    <w:p>
      <w:pPr>
        <w:spacing w:line="500" w:lineRule="exact"/>
        <w:ind w:firstLine="560"/>
        <w:rPr>
          <w:rFonts w:eastAsia="方正仿宋_GBK"/>
          <w:color w:val="000000"/>
          <w:sz w:val="28"/>
        </w:rPr>
      </w:pPr>
      <w:r>
        <w:rPr>
          <w:rFonts w:eastAsia="方正仿宋_GBK"/>
          <w:color w:val="000000"/>
          <w:sz w:val="28"/>
        </w:rPr>
        <w:t>2023</w:t>
      </w:r>
      <w:r>
        <w:rPr>
          <w:rFonts w:hint="eastAsia" w:eastAsia="方正仿宋_GBK"/>
          <w:color w:val="000000"/>
          <w:sz w:val="28"/>
        </w:rPr>
        <w:t>年本部门“三公”经费预算数</w:t>
      </w:r>
      <w:r>
        <w:rPr>
          <w:rFonts w:eastAsia="方正仿宋_GBK"/>
          <w:color w:val="000000"/>
          <w:sz w:val="28"/>
        </w:rPr>
        <w:t>8.34</w:t>
      </w:r>
      <w:r>
        <w:rPr>
          <w:rFonts w:hint="eastAsia" w:eastAsia="方正仿宋_GBK"/>
          <w:color w:val="000000"/>
          <w:sz w:val="28"/>
        </w:rPr>
        <w:t>万元，其中：公务接待费</w:t>
      </w:r>
      <w:r>
        <w:rPr>
          <w:rFonts w:eastAsia="方正仿宋_GBK"/>
          <w:color w:val="000000"/>
          <w:sz w:val="28"/>
        </w:rPr>
        <w:t>1.34</w:t>
      </w:r>
      <w:r>
        <w:rPr>
          <w:rFonts w:hint="eastAsia" w:eastAsia="方正仿宋_GBK"/>
          <w:color w:val="000000"/>
          <w:sz w:val="28"/>
        </w:rPr>
        <w:t>万元；公务用车运行维护费</w:t>
      </w:r>
      <w:r>
        <w:rPr>
          <w:rFonts w:eastAsia="方正仿宋_GBK"/>
          <w:color w:val="000000"/>
          <w:sz w:val="28"/>
        </w:rPr>
        <w:t>7</w:t>
      </w:r>
      <w:r>
        <w:rPr>
          <w:rFonts w:hint="eastAsia" w:eastAsia="方正仿宋_GBK"/>
          <w:color w:val="000000"/>
          <w:sz w:val="28"/>
        </w:rPr>
        <w:t>万元</w:t>
      </w:r>
      <w:r>
        <w:rPr>
          <w:rFonts w:eastAsia="方正仿宋_GBK"/>
          <w:color w:val="000000"/>
          <w:sz w:val="28"/>
        </w:rPr>
        <w:t>,</w:t>
      </w:r>
      <w:r>
        <w:rPr>
          <w:rFonts w:hint="eastAsia" w:eastAsia="方正仿宋_GBK"/>
          <w:color w:val="000000"/>
          <w:sz w:val="28"/>
        </w:rPr>
        <w:t>无公务用车购置费和因公出国（境）费。</w:t>
      </w:r>
    </w:p>
    <w:p>
      <w:pPr>
        <w:spacing w:line="500" w:lineRule="exact"/>
        <w:ind w:firstLine="560"/>
        <w:rPr>
          <w:rFonts w:eastAsia="方正仿宋_GBK"/>
          <w:color w:val="000000"/>
          <w:sz w:val="28"/>
        </w:rPr>
      </w:pPr>
      <w:r>
        <w:rPr>
          <w:rFonts w:eastAsia="方正仿宋_GBK"/>
          <w:color w:val="000000"/>
          <w:sz w:val="28"/>
        </w:rPr>
        <w:t xml:space="preserve"> </w:t>
      </w:r>
      <w:r>
        <w:rPr>
          <w:rFonts w:hint="eastAsia" w:eastAsia="方正仿宋_GBK"/>
          <w:color w:val="000000"/>
          <w:sz w:val="28"/>
        </w:rPr>
        <w:t>我单位</w:t>
      </w:r>
      <w:r>
        <w:rPr>
          <w:rFonts w:eastAsia="方正仿宋_GBK"/>
          <w:color w:val="000000"/>
          <w:sz w:val="28"/>
        </w:rPr>
        <w:t>20</w:t>
      </w:r>
      <w:r>
        <w:rPr>
          <w:rFonts w:hint="eastAsia" w:eastAsia="方正仿宋_GBK"/>
          <w:color w:val="000000"/>
          <w:sz w:val="28"/>
        </w:rPr>
        <w:t>2</w:t>
      </w:r>
      <w:r>
        <w:rPr>
          <w:rFonts w:eastAsia="方正仿宋_GBK"/>
          <w:color w:val="000000"/>
          <w:sz w:val="28"/>
        </w:rPr>
        <w:t>2</w:t>
      </w:r>
      <w:r>
        <w:rPr>
          <w:rFonts w:hint="eastAsia" w:eastAsia="方正仿宋_GBK"/>
          <w:color w:val="000000"/>
          <w:sz w:val="28"/>
        </w:rPr>
        <w:t>年三公经费预算拨款</w:t>
      </w:r>
      <w:r>
        <w:rPr>
          <w:rFonts w:eastAsia="方正仿宋_GBK"/>
          <w:color w:val="000000"/>
          <w:sz w:val="28"/>
        </w:rPr>
        <w:t>9.</w:t>
      </w:r>
      <w:r>
        <w:rPr>
          <w:rFonts w:hint="eastAsia" w:eastAsia="方正仿宋_GBK"/>
          <w:color w:val="000000"/>
          <w:sz w:val="28"/>
        </w:rPr>
        <w:t>3</w:t>
      </w:r>
      <w:r>
        <w:rPr>
          <w:rFonts w:eastAsia="方正仿宋_GBK"/>
          <w:color w:val="000000"/>
          <w:sz w:val="28"/>
        </w:rPr>
        <w:t>4</w:t>
      </w:r>
      <w:r>
        <w:rPr>
          <w:rFonts w:hint="eastAsia" w:eastAsia="方正仿宋_GBK"/>
          <w:color w:val="000000"/>
          <w:sz w:val="28"/>
        </w:rPr>
        <w:t>万元，其中公务车运行维护费</w:t>
      </w:r>
      <w:r>
        <w:rPr>
          <w:rFonts w:eastAsia="方正仿宋_GBK"/>
          <w:color w:val="000000"/>
          <w:sz w:val="28"/>
        </w:rPr>
        <w:t>7</w:t>
      </w:r>
      <w:r>
        <w:rPr>
          <w:rFonts w:hint="eastAsia" w:eastAsia="方正仿宋_GBK"/>
          <w:color w:val="000000"/>
          <w:sz w:val="28"/>
        </w:rPr>
        <w:t>万元，公务接待费</w:t>
      </w:r>
      <w:r>
        <w:rPr>
          <w:rFonts w:eastAsia="方正仿宋_GBK"/>
          <w:color w:val="000000"/>
          <w:sz w:val="28"/>
        </w:rPr>
        <w:t>2.</w:t>
      </w:r>
      <w:r>
        <w:rPr>
          <w:rFonts w:hint="eastAsia" w:eastAsia="方正仿宋_GBK"/>
          <w:color w:val="000000"/>
          <w:sz w:val="28"/>
        </w:rPr>
        <w:t>3</w:t>
      </w:r>
      <w:r>
        <w:rPr>
          <w:rFonts w:eastAsia="方正仿宋_GBK"/>
          <w:color w:val="000000"/>
          <w:sz w:val="28"/>
        </w:rPr>
        <w:t>4</w:t>
      </w:r>
      <w:r>
        <w:rPr>
          <w:rFonts w:hint="eastAsia" w:eastAsia="方正仿宋_GBK"/>
          <w:color w:val="000000"/>
          <w:sz w:val="28"/>
        </w:rPr>
        <w:t>万元，无因公出国（境）费。</w:t>
      </w:r>
    </w:p>
    <w:p>
      <w:pPr>
        <w:spacing w:line="500" w:lineRule="exact"/>
        <w:ind w:firstLine="560"/>
        <w:rPr>
          <w:rFonts w:eastAsia="方正仿宋_GBK"/>
          <w:color w:val="000000"/>
          <w:sz w:val="28"/>
          <w:lang w:eastAsia="zh-CN"/>
        </w:rPr>
      </w:pPr>
      <w:r>
        <w:rPr>
          <w:rFonts w:eastAsia="方正仿宋_GBK"/>
          <w:color w:val="000000"/>
          <w:sz w:val="28"/>
        </w:rPr>
        <w:t>2023</w:t>
      </w:r>
      <w:r>
        <w:rPr>
          <w:rFonts w:hint="eastAsia" w:eastAsia="方正仿宋_GBK"/>
          <w:color w:val="000000"/>
          <w:sz w:val="28"/>
        </w:rPr>
        <w:t>年“三公经费”总额</w:t>
      </w:r>
      <w:r>
        <w:rPr>
          <w:rFonts w:hint="eastAsia" w:eastAsia="方正仿宋_GBK"/>
          <w:color w:val="000000"/>
          <w:sz w:val="28"/>
          <w:lang w:eastAsia="zh-CN"/>
        </w:rPr>
        <w:t>比</w:t>
      </w:r>
      <w:r>
        <w:rPr>
          <w:rFonts w:eastAsia="方正仿宋_GBK"/>
          <w:color w:val="000000"/>
          <w:sz w:val="28"/>
        </w:rPr>
        <w:t>20</w:t>
      </w:r>
      <w:r>
        <w:rPr>
          <w:rFonts w:hint="eastAsia" w:eastAsia="方正仿宋_GBK"/>
          <w:color w:val="000000"/>
          <w:sz w:val="28"/>
        </w:rPr>
        <w:t>2</w:t>
      </w:r>
      <w:r>
        <w:rPr>
          <w:rFonts w:eastAsia="方正仿宋_GBK"/>
          <w:color w:val="000000"/>
          <w:sz w:val="28"/>
        </w:rPr>
        <w:t>2</w:t>
      </w:r>
      <w:r>
        <w:rPr>
          <w:rFonts w:hint="eastAsia" w:eastAsia="方正仿宋_GBK"/>
          <w:color w:val="000000"/>
          <w:sz w:val="28"/>
        </w:rPr>
        <w:t>年总额</w:t>
      </w:r>
      <w:r>
        <w:rPr>
          <w:rFonts w:hint="eastAsia" w:eastAsia="方正仿宋_GBK"/>
          <w:color w:val="000000"/>
          <w:sz w:val="28"/>
          <w:lang w:eastAsia="zh-CN"/>
        </w:rPr>
        <w:t>减少</w:t>
      </w:r>
      <w:r>
        <w:rPr>
          <w:rFonts w:hint="eastAsia" w:eastAsia="方正仿宋_GBK"/>
          <w:color w:val="000000"/>
          <w:sz w:val="28"/>
        </w:rPr>
        <w:t>。</w:t>
      </w:r>
    </w:p>
    <w:tbl>
      <w:tblPr>
        <w:tblStyle w:val="8"/>
        <w:tblpPr w:leftFromText="180" w:rightFromText="180" w:vertAnchor="text" w:horzAnchor="page" w:tblpX="1913" w:tblpY="138"/>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ascii="仿宋_GB2312" w:hAnsi="宋体" w:eastAsia="仿宋_GB2312"/>
                <w:lang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ascii="仿宋_GB2312" w:hAnsi="宋体" w:eastAsia="仿宋_GB2312"/>
                <w:lang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7</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7</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33"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szCs w:val="21"/>
              </w:rPr>
              <w:t>2.</w:t>
            </w:r>
            <w:r>
              <w:rPr>
                <w:rFonts w:hint="eastAsia" w:ascii="仿宋_GB2312" w:hAnsi="宋体" w:eastAsia="仿宋_GB2312" w:cs="宋体"/>
                <w:szCs w:val="21"/>
              </w:rPr>
              <w:t>34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ascii="仿宋_GB2312" w:hAnsi="宋体" w:eastAsia="仿宋_GB2312" w:cs="宋体"/>
                <w:szCs w:val="21"/>
              </w:rPr>
              <w:t>1.</w:t>
            </w:r>
            <w:r>
              <w:rPr>
                <w:rFonts w:hint="eastAsia" w:ascii="仿宋_GB2312" w:hAnsi="宋体" w:eastAsia="仿宋_GB2312" w:cs="宋体"/>
                <w:szCs w:val="21"/>
              </w:rPr>
              <w:t>34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eastAsia="仿宋_GB2312" w:cs="宋体" w:asciiTheme="minorHAnsi" w:hAnsiTheme="minorHAnsi"/>
                <w:lang w:val="uk-UA" w:eastAsia="zh-CN"/>
              </w:rPr>
            </w:pPr>
            <w:r>
              <w:rPr>
                <w:rFonts w:hint="eastAsia" w:ascii="仿宋_GB2312" w:hAnsi="宋体" w:eastAsia="仿宋_GB2312"/>
                <w:lang w:eastAsia="zh-CN"/>
              </w:rPr>
              <w:t>节俭开支</w:t>
            </w:r>
          </w:p>
        </w:tc>
      </w:tr>
      <w:tr>
        <w:tblPrEx>
          <w:tblCellMar>
            <w:top w:w="0" w:type="dxa"/>
            <w:left w:w="108" w:type="dxa"/>
            <w:bottom w:w="0" w:type="dxa"/>
            <w:right w:w="108" w:type="dxa"/>
          </w:tblCellMar>
        </w:tblPrEx>
        <w:trPr>
          <w:trHeight w:val="557"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9.34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ascii="仿宋_GB2312" w:hAnsi="宋体" w:eastAsia="仿宋_GB2312"/>
                <w:lang w:eastAsia="zh-CN"/>
              </w:rPr>
              <w:t>8</w:t>
            </w:r>
            <w:r>
              <w:rPr>
                <w:rFonts w:hint="eastAsia" w:ascii="仿宋_GB2312" w:hAnsi="宋体" w:eastAsia="仿宋_GB2312"/>
                <w:lang w:eastAsia="zh-CN"/>
              </w:rPr>
              <w:t>.34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lang w:eastAsia="zh-CN"/>
              </w:rPr>
              <w:t>节俭开支</w:t>
            </w:r>
          </w:p>
        </w:tc>
      </w:tr>
    </w:tbl>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val="uk-UA" w:eastAsia="zh-CN"/>
        </w:rPr>
      </w:pPr>
    </w:p>
    <w:p>
      <w:pPr>
        <w:pStyle w:val="24"/>
      </w:pPr>
    </w:p>
    <w:p>
      <w:pPr>
        <w:spacing w:before="10" w:after="10" w:line="360" w:lineRule="auto"/>
        <w:ind w:firstLine="640"/>
        <w:outlineLvl w:val="2"/>
        <w:rPr>
          <w:rFonts w:eastAsia="黑体" w:cs="黑体" w:asciiTheme="minorHAnsi" w:hAnsiTheme="minorHAnsi"/>
          <w:color w:val="000000"/>
          <w:sz w:val="32"/>
          <w:lang w:val="uk-UA"/>
        </w:rPr>
      </w:pPr>
      <w:bookmarkStart w:id="12" w:name="_Toc_3_3_0000000014"/>
    </w:p>
    <w:p>
      <w:pPr>
        <w:spacing w:before="10" w:after="10" w:line="360" w:lineRule="auto"/>
        <w:ind w:firstLine="640"/>
        <w:outlineLvl w:val="2"/>
        <w:rPr>
          <w:rFonts w:eastAsia="黑体" w:cs="黑体" w:asciiTheme="minorHAnsi" w:hAnsiTheme="minorHAnsi"/>
          <w:color w:val="000000"/>
          <w:sz w:val="32"/>
          <w:lang w:val="uk-UA"/>
        </w:rPr>
      </w:pPr>
    </w:p>
    <w:p>
      <w:pPr>
        <w:spacing w:before="10" w:after="10" w:line="360" w:lineRule="auto"/>
        <w:ind w:firstLine="640"/>
        <w:outlineLvl w:val="2"/>
      </w:pPr>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00" w:lineRule="exact"/>
        <w:ind w:firstLine="560"/>
        <w:rPr>
          <w:rFonts w:eastAsia="方正仿宋_GBK"/>
          <w:color w:val="000000"/>
          <w:sz w:val="28"/>
        </w:rPr>
      </w:pPr>
      <w:r>
        <w:rPr>
          <w:rFonts w:hint="eastAsia" w:eastAsia="方正仿宋_GBK"/>
          <w:color w:val="000000"/>
          <w:sz w:val="28"/>
        </w:rPr>
        <w:t>以党的十九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hint="eastAsia" w:eastAsia="方正仿宋_GBK"/>
          <w:color w:val="000000"/>
          <w:sz w:val="28"/>
        </w:rPr>
        <w:t>二、分项绩效目标</w:t>
      </w:r>
      <w:r>
        <w:rPr>
          <w:rFonts w:eastAsia="方正仿宋_GBK"/>
          <w:color w:val="000000"/>
          <w:sz w:val="28"/>
        </w:rPr>
        <w:fldChar w:fldCharType="begin"/>
      </w:r>
      <w:r>
        <w:rPr>
          <w:rFonts w:eastAsia="方正仿宋_GBK"/>
          <w:color w:val="000000"/>
          <w:sz w:val="28"/>
        </w:rPr>
        <w:instrText xml:space="preserve">tc "</w:instrText>
      </w:r>
      <w:bookmarkStart w:id="13" w:name="_Toc30001316"/>
      <w:r>
        <w:rPr>
          <w:rFonts w:hint="eastAsia" w:eastAsia="方正仿宋_GBK"/>
          <w:color w:val="000000"/>
          <w:sz w:val="28"/>
        </w:rPr>
        <w:instrText xml:space="preserve">分项绩效目标</w:instrText>
      </w:r>
      <w:bookmarkEnd w:id="13"/>
      <w:r>
        <w:rPr>
          <w:rFonts w:eastAsia="方正仿宋_GBK"/>
          <w:color w:val="000000"/>
          <w:sz w:val="28"/>
        </w:rPr>
        <w:instrText xml:space="preserve">" \f A \l 001</w:instrText>
      </w:r>
      <w:r>
        <w:rPr>
          <w:rFonts w:eastAsia="方正仿宋_GBK"/>
          <w:color w:val="000000"/>
          <w:sz w:val="28"/>
        </w:rPr>
        <w:fldChar w:fldCharType="end"/>
      </w:r>
    </w:p>
    <w:p>
      <w:pPr>
        <w:spacing w:line="500" w:lineRule="exact"/>
        <w:ind w:firstLine="560"/>
        <w:rPr>
          <w:rFonts w:eastAsia="方正仿宋_GBK"/>
          <w:color w:val="000000"/>
          <w:sz w:val="28"/>
        </w:rPr>
      </w:pPr>
      <w:r>
        <w:rPr>
          <w:rFonts w:hint="eastAsia" w:eastAsia="方正仿宋_GBK"/>
          <w:color w:val="000000"/>
          <w:sz w:val="28"/>
        </w:rPr>
        <w:t>（一）党的基层组织建设</w:t>
      </w:r>
    </w:p>
    <w:p>
      <w:pPr>
        <w:spacing w:line="500" w:lineRule="exact"/>
        <w:ind w:firstLine="560"/>
        <w:rPr>
          <w:rFonts w:eastAsia="方正仿宋_GBK"/>
          <w:color w:val="000000"/>
          <w:sz w:val="28"/>
        </w:rPr>
      </w:pPr>
      <w:r>
        <w:rPr>
          <w:rFonts w:hint="eastAsia" w:eastAsia="方正仿宋_GBK"/>
          <w:color w:val="000000"/>
          <w:sz w:val="28"/>
        </w:rPr>
        <w:t>绩效目标：党的基层组织建设、党的纪律检查工作；机关日常党务、政务协调管理；人大、群团、武装等相关工作。</w:t>
      </w:r>
    </w:p>
    <w:p>
      <w:pPr>
        <w:spacing w:line="500" w:lineRule="exact"/>
        <w:ind w:firstLine="560"/>
        <w:rPr>
          <w:rFonts w:eastAsia="方正仿宋_GBK"/>
          <w:color w:val="000000"/>
          <w:sz w:val="28"/>
        </w:rPr>
      </w:pPr>
      <w:r>
        <w:rPr>
          <w:rFonts w:hint="eastAsia" w:eastAsia="方正仿宋_GBK"/>
          <w:color w:val="000000"/>
          <w:sz w:val="28"/>
        </w:rPr>
        <w:t>绩效指标：落实村级补助专项资金，确保农村党的基层组织正常运转。</w:t>
      </w:r>
    </w:p>
    <w:p>
      <w:pPr>
        <w:spacing w:line="500" w:lineRule="exact"/>
        <w:ind w:firstLine="560"/>
        <w:rPr>
          <w:rFonts w:eastAsia="方正仿宋_GBK"/>
          <w:color w:val="000000"/>
          <w:sz w:val="28"/>
        </w:rPr>
      </w:pPr>
      <w:r>
        <w:rPr>
          <w:rFonts w:hint="eastAsia" w:eastAsia="方正仿宋_GBK"/>
          <w:color w:val="000000"/>
          <w:sz w:val="28"/>
        </w:rPr>
        <w:t>（二）食品安全工作</w:t>
      </w:r>
    </w:p>
    <w:p>
      <w:pPr>
        <w:spacing w:line="500" w:lineRule="exact"/>
        <w:ind w:firstLine="560"/>
        <w:rPr>
          <w:rFonts w:eastAsia="方正仿宋_GBK"/>
          <w:color w:val="000000"/>
          <w:sz w:val="28"/>
        </w:rPr>
      </w:pPr>
      <w:r>
        <w:rPr>
          <w:rFonts w:hint="eastAsia" w:eastAsia="方正仿宋_GBK"/>
          <w:color w:val="000000"/>
          <w:sz w:val="28"/>
        </w:rPr>
        <w:t>绩效目标：落实食品生产经营者主体责任，严格监管食品生产经营活动，严厉惩处涉及食品安全的违法犯罪行为。</w:t>
      </w:r>
    </w:p>
    <w:p>
      <w:pPr>
        <w:spacing w:line="500" w:lineRule="exact"/>
        <w:ind w:firstLine="560"/>
        <w:rPr>
          <w:rFonts w:eastAsia="方正仿宋_GBK"/>
          <w:color w:val="000000"/>
          <w:sz w:val="28"/>
        </w:rPr>
      </w:pPr>
      <w:r>
        <w:rPr>
          <w:rFonts w:hint="eastAsia" w:eastAsia="方正仿宋_GBK"/>
          <w:color w:val="000000"/>
          <w:sz w:val="28"/>
        </w:rPr>
        <w:t>绩效指标：组织宣传活动次数不少于</w:t>
      </w:r>
      <w:r>
        <w:rPr>
          <w:rFonts w:eastAsia="方正仿宋_GBK"/>
          <w:color w:val="000000"/>
          <w:sz w:val="28"/>
        </w:rPr>
        <w:t>5</w:t>
      </w:r>
      <w:r>
        <w:rPr>
          <w:rFonts w:hint="eastAsia" w:eastAsia="方正仿宋_GBK"/>
          <w:color w:val="000000"/>
          <w:sz w:val="28"/>
        </w:rPr>
        <w:t>次，抽查对象的数量占全部对象的比率大于等于</w:t>
      </w:r>
      <w:r>
        <w:rPr>
          <w:rFonts w:eastAsia="方正仿宋_GBK"/>
          <w:color w:val="000000"/>
          <w:sz w:val="28"/>
        </w:rPr>
        <w:t>85%</w:t>
      </w:r>
      <w:r>
        <w:rPr>
          <w:rFonts w:hint="eastAsia" w:eastAsia="方正仿宋_GBK"/>
          <w:color w:val="000000"/>
          <w:sz w:val="28"/>
        </w:rPr>
        <w:t>，通过对食品安全的监管，确保本地区食品安全，接受食品安全监管的人群对食品安全监管工作的满意程度大于等于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（三）农村文化建设</w:t>
      </w:r>
    </w:p>
    <w:p>
      <w:pPr>
        <w:spacing w:line="500" w:lineRule="exact"/>
        <w:ind w:firstLine="560"/>
        <w:rPr>
          <w:rFonts w:eastAsia="方正仿宋_GBK"/>
          <w:color w:val="000000"/>
          <w:sz w:val="28"/>
        </w:rPr>
      </w:pPr>
      <w:r>
        <w:rPr>
          <w:rFonts w:hint="eastAsia" w:eastAsia="方正仿宋_GBK"/>
          <w:color w:val="000000"/>
          <w:sz w:val="28"/>
        </w:rPr>
        <w:t>绩效目标：坚持先进文化前进方向，全面广泛地开展群众文化活动，繁荣农民群众精神文化生活，规范管理文化活动专项资金确保专款专用，最大限度发挥和提高资金的使用效益。</w:t>
      </w:r>
    </w:p>
    <w:p>
      <w:pPr>
        <w:spacing w:line="500" w:lineRule="exact"/>
        <w:ind w:firstLine="560"/>
        <w:rPr>
          <w:rFonts w:eastAsia="方正仿宋_GBK"/>
          <w:color w:val="000000"/>
          <w:sz w:val="28"/>
        </w:rPr>
      </w:pPr>
      <w:r>
        <w:rPr>
          <w:rFonts w:hint="eastAsia" w:eastAsia="方正仿宋_GBK"/>
          <w:color w:val="000000"/>
          <w:sz w:val="28"/>
        </w:rPr>
        <w:t>绩效指标：各类公共文化服务活动组织开展的数量不少于</w:t>
      </w:r>
      <w:r>
        <w:rPr>
          <w:rFonts w:eastAsia="方正仿宋_GBK"/>
          <w:color w:val="000000"/>
          <w:sz w:val="28"/>
        </w:rPr>
        <w:t>10</w:t>
      </w:r>
      <w:r>
        <w:rPr>
          <w:rFonts w:hint="eastAsia" w:eastAsia="方正仿宋_GBK"/>
          <w:color w:val="000000"/>
          <w:sz w:val="28"/>
        </w:rPr>
        <w:t>次，文化设施达标率大于等于</w:t>
      </w:r>
      <w:r>
        <w:rPr>
          <w:rFonts w:eastAsia="方正仿宋_GBK"/>
          <w:color w:val="000000"/>
          <w:sz w:val="28"/>
        </w:rPr>
        <w:t>85%</w:t>
      </w:r>
      <w:r>
        <w:rPr>
          <w:rFonts w:hint="eastAsia" w:eastAsia="方正仿宋_GBK"/>
          <w:color w:val="000000"/>
          <w:sz w:val="28"/>
        </w:rPr>
        <w:t>，收藏及保管物品完好率大于等于</w:t>
      </w:r>
      <w:r>
        <w:rPr>
          <w:rFonts w:eastAsia="方正仿宋_GBK"/>
          <w:color w:val="000000"/>
          <w:sz w:val="28"/>
        </w:rPr>
        <w:t>85%</w:t>
      </w:r>
      <w:r>
        <w:rPr>
          <w:rFonts w:hint="eastAsia" w:eastAsia="方正仿宋_GBK"/>
          <w:color w:val="000000"/>
          <w:sz w:val="28"/>
        </w:rPr>
        <w:t>，通过支持重点宣传文化项目建设，带动全县宣传文化事业发展，群众对当年农村文化活动开展整体满意度大于等于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（四）乡镇纪律检查</w:t>
      </w:r>
    </w:p>
    <w:p>
      <w:pPr>
        <w:spacing w:line="500" w:lineRule="exact"/>
        <w:ind w:firstLine="560"/>
        <w:rPr>
          <w:rFonts w:eastAsia="方正仿宋_GBK"/>
          <w:color w:val="000000"/>
          <w:sz w:val="28"/>
        </w:rPr>
      </w:pPr>
      <w:r>
        <w:rPr>
          <w:rFonts w:hint="eastAsia" w:eastAsia="方正仿宋_GBK"/>
          <w:color w:val="000000"/>
          <w:sz w:val="28"/>
        </w:rPr>
        <w:t>绩效目标：认真落实纪检部门各项任务，加强监督检查，促进党风廉政建设。</w:t>
      </w:r>
    </w:p>
    <w:p>
      <w:pPr>
        <w:spacing w:line="500" w:lineRule="exact"/>
        <w:ind w:firstLine="560"/>
        <w:rPr>
          <w:rFonts w:eastAsia="方正仿宋_GBK"/>
          <w:color w:val="000000"/>
          <w:sz w:val="28"/>
        </w:rPr>
      </w:pPr>
      <w:r>
        <w:rPr>
          <w:rFonts w:hint="eastAsia" w:eastAsia="方正仿宋_GBK"/>
          <w:color w:val="000000"/>
          <w:sz w:val="28"/>
        </w:rPr>
        <w:t>绩效指标：组织召开监督检查会议的次数不少于</w:t>
      </w:r>
      <w:r>
        <w:rPr>
          <w:rFonts w:eastAsia="方正仿宋_GBK"/>
          <w:color w:val="000000"/>
          <w:sz w:val="28"/>
        </w:rPr>
        <w:t>5</w:t>
      </w:r>
      <w:r>
        <w:rPr>
          <w:rFonts w:hint="eastAsia" w:eastAsia="方正仿宋_GBK"/>
          <w:color w:val="000000"/>
          <w:sz w:val="28"/>
        </w:rPr>
        <w:t>次，办结案件数量占立案案件总数的比率大于</w:t>
      </w:r>
      <w:r>
        <w:rPr>
          <w:rFonts w:eastAsia="方正仿宋_GBK"/>
          <w:color w:val="000000"/>
          <w:sz w:val="28"/>
        </w:rPr>
        <w:t>85%</w:t>
      </w:r>
      <w:r>
        <w:rPr>
          <w:rFonts w:eastAsia="方正仿宋_GBK"/>
          <w:color w:val="000000"/>
          <w:sz w:val="28"/>
        </w:rPr>
        <w:tab/>
      </w:r>
      <w:r>
        <w:rPr>
          <w:rFonts w:hint="eastAsia" w:eastAsia="方正仿宋_GBK"/>
          <w:color w:val="000000"/>
          <w:sz w:val="28"/>
        </w:rPr>
        <w:t>，问题整改率大于等于</w:t>
      </w:r>
      <w:r>
        <w:rPr>
          <w:rFonts w:eastAsia="方正仿宋_GBK"/>
          <w:color w:val="000000"/>
          <w:sz w:val="28"/>
        </w:rPr>
        <w:t>85%</w:t>
      </w:r>
      <w:r>
        <w:rPr>
          <w:rFonts w:hint="eastAsia" w:eastAsia="方正仿宋_GBK"/>
          <w:color w:val="000000"/>
          <w:sz w:val="28"/>
        </w:rPr>
        <w:t>，通过实施纪检监督政策促进社会稳定水平逐步提高，群众对当年纪检监督工作的整体满意度大于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（五）综合治理及信访稳定</w:t>
      </w:r>
    </w:p>
    <w:p>
      <w:pPr>
        <w:spacing w:line="500" w:lineRule="exact"/>
        <w:ind w:firstLine="560"/>
        <w:rPr>
          <w:rFonts w:eastAsia="方正仿宋_GBK"/>
          <w:color w:val="000000"/>
          <w:sz w:val="28"/>
        </w:rPr>
      </w:pPr>
      <w:r>
        <w:rPr>
          <w:rFonts w:hint="eastAsia" w:eastAsia="方正仿宋_GBK"/>
          <w:color w:val="000000"/>
          <w:sz w:val="28"/>
        </w:rPr>
        <w:t>绩效目标：加强综合治理，妥善处理突发性、群体性事件，调节和处理好各种利益矛盾和纠纷；落实各项管理措施，维护农村社会稳定；负责本乡镇的普法宣传教育及法律服务；负责信访稳定工作。</w:t>
      </w:r>
    </w:p>
    <w:p>
      <w:pPr>
        <w:spacing w:line="500" w:lineRule="exact"/>
        <w:ind w:firstLine="560"/>
        <w:rPr>
          <w:rFonts w:eastAsia="方正仿宋_GBK"/>
          <w:color w:val="000000"/>
          <w:sz w:val="28"/>
        </w:rPr>
      </w:pPr>
      <w:r>
        <w:rPr>
          <w:rFonts w:hint="eastAsia" w:eastAsia="方正仿宋_GBK"/>
          <w:color w:val="000000"/>
          <w:sz w:val="28"/>
        </w:rPr>
        <w:t>绩效指标：重点人员稳控率大于等于</w:t>
      </w:r>
      <w:r>
        <w:rPr>
          <w:rFonts w:eastAsia="方正仿宋_GBK"/>
          <w:color w:val="000000"/>
          <w:sz w:val="28"/>
        </w:rPr>
        <w:t>85%</w:t>
      </w:r>
      <w:r>
        <w:rPr>
          <w:rFonts w:hint="eastAsia" w:eastAsia="方正仿宋_GBK"/>
          <w:color w:val="000000"/>
          <w:sz w:val="28"/>
        </w:rPr>
        <w:t>，重大安保任务完成率大于等于</w:t>
      </w:r>
      <w:r>
        <w:rPr>
          <w:rFonts w:eastAsia="方正仿宋_GBK"/>
          <w:color w:val="000000"/>
          <w:sz w:val="28"/>
        </w:rPr>
        <w:t>85%</w:t>
      </w:r>
      <w:r>
        <w:rPr>
          <w:rFonts w:hint="eastAsia" w:eastAsia="方正仿宋_GBK"/>
          <w:color w:val="000000"/>
          <w:sz w:val="28"/>
        </w:rPr>
        <w:t>，退役安置满意度大于等于</w:t>
      </w:r>
      <w:r>
        <w:rPr>
          <w:rFonts w:eastAsia="方正仿宋_GBK"/>
          <w:color w:val="000000"/>
          <w:sz w:val="28"/>
        </w:rPr>
        <w:t>85%</w:t>
      </w:r>
      <w:r>
        <w:rPr>
          <w:rFonts w:eastAsia="方正仿宋_GBK"/>
          <w:color w:val="000000"/>
          <w:sz w:val="28"/>
        </w:rPr>
        <w:tab/>
      </w:r>
      <w:r>
        <w:rPr>
          <w:rFonts w:hint="eastAsia" w:eastAsia="方正仿宋_GBK"/>
          <w:color w:val="000000"/>
          <w:sz w:val="28"/>
        </w:rPr>
        <w:t>，通过维稳工作开展，促进社会稳定水平逐步提高，群众满意度大于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（六）乡镇办公用房修缮</w:t>
      </w:r>
    </w:p>
    <w:p>
      <w:pPr>
        <w:spacing w:line="500" w:lineRule="exact"/>
        <w:ind w:firstLine="560"/>
        <w:rPr>
          <w:rFonts w:eastAsia="方正仿宋_GBK"/>
          <w:color w:val="000000"/>
          <w:sz w:val="28"/>
        </w:rPr>
      </w:pPr>
      <w:r>
        <w:rPr>
          <w:rFonts w:hint="eastAsia" w:eastAsia="方正仿宋_GBK"/>
          <w:color w:val="000000"/>
          <w:sz w:val="28"/>
        </w:rPr>
        <w:t>绩效目标：按照乡镇办公需求实施办公用房修缮工作，提供安全、必要的办公条件。</w:t>
      </w:r>
    </w:p>
    <w:p>
      <w:pPr>
        <w:spacing w:line="500" w:lineRule="exact"/>
        <w:ind w:firstLine="560"/>
        <w:rPr>
          <w:rFonts w:eastAsia="方正仿宋_GBK"/>
          <w:color w:val="000000"/>
          <w:sz w:val="28"/>
        </w:rPr>
      </w:pPr>
      <w:r>
        <w:rPr>
          <w:rFonts w:hint="eastAsia" w:eastAsia="方正仿宋_GBK"/>
          <w:color w:val="000000"/>
          <w:sz w:val="28"/>
        </w:rPr>
        <w:t>绩效指标：修缮项目完成率大于等于</w:t>
      </w:r>
      <w:r>
        <w:rPr>
          <w:rFonts w:eastAsia="方正仿宋_GBK"/>
          <w:color w:val="000000"/>
          <w:sz w:val="28"/>
        </w:rPr>
        <w:tab/>
      </w:r>
      <w:r>
        <w:rPr>
          <w:rFonts w:eastAsia="方正仿宋_GBK"/>
          <w:color w:val="000000"/>
          <w:sz w:val="28"/>
        </w:rPr>
        <w:t>85%</w:t>
      </w:r>
      <w:r>
        <w:rPr>
          <w:rFonts w:hint="eastAsia" w:eastAsia="方正仿宋_GBK"/>
          <w:color w:val="000000"/>
          <w:sz w:val="28"/>
        </w:rPr>
        <w:t>，修缮项目验收合格率大于等于</w:t>
      </w:r>
      <w:r>
        <w:rPr>
          <w:rFonts w:eastAsia="方正仿宋_GBK"/>
          <w:color w:val="000000"/>
          <w:sz w:val="28"/>
        </w:rPr>
        <w:t>85%</w:t>
      </w:r>
      <w:r>
        <w:rPr>
          <w:rFonts w:eastAsia="方正仿宋_GBK"/>
          <w:color w:val="000000"/>
          <w:sz w:val="28"/>
        </w:rPr>
        <w:tab/>
      </w:r>
      <w:r>
        <w:rPr>
          <w:rFonts w:hint="eastAsia" w:eastAsia="方正仿宋_GBK"/>
          <w:color w:val="000000"/>
          <w:sz w:val="28"/>
        </w:rPr>
        <w:t>，公共服务水平提升情况大于</w:t>
      </w:r>
      <w:r>
        <w:rPr>
          <w:rFonts w:eastAsia="方正仿宋_GBK"/>
          <w:color w:val="000000"/>
          <w:sz w:val="28"/>
        </w:rPr>
        <w:t>85%</w:t>
      </w:r>
      <w:r>
        <w:rPr>
          <w:rFonts w:hint="eastAsia" w:eastAsia="方正仿宋_GBK"/>
          <w:color w:val="000000"/>
          <w:sz w:val="28"/>
        </w:rPr>
        <w:t>，修缮后办公设施改善情况大于等于</w:t>
      </w:r>
      <w:r>
        <w:rPr>
          <w:rFonts w:eastAsia="方正仿宋_GBK"/>
          <w:color w:val="000000"/>
          <w:sz w:val="28"/>
        </w:rPr>
        <w:t>85%</w:t>
      </w:r>
      <w:r>
        <w:rPr>
          <w:rFonts w:hint="eastAsia" w:eastAsia="方正仿宋_GBK"/>
          <w:color w:val="000000"/>
          <w:sz w:val="28"/>
        </w:rPr>
        <w:t>。乡镇工作人员对修缮后的办公设备器材的满意度大于等于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（七）财政所工作</w:t>
      </w:r>
    </w:p>
    <w:p>
      <w:pPr>
        <w:spacing w:line="500" w:lineRule="exact"/>
        <w:ind w:firstLine="560"/>
        <w:rPr>
          <w:rFonts w:eastAsia="方正仿宋_GBK"/>
          <w:color w:val="000000"/>
          <w:sz w:val="28"/>
        </w:rPr>
      </w:pPr>
      <w:r>
        <w:rPr>
          <w:rFonts w:hint="eastAsia" w:eastAsia="方正仿宋_GBK"/>
          <w:color w:val="000000"/>
          <w:sz w:val="28"/>
        </w:rPr>
        <w:t>绩效目标：配合乡镇完成各项上级财政拨款，落实到位，保障惠民政策落实到位，做好财政国库支付电子化工作。</w:t>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绩效指标：项目资金有效使用率大于等于</w:t>
      </w:r>
      <w:r>
        <w:rPr>
          <w:rFonts w:eastAsia="方正仿宋_GBK"/>
          <w:color w:val="000000"/>
          <w:sz w:val="28"/>
        </w:rPr>
        <w:t>85%</w:t>
      </w:r>
      <w:r>
        <w:rPr>
          <w:rFonts w:eastAsia="方正仿宋_GBK"/>
          <w:color w:val="000000"/>
          <w:sz w:val="28"/>
        </w:rPr>
        <w:tab/>
      </w:r>
      <w:r>
        <w:rPr>
          <w:rFonts w:hint="eastAsia" w:eastAsia="方正仿宋_GBK"/>
          <w:color w:val="000000"/>
          <w:sz w:val="28"/>
        </w:rPr>
        <w:t>，财政所工作开展完成率大于</w:t>
      </w:r>
      <w:r>
        <w:rPr>
          <w:rFonts w:eastAsia="方正仿宋_GBK"/>
          <w:color w:val="000000"/>
          <w:sz w:val="28"/>
        </w:rPr>
        <w:t>85%</w:t>
      </w:r>
      <w:r>
        <w:rPr>
          <w:rFonts w:hint="eastAsia" w:eastAsia="方正仿宋_GBK"/>
          <w:color w:val="000000"/>
          <w:sz w:val="28"/>
        </w:rPr>
        <w:t>，通过开展乡镇财政工作促进乡镇经济逐步提高，接受财政所服务的人群对财政所提供服务的满意程度大于等于</w:t>
      </w:r>
      <w:r>
        <w:rPr>
          <w:rFonts w:eastAsia="方正仿宋_GBK"/>
          <w:color w:val="000000"/>
          <w:sz w:val="28"/>
        </w:rPr>
        <w:t>85%</w:t>
      </w:r>
      <w:r>
        <w:rPr>
          <w:rFonts w:eastAsia="方正仿宋_GBK"/>
          <w:color w:val="000000"/>
          <w:sz w:val="28"/>
        </w:rPr>
        <w:tab/>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（八）团委工作</w:t>
      </w:r>
    </w:p>
    <w:p>
      <w:pPr>
        <w:spacing w:line="500" w:lineRule="exact"/>
        <w:ind w:firstLine="560"/>
        <w:rPr>
          <w:rFonts w:eastAsia="方正仿宋_GBK"/>
          <w:color w:val="000000"/>
          <w:sz w:val="28"/>
        </w:rPr>
      </w:pPr>
      <w:r>
        <w:rPr>
          <w:rFonts w:hint="eastAsia" w:eastAsia="方正仿宋_GBK"/>
          <w:color w:val="000000"/>
          <w:sz w:val="28"/>
        </w:rPr>
        <w:t>绩效目标：科学地继承和发扬共青团的优良传统，创新团的工作，找准新时代的中心定位，把各项改革措施不折不扣落实到位。</w:t>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绩效指标：在新闻媒体开办宣传专栏的数量不少于</w:t>
      </w:r>
      <w:r>
        <w:rPr>
          <w:rFonts w:eastAsia="方正仿宋_GBK"/>
          <w:color w:val="000000"/>
          <w:sz w:val="28"/>
        </w:rPr>
        <w:t>5</w:t>
      </w:r>
      <w:r>
        <w:rPr>
          <w:rFonts w:hint="eastAsia" w:eastAsia="方正仿宋_GBK"/>
          <w:color w:val="000000"/>
          <w:sz w:val="28"/>
        </w:rPr>
        <w:t>个，制作宣传品的数量不少于</w:t>
      </w:r>
      <w:r>
        <w:rPr>
          <w:rFonts w:eastAsia="方正仿宋_GBK"/>
          <w:color w:val="000000"/>
          <w:sz w:val="28"/>
        </w:rPr>
        <w:t>2000</w:t>
      </w:r>
      <w:r>
        <w:rPr>
          <w:rFonts w:hint="eastAsia" w:eastAsia="方正仿宋_GBK"/>
          <w:color w:val="000000"/>
          <w:sz w:val="28"/>
        </w:rPr>
        <w:t>份，参与决策咨询活动次数不少于</w:t>
      </w:r>
      <w:r>
        <w:rPr>
          <w:rFonts w:eastAsia="方正仿宋_GBK"/>
          <w:color w:val="000000"/>
          <w:sz w:val="28"/>
        </w:rPr>
        <w:t>5</w:t>
      </w:r>
      <w:r>
        <w:rPr>
          <w:rFonts w:eastAsia="方正仿宋_GBK"/>
          <w:color w:val="000000"/>
          <w:sz w:val="28"/>
        </w:rPr>
        <w:tab/>
      </w:r>
      <w:r>
        <w:rPr>
          <w:rFonts w:hint="eastAsia" w:eastAsia="方正仿宋_GBK"/>
          <w:color w:val="000000"/>
          <w:sz w:val="28"/>
        </w:rPr>
        <w:t>次，在本地区产生的重要影响，得到广大受众的充分认可，群众对团委工作的整体满意度大于等于</w:t>
      </w:r>
      <w:r>
        <w:rPr>
          <w:rFonts w:eastAsia="方正仿宋_GBK"/>
          <w:color w:val="000000"/>
          <w:sz w:val="28"/>
        </w:rPr>
        <w:t>85%</w:t>
      </w:r>
      <w:r>
        <w:rPr>
          <w:rFonts w:hint="eastAsia" w:eastAsia="方正仿宋_GBK"/>
          <w:color w:val="000000"/>
          <w:sz w:val="28"/>
        </w:rPr>
        <w:t>。</w:t>
      </w:r>
      <w:r>
        <w:rPr>
          <w:rFonts w:eastAsia="方正仿宋_GBK"/>
          <w:color w:val="000000"/>
          <w:sz w:val="28"/>
        </w:rPr>
        <w:tab/>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（九）人大主席团活动</w:t>
      </w:r>
    </w:p>
    <w:p>
      <w:pPr>
        <w:spacing w:line="500" w:lineRule="exact"/>
        <w:ind w:firstLine="560"/>
        <w:rPr>
          <w:rFonts w:eastAsia="方正仿宋_GBK"/>
          <w:color w:val="000000"/>
          <w:sz w:val="28"/>
        </w:rPr>
      </w:pPr>
      <w:r>
        <w:rPr>
          <w:rFonts w:hint="eastAsia" w:eastAsia="方正仿宋_GBK"/>
          <w:color w:val="000000"/>
          <w:sz w:val="28"/>
        </w:rPr>
        <w:t>绩效目标：为了更好落实中央</w:t>
      </w:r>
      <w:r>
        <w:rPr>
          <w:rFonts w:eastAsia="方正仿宋_GBK"/>
          <w:color w:val="000000"/>
          <w:sz w:val="28"/>
        </w:rPr>
        <w:t>2015</w:t>
      </w:r>
      <w:r>
        <w:rPr>
          <w:rFonts w:hint="eastAsia" w:eastAsia="方正仿宋_GBK"/>
          <w:color w:val="000000"/>
          <w:sz w:val="28"/>
        </w:rPr>
        <w:t>（</w:t>
      </w:r>
      <w:r>
        <w:rPr>
          <w:rFonts w:eastAsia="方正仿宋_GBK"/>
          <w:color w:val="000000"/>
          <w:sz w:val="28"/>
        </w:rPr>
        <w:t>18</w:t>
      </w:r>
      <w:r>
        <w:rPr>
          <w:rFonts w:hint="eastAsia" w:eastAsia="方正仿宋_GBK"/>
          <w:color w:val="000000"/>
          <w:sz w:val="28"/>
        </w:rPr>
        <w:t>）号文件精神和省委市委落实中央</w:t>
      </w:r>
      <w:r>
        <w:rPr>
          <w:rFonts w:eastAsia="方正仿宋_GBK"/>
          <w:color w:val="000000"/>
          <w:sz w:val="28"/>
        </w:rPr>
        <w:t>18</w:t>
      </w:r>
      <w:r>
        <w:rPr>
          <w:rFonts w:hint="eastAsia" w:eastAsia="方正仿宋_GBK"/>
          <w:color w:val="000000"/>
          <w:sz w:val="28"/>
        </w:rPr>
        <w:t>号文件的意见，切实加强基层人大建设，保障乡人大主席团的正常运转。</w:t>
      </w:r>
    </w:p>
    <w:p>
      <w:pPr>
        <w:spacing w:line="500" w:lineRule="exact"/>
        <w:ind w:firstLine="560"/>
        <w:rPr>
          <w:rFonts w:eastAsia="方正仿宋_GBK"/>
          <w:color w:val="000000"/>
          <w:sz w:val="28"/>
        </w:rPr>
      </w:pPr>
      <w:r>
        <w:rPr>
          <w:rFonts w:hint="eastAsia" w:eastAsia="方正仿宋_GBK"/>
          <w:color w:val="000000"/>
          <w:sz w:val="28"/>
        </w:rPr>
        <w:t>绩效指标：工作经费使用率大于等于</w:t>
      </w:r>
      <w:r>
        <w:rPr>
          <w:rFonts w:eastAsia="方正仿宋_GBK"/>
          <w:color w:val="000000"/>
          <w:sz w:val="28"/>
        </w:rPr>
        <w:t>85%</w:t>
      </w:r>
      <w:r>
        <w:rPr>
          <w:rFonts w:hint="eastAsia" w:eastAsia="方正仿宋_GBK"/>
          <w:color w:val="000000"/>
          <w:sz w:val="28"/>
        </w:rPr>
        <w:t>，工作经费拨付率大于等于</w:t>
      </w:r>
      <w:r>
        <w:rPr>
          <w:rFonts w:eastAsia="方正仿宋_GBK"/>
          <w:color w:val="000000"/>
          <w:sz w:val="28"/>
        </w:rPr>
        <w:t>85%</w:t>
      </w:r>
      <w:r>
        <w:rPr>
          <w:rFonts w:hint="eastAsia" w:eastAsia="方正仿宋_GBK"/>
          <w:color w:val="000000"/>
          <w:sz w:val="28"/>
        </w:rPr>
        <w:t>，参与决策咨询活动次数不少于</w:t>
      </w:r>
      <w:r>
        <w:rPr>
          <w:rFonts w:eastAsia="方正仿宋_GBK"/>
          <w:color w:val="000000"/>
          <w:sz w:val="28"/>
        </w:rPr>
        <w:t>5</w:t>
      </w:r>
      <w:r>
        <w:rPr>
          <w:rFonts w:hint="eastAsia" w:eastAsia="方正仿宋_GBK"/>
          <w:color w:val="000000"/>
          <w:sz w:val="28"/>
        </w:rPr>
        <w:t>次，在本地区产生的重要影响，得到广大受众的充分认可，群众对当年人大主席团工作的整体满意度大于等于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（十）乡镇其他相关工作</w:t>
      </w:r>
    </w:p>
    <w:p>
      <w:pPr>
        <w:spacing w:line="500" w:lineRule="exact"/>
        <w:ind w:firstLine="560"/>
        <w:rPr>
          <w:rFonts w:eastAsia="方正仿宋_GBK"/>
          <w:color w:val="000000"/>
          <w:sz w:val="28"/>
        </w:rPr>
      </w:pPr>
      <w:r>
        <w:rPr>
          <w:rFonts w:hint="eastAsia" w:eastAsia="方正仿宋_GBK"/>
          <w:color w:val="000000"/>
          <w:sz w:val="28"/>
        </w:rPr>
        <w:t>绩效目标：按照县委、县政府统一部署，圆满完成上级交办的乡镇其他相关工作。</w:t>
      </w:r>
    </w:p>
    <w:p>
      <w:pPr>
        <w:spacing w:line="500" w:lineRule="exact"/>
        <w:ind w:firstLine="560"/>
        <w:rPr>
          <w:rFonts w:eastAsia="方正仿宋_GBK"/>
          <w:color w:val="000000"/>
          <w:sz w:val="28"/>
        </w:rPr>
      </w:pPr>
      <w:r>
        <w:rPr>
          <w:rFonts w:hint="eastAsia" w:eastAsia="方正仿宋_GBK"/>
          <w:color w:val="000000"/>
          <w:sz w:val="28"/>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hint="eastAsia" w:eastAsia="方正仿宋_GBK"/>
          <w:color w:val="000000"/>
          <w:sz w:val="28"/>
        </w:rPr>
        <w:t>三、工作保障措施</w:t>
      </w:r>
      <w:r>
        <w:rPr>
          <w:rFonts w:eastAsia="方正仿宋_GBK"/>
          <w:color w:val="000000"/>
          <w:sz w:val="28"/>
        </w:rPr>
        <w:fldChar w:fldCharType="begin"/>
      </w:r>
      <w:r>
        <w:rPr>
          <w:rFonts w:eastAsia="方正仿宋_GBK"/>
          <w:color w:val="000000"/>
          <w:sz w:val="28"/>
        </w:rPr>
        <w:instrText xml:space="preserve">tc "</w:instrText>
      </w:r>
      <w:bookmarkStart w:id="14" w:name="_Toc30001317"/>
      <w:r>
        <w:rPr>
          <w:rFonts w:hint="eastAsia" w:eastAsia="方正仿宋_GBK"/>
          <w:color w:val="000000"/>
          <w:sz w:val="28"/>
        </w:rPr>
        <w:instrText xml:space="preserve">工作保障措施</w:instrText>
      </w:r>
      <w:bookmarkEnd w:id="14"/>
      <w:r>
        <w:rPr>
          <w:rFonts w:eastAsia="方正仿宋_GBK"/>
          <w:color w:val="000000"/>
          <w:sz w:val="28"/>
        </w:rPr>
        <w:instrText xml:space="preserve">" \f A \l 001</w:instrText>
      </w:r>
      <w:r>
        <w:rPr>
          <w:rFonts w:eastAsia="方正仿宋_GBK"/>
          <w:color w:val="000000"/>
          <w:sz w:val="28"/>
        </w:rPr>
        <w:fldChar w:fldCharType="end"/>
      </w:r>
    </w:p>
    <w:p>
      <w:pPr>
        <w:spacing w:line="500" w:lineRule="exact"/>
        <w:ind w:firstLine="560"/>
        <w:rPr>
          <w:rFonts w:eastAsia="方正仿宋_GBK"/>
          <w:color w:val="000000"/>
          <w:sz w:val="28"/>
        </w:rPr>
      </w:pPr>
      <w:r>
        <w:rPr>
          <w:rFonts w:eastAsia="方正仿宋_GBK"/>
          <w:color w:val="000000"/>
          <w:sz w:val="28"/>
        </w:rPr>
        <w:t xml:space="preserve"> </w:t>
      </w:r>
      <w:r>
        <w:rPr>
          <w:rFonts w:hint="eastAsia" w:eastAsia="方正仿宋_GBK"/>
          <w:color w:val="000000"/>
          <w:sz w:val="28"/>
        </w:rPr>
        <w:t>（一）完善制度建设。制定完善本乡镇预算绩效管理制度、资金管理办法、工作保障制度等，为本乡镇全年预算绩效目标的实现奠定制度基础。</w:t>
      </w:r>
    </w:p>
    <w:p>
      <w:pPr>
        <w:spacing w:line="500" w:lineRule="exact"/>
        <w:ind w:firstLine="560"/>
        <w:rPr>
          <w:rFonts w:eastAsia="方正仿宋_GBK"/>
          <w:color w:val="000000"/>
          <w:sz w:val="28"/>
        </w:rPr>
      </w:pPr>
      <w:r>
        <w:rPr>
          <w:rFonts w:hint="eastAsia" w:eastAsia="方正仿宋_GBK"/>
          <w:color w:val="000000"/>
          <w:sz w:val="28"/>
        </w:rPr>
        <w:t>（二）加强支出管理。通过优化支出结构、编细编实预算、加快履行政府采购手续、尽快启动项目、及时支付资金、</w:t>
      </w:r>
      <w:r>
        <w:rPr>
          <w:rFonts w:eastAsia="方正仿宋_GBK"/>
          <w:color w:val="000000"/>
          <w:sz w:val="28"/>
        </w:rPr>
        <w:t>6</w:t>
      </w:r>
      <w:r>
        <w:rPr>
          <w:rFonts w:hint="eastAsia" w:eastAsia="方正仿宋_GBK"/>
          <w:color w:val="000000"/>
          <w:sz w:val="28"/>
        </w:rPr>
        <w:t>月底前细化代编预算、按规定及时下达资金等多种措施，确保支出进度达标。</w:t>
      </w:r>
    </w:p>
    <w:p>
      <w:pPr>
        <w:spacing w:line="500" w:lineRule="exact"/>
        <w:ind w:firstLine="560"/>
        <w:rPr>
          <w:rFonts w:eastAsia="方正仿宋_GBK"/>
          <w:color w:val="000000"/>
          <w:sz w:val="28"/>
        </w:rPr>
      </w:pPr>
      <w:r>
        <w:rPr>
          <w:rFonts w:hint="eastAsia" w:eastAsia="方正仿宋_GBK"/>
          <w:color w:val="000000"/>
          <w:sz w:val="28"/>
        </w:rPr>
        <w:t>（三）加强绩效运行监控。按要求开展绩效运行监控，发现问题及时采取措施，确保绩效目标如期保质实现。</w:t>
      </w:r>
    </w:p>
    <w:p>
      <w:pPr>
        <w:spacing w:line="500" w:lineRule="exact"/>
        <w:ind w:firstLine="560"/>
        <w:rPr>
          <w:rFonts w:eastAsia="方正仿宋_GBK"/>
          <w:color w:val="000000"/>
          <w:sz w:val="28"/>
        </w:rPr>
      </w:pPr>
      <w:r>
        <w:rPr>
          <w:rFonts w:hint="eastAsia" w:eastAsia="方正仿宋_GBK"/>
          <w:color w:val="000000"/>
          <w:sz w:val="28"/>
        </w:rPr>
        <w:t>（四）做好绩效自评。按要求开展上年度部门预算绩效自评和重点评价工作，对评价中发现的问题及时整改，调整优化支出结构，提高财政资金使用效益。</w:t>
      </w:r>
    </w:p>
    <w:p>
      <w:pPr>
        <w:spacing w:line="500" w:lineRule="exact"/>
        <w:ind w:firstLine="560"/>
        <w:rPr>
          <w:rFonts w:eastAsia="方正仿宋_GBK"/>
          <w:color w:val="000000"/>
          <w:sz w:val="28"/>
        </w:rPr>
      </w:pPr>
      <w:r>
        <w:rPr>
          <w:rFonts w:hint="eastAsia" w:eastAsia="方正仿宋_GBK"/>
          <w:color w:val="000000"/>
          <w:sz w:val="28"/>
        </w:rPr>
        <w:t>（五）规范财务资产管理。完善财务管理制度，严格审批程序，加强固定资产登记、使用和报废处置管理，做到支出合理，物尽其用。</w:t>
      </w:r>
    </w:p>
    <w:p>
      <w:pPr>
        <w:spacing w:line="500" w:lineRule="exact"/>
        <w:ind w:firstLine="560"/>
        <w:rPr>
          <w:rFonts w:eastAsia="方正仿宋_GBK"/>
          <w:color w:val="000000"/>
          <w:sz w:val="28"/>
        </w:rPr>
      </w:pPr>
      <w:r>
        <w:rPr>
          <w:rFonts w:hint="eastAsia" w:eastAsia="方正仿宋_GBK"/>
          <w:color w:val="000000"/>
          <w:sz w:val="28"/>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jc w:val="center"/>
      </w:pPr>
      <w:bookmarkStart w:id="15" w:name="_Toc_3_3_0000000015"/>
    </w:p>
    <w:p>
      <w:pPr>
        <w:ind w:firstLine="560"/>
        <w:outlineLvl w:val="3"/>
      </w:pPr>
      <w:bookmarkStart w:id="16" w:name="_Toc_4_4_0000000004"/>
      <w:r>
        <w:rPr>
          <w:rFonts w:ascii="方正仿宋_GBK" w:hAnsi="方正仿宋_GBK" w:eastAsia="方正仿宋_GBK" w:cs="方正仿宋_GBK"/>
          <w:color w:val="000000"/>
          <w:sz w:val="28"/>
        </w:rPr>
        <w:t>1.财政事务工作经费绩效目标表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13062323P007401100199</w:t>
            </w:r>
          </w:p>
        </w:tc>
        <w:tc>
          <w:tcPr>
            <w:tcW w:w="1587" w:type="dxa"/>
            <w:vAlign w:val="center"/>
          </w:tcPr>
          <w:p>
            <w:pPr>
              <w:pStyle w:val="14"/>
            </w:pPr>
            <w:r>
              <w:t>项目名称</w:t>
            </w:r>
          </w:p>
        </w:tc>
        <w:tc>
          <w:tcPr>
            <w:tcW w:w="4422" w:type="dxa"/>
            <w:gridSpan w:val="3"/>
            <w:vAlign w:val="center"/>
          </w:tcPr>
          <w:p>
            <w:pPr>
              <w:pStyle w:val="16"/>
            </w:pPr>
            <w: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w:t>
            </w:r>
          </w:p>
        </w:tc>
        <w:tc>
          <w:tcPr>
            <w:tcW w:w="1587" w:type="dxa"/>
            <w:vAlign w:val="center"/>
          </w:tcPr>
          <w:p>
            <w:pPr>
              <w:pStyle w:val="14"/>
            </w:pPr>
            <w:r>
              <w:t>其中：财政    资金</w:t>
            </w:r>
          </w:p>
        </w:tc>
        <w:tc>
          <w:tcPr>
            <w:tcW w:w="1304" w:type="dxa"/>
            <w:vAlign w:val="center"/>
          </w:tcPr>
          <w:p>
            <w:pPr>
              <w:pStyle w:val="16"/>
            </w:pPr>
            <w:r>
              <w:t>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乡镇管理着辖区内各项惠民政策补贴资金、财政扶贫资金、村级公益事业一事一议奖补资金、农村“三资”委托代理、国库集中支付电子化、乡镇日常预算收支等财政业务工作，财经办承担的业务多，工作量大，为满足工作需求，将财政事务工作经费列入财政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0.25</w:t>
            </w:r>
          </w:p>
        </w:tc>
        <w:tc>
          <w:tcPr>
            <w:tcW w:w="1587" w:type="dxa"/>
            <w:vAlign w:val="center"/>
          </w:tcPr>
          <w:p>
            <w:pPr>
              <w:pStyle w:val="17"/>
            </w:pPr>
            <w:r>
              <w:t>0.50</w:t>
            </w:r>
          </w:p>
        </w:tc>
        <w:tc>
          <w:tcPr>
            <w:tcW w:w="1304" w:type="dxa"/>
            <w:vAlign w:val="center"/>
          </w:tcPr>
          <w:p>
            <w:pPr>
              <w:pStyle w:val="17"/>
            </w:pPr>
            <w:r>
              <w:t>0.75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工作开展完成率（%）</w:t>
            </w:r>
          </w:p>
        </w:tc>
        <w:tc>
          <w:tcPr>
            <w:tcW w:w="2891" w:type="dxa"/>
            <w:vAlign w:val="center"/>
          </w:tcPr>
          <w:p>
            <w:pPr>
              <w:pStyle w:val="16"/>
            </w:pPr>
            <w:r>
              <w:t>工作实际开展占计划工作的比率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保障人员办公</w:t>
            </w:r>
          </w:p>
        </w:tc>
        <w:tc>
          <w:tcPr>
            <w:tcW w:w="2891" w:type="dxa"/>
            <w:vAlign w:val="center"/>
          </w:tcPr>
          <w:p>
            <w:pPr>
              <w:pStyle w:val="16"/>
            </w:pPr>
            <w:r>
              <w:t>能够保障人员日常工作效率。</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05"/>
      <w:r>
        <w:rPr>
          <w:rFonts w:ascii="方正仿宋_GBK" w:hAnsi="方正仿宋_GBK" w:eastAsia="方正仿宋_GBK" w:cs="方正仿宋_GBK"/>
          <w:color w:val="000000"/>
          <w:sz w:val="28"/>
        </w:rPr>
        <w:t>2.纪检经费绩效目标表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13062323P00739810023G</w:t>
            </w:r>
          </w:p>
        </w:tc>
        <w:tc>
          <w:tcPr>
            <w:tcW w:w="1587" w:type="dxa"/>
            <w:vAlign w:val="center"/>
          </w:tcPr>
          <w:p>
            <w:pPr>
              <w:pStyle w:val="14"/>
            </w:pPr>
            <w:r>
              <w:t>项目名称</w:t>
            </w:r>
          </w:p>
        </w:tc>
        <w:tc>
          <w:tcPr>
            <w:tcW w:w="4422" w:type="dxa"/>
            <w:gridSpan w:val="3"/>
            <w:vAlign w:val="center"/>
          </w:tcPr>
          <w:p>
            <w:pPr>
              <w:pStyle w:val="16"/>
            </w:pPr>
            <w: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w:t>
            </w:r>
          </w:p>
        </w:tc>
        <w:tc>
          <w:tcPr>
            <w:tcW w:w="1587" w:type="dxa"/>
            <w:vAlign w:val="center"/>
          </w:tcPr>
          <w:p>
            <w:pPr>
              <w:pStyle w:val="14"/>
            </w:pPr>
            <w:r>
              <w:t>其中：财政    资金</w:t>
            </w:r>
          </w:p>
        </w:tc>
        <w:tc>
          <w:tcPr>
            <w:tcW w:w="1304" w:type="dxa"/>
            <w:vAlign w:val="center"/>
          </w:tcPr>
          <w:p>
            <w:pPr>
              <w:pStyle w:val="16"/>
            </w:pPr>
            <w:r>
              <w:t>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乡镇纪检专项经费用于乡纪检部门具体查办的案件及处理重大信访问题的经费。认真落实纪检部门各项任务，加强监督检查，促进党风廉政。发挥乡纪检监督职能，做到有案必查，有腐必惩，深化廉政教育学习。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0.25</w:t>
            </w:r>
          </w:p>
        </w:tc>
        <w:tc>
          <w:tcPr>
            <w:tcW w:w="1587" w:type="dxa"/>
            <w:vAlign w:val="center"/>
          </w:tcPr>
          <w:p>
            <w:pPr>
              <w:pStyle w:val="17"/>
            </w:pPr>
            <w:r>
              <w:t>0.50</w:t>
            </w:r>
          </w:p>
        </w:tc>
        <w:tc>
          <w:tcPr>
            <w:tcW w:w="1304" w:type="dxa"/>
            <w:vAlign w:val="center"/>
          </w:tcPr>
          <w:p>
            <w:pPr>
              <w:pStyle w:val="17"/>
            </w:pPr>
            <w:r>
              <w:t>0.75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组织监督检查会议次数</w:t>
            </w:r>
          </w:p>
        </w:tc>
        <w:tc>
          <w:tcPr>
            <w:tcW w:w="2891" w:type="dxa"/>
            <w:vAlign w:val="center"/>
          </w:tcPr>
          <w:p>
            <w:pPr>
              <w:pStyle w:val="16"/>
            </w:pPr>
            <w:r>
              <w:t>组织召开监督检查会议的次数</w:t>
            </w:r>
          </w:p>
        </w:tc>
        <w:tc>
          <w:tcPr>
            <w:tcW w:w="1276" w:type="dxa"/>
            <w:vAlign w:val="center"/>
          </w:tcPr>
          <w:p>
            <w:pPr>
              <w:pStyle w:val="16"/>
            </w:pPr>
            <w:r>
              <w:t>≥5次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案件办结率</w:t>
            </w:r>
          </w:p>
        </w:tc>
        <w:tc>
          <w:tcPr>
            <w:tcW w:w="2891" w:type="dxa"/>
            <w:vAlign w:val="center"/>
          </w:tcPr>
          <w:p>
            <w:pPr>
              <w:pStyle w:val="16"/>
            </w:pPr>
            <w:r>
              <w:t>办结案件数量占立案案件总数的比率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社会会影响力</w:t>
            </w:r>
          </w:p>
        </w:tc>
        <w:tc>
          <w:tcPr>
            <w:tcW w:w="2891" w:type="dxa"/>
            <w:vAlign w:val="center"/>
          </w:tcPr>
          <w:p>
            <w:pPr>
              <w:pStyle w:val="16"/>
            </w:pPr>
            <w:r>
              <w:t>在本地区产生的重要影响，得到广大受众的充分认可</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06"/>
      <w:r>
        <w:rPr>
          <w:rFonts w:ascii="方正仿宋_GBK" w:hAnsi="方正仿宋_GBK" w:eastAsia="方正仿宋_GBK" w:cs="方正仿宋_GBK"/>
          <w:color w:val="000000"/>
          <w:sz w:val="28"/>
        </w:rPr>
        <w:t>3.农村文化建设资金绩效目标表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13062323P00740210024Q</w:t>
            </w:r>
          </w:p>
        </w:tc>
        <w:tc>
          <w:tcPr>
            <w:tcW w:w="1587" w:type="dxa"/>
            <w:vAlign w:val="center"/>
          </w:tcPr>
          <w:p>
            <w:pPr>
              <w:pStyle w:val="14"/>
            </w:pPr>
            <w:r>
              <w:t>项目名称</w:t>
            </w:r>
          </w:p>
        </w:tc>
        <w:tc>
          <w:tcPr>
            <w:tcW w:w="4422" w:type="dxa"/>
            <w:gridSpan w:val="3"/>
            <w:vAlign w:val="center"/>
          </w:tcPr>
          <w:p>
            <w:pPr>
              <w:pStyle w:val="16"/>
            </w:pPr>
            <w:r>
              <w:t>农村文化建设资金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1.75</w:t>
            </w:r>
          </w:p>
        </w:tc>
        <w:tc>
          <w:tcPr>
            <w:tcW w:w="1587" w:type="dxa"/>
            <w:vAlign w:val="center"/>
          </w:tcPr>
          <w:p>
            <w:pPr>
              <w:pStyle w:val="14"/>
            </w:pPr>
            <w:r>
              <w:t>其中：财政    资金</w:t>
            </w:r>
          </w:p>
        </w:tc>
        <w:tc>
          <w:tcPr>
            <w:tcW w:w="1304" w:type="dxa"/>
            <w:vAlign w:val="center"/>
          </w:tcPr>
          <w:p>
            <w:pPr>
              <w:pStyle w:val="16"/>
            </w:pPr>
            <w:r>
              <w:t>1.75</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用于加强文化队伍和村级文化阵地建设，营造文化氛围，发掘民间艺术资源以及开展群娱活动。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0.50</w:t>
            </w:r>
          </w:p>
        </w:tc>
        <w:tc>
          <w:tcPr>
            <w:tcW w:w="1587" w:type="dxa"/>
            <w:vAlign w:val="center"/>
          </w:tcPr>
          <w:p>
            <w:pPr>
              <w:pStyle w:val="17"/>
            </w:pPr>
            <w:r>
              <w:t>0.75</w:t>
            </w:r>
          </w:p>
        </w:tc>
        <w:tc>
          <w:tcPr>
            <w:tcW w:w="1304" w:type="dxa"/>
            <w:vAlign w:val="center"/>
          </w:tcPr>
          <w:p>
            <w:pPr>
              <w:pStyle w:val="17"/>
            </w:pPr>
            <w:r>
              <w:t>1.25</w:t>
            </w:r>
          </w:p>
        </w:tc>
        <w:tc>
          <w:tcPr>
            <w:tcW w:w="3118" w:type="dxa"/>
            <w:gridSpan w:val="2"/>
            <w:vAlign w:val="center"/>
          </w:tcPr>
          <w:p>
            <w:pPr>
              <w:pStyle w:val="17"/>
            </w:pPr>
            <w:r>
              <w:t>1.75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公共文化服务活动数量</w:t>
            </w:r>
          </w:p>
        </w:tc>
        <w:tc>
          <w:tcPr>
            <w:tcW w:w="2891" w:type="dxa"/>
            <w:vAlign w:val="center"/>
          </w:tcPr>
          <w:p>
            <w:pPr>
              <w:pStyle w:val="16"/>
            </w:pPr>
            <w:r>
              <w:t>各类公共文化服务活动组织开展的数量</w:t>
            </w:r>
          </w:p>
        </w:tc>
        <w:tc>
          <w:tcPr>
            <w:tcW w:w="1276" w:type="dxa"/>
            <w:vAlign w:val="center"/>
          </w:tcPr>
          <w:p>
            <w:pPr>
              <w:pStyle w:val="16"/>
            </w:pPr>
            <w:r>
              <w:t>≥5次</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文化设施达标率</w:t>
            </w:r>
          </w:p>
        </w:tc>
        <w:tc>
          <w:tcPr>
            <w:tcW w:w="2891" w:type="dxa"/>
            <w:vAlign w:val="center"/>
          </w:tcPr>
          <w:p>
            <w:pPr>
              <w:pStyle w:val="16"/>
            </w:pPr>
            <w:r>
              <w:t>省内实际文化设施达标数量占文化设施总数的比率</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文化建设及时率</w:t>
            </w:r>
          </w:p>
        </w:tc>
        <w:tc>
          <w:tcPr>
            <w:tcW w:w="2891" w:type="dxa"/>
            <w:vAlign w:val="center"/>
          </w:tcPr>
          <w:p>
            <w:pPr>
              <w:pStyle w:val="16"/>
            </w:pPr>
            <w:r>
              <w:t>文化建设及时率</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预算成本控制内完成任务</w:t>
            </w:r>
          </w:p>
        </w:tc>
        <w:tc>
          <w:tcPr>
            <w:tcW w:w="2891" w:type="dxa"/>
            <w:vAlign w:val="center"/>
          </w:tcPr>
          <w:p>
            <w:pPr>
              <w:pStyle w:val="16"/>
            </w:pPr>
            <w:r>
              <w:t>预算成本控制内完成任务</w:t>
            </w:r>
          </w:p>
        </w:tc>
        <w:tc>
          <w:tcPr>
            <w:tcW w:w="1276" w:type="dxa"/>
            <w:vAlign w:val="center"/>
          </w:tcPr>
          <w:p>
            <w:pPr>
              <w:pStyle w:val="16"/>
            </w:pPr>
            <w:r>
              <w:t>≤1.75万元</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增强文化建设</w:t>
            </w:r>
          </w:p>
        </w:tc>
        <w:tc>
          <w:tcPr>
            <w:tcW w:w="2891" w:type="dxa"/>
            <w:vAlign w:val="center"/>
          </w:tcPr>
          <w:p>
            <w:pPr>
              <w:pStyle w:val="16"/>
            </w:pPr>
            <w:r>
              <w:t>增强文化建设</w:t>
            </w:r>
          </w:p>
        </w:tc>
        <w:tc>
          <w:tcPr>
            <w:tcW w:w="1276" w:type="dxa"/>
            <w:vAlign w:val="center"/>
          </w:tcPr>
          <w:p>
            <w:pPr>
              <w:pStyle w:val="16"/>
            </w:pPr>
            <w:r>
              <w:t>增强</w:t>
            </w:r>
          </w:p>
        </w:tc>
        <w:tc>
          <w:tcPr>
            <w:tcW w:w="1843" w:type="dxa"/>
            <w:vAlign w:val="center"/>
          </w:tcPr>
          <w:p>
            <w:pPr>
              <w:pStyle w:val="16"/>
            </w:pPr>
            <w:r>
              <w:t>工作方案</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07"/>
      <w:r>
        <w:rPr>
          <w:rFonts w:ascii="方正仿宋_GBK" w:hAnsi="方正仿宋_GBK" w:eastAsia="方正仿宋_GBK" w:cs="方正仿宋_GBK"/>
          <w:color w:val="000000"/>
          <w:sz w:val="28"/>
        </w:rPr>
        <w:t>4.人大主席团活动经费绩效目标表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13062323P00740010020Y</w:t>
            </w:r>
          </w:p>
        </w:tc>
        <w:tc>
          <w:tcPr>
            <w:tcW w:w="1587" w:type="dxa"/>
            <w:vAlign w:val="center"/>
          </w:tcPr>
          <w:p>
            <w:pPr>
              <w:pStyle w:val="14"/>
            </w:pPr>
            <w:r>
              <w:t>项目名称</w:t>
            </w:r>
          </w:p>
        </w:tc>
        <w:tc>
          <w:tcPr>
            <w:tcW w:w="4422" w:type="dxa"/>
            <w:gridSpan w:val="3"/>
            <w:vAlign w:val="center"/>
          </w:tcPr>
          <w:p>
            <w:pPr>
              <w:pStyle w:val="16"/>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w:t>
            </w:r>
          </w:p>
        </w:tc>
        <w:tc>
          <w:tcPr>
            <w:tcW w:w="1587" w:type="dxa"/>
            <w:vAlign w:val="center"/>
          </w:tcPr>
          <w:p>
            <w:pPr>
              <w:pStyle w:val="14"/>
            </w:pPr>
            <w:r>
              <w:t>其中：财政    资金</w:t>
            </w:r>
          </w:p>
        </w:tc>
        <w:tc>
          <w:tcPr>
            <w:tcW w:w="1304" w:type="dxa"/>
            <w:vAlign w:val="center"/>
          </w:tcPr>
          <w:p>
            <w:pPr>
              <w:pStyle w:val="16"/>
            </w:pPr>
            <w:r>
              <w:t>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为了更好落实【2015】（18）号文件文件精神和省委、市委落实18号文件的意见，切实加强基层人大建设，把乡镇人大主席团活动经费列入2022年财政预算。主任会议决定按乡镇代表团人数10名代表以上乡镇安排2万元经费，不足10名代表的乡镇安排1万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0.25</w:t>
            </w:r>
          </w:p>
        </w:tc>
        <w:tc>
          <w:tcPr>
            <w:tcW w:w="1587" w:type="dxa"/>
            <w:vAlign w:val="center"/>
          </w:tcPr>
          <w:p>
            <w:pPr>
              <w:pStyle w:val="17"/>
            </w:pPr>
            <w:r>
              <w:t>0.50</w:t>
            </w:r>
          </w:p>
        </w:tc>
        <w:tc>
          <w:tcPr>
            <w:tcW w:w="1304" w:type="dxa"/>
            <w:vAlign w:val="center"/>
          </w:tcPr>
          <w:p>
            <w:pPr>
              <w:pStyle w:val="17"/>
            </w:pPr>
            <w:r>
              <w:t>0.75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人大主席团活动开展情况</w:t>
            </w:r>
          </w:p>
        </w:tc>
        <w:tc>
          <w:tcPr>
            <w:tcW w:w="2891" w:type="dxa"/>
            <w:vAlign w:val="center"/>
          </w:tcPr>
          <w:p>
            <w:pPr>
              <w:pStyle w:val="16"/>
            </w:pPr>
            <w:r>
              <w:t>已开展活动占应开展活动的比率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人大主席团活动开展效果</w:t>
            </w:r>
          </w:p>
        </w:tc>
        <w:tc>
          <w:tcPr>
            <w:tcW w:w="2891" w:type="dxa"/>
            <w:vAlign w:val="center"/>
          </w:tcPr>
          <w:p>
            <w:pPr>
              <w:pStyle w:val="16"/>
            </w:pPr>
            <w:r>
              <w:t>效果良好的活动占已开展活动的比率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≤2万元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参与政府决策活动次数比率</w:t>
            </w:r>
          </w:p>
        </w:tc>
        <w:tc>
          <w:tcPr>
            <w:tcW w:w="2891" w:type="dxa"/>
            <w:vAlign w:val="center"/>
          </w:tcPr>
          <w:p>
            <w:pPr>
              <w:pStyle w:val="16"/>
            </w:pPr>
            <w:r>
              <w:t>参与决策咨询活动次数比率</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08"/>
      <w:r>
        <w:rPr>
          <w:rFonts w:ascii="方正仿宋_GBK" w:hAnsi="方正仿宋_GBK" w:eastAsia="方正仿宋_GBK" w:cs="方正仿宋_GBK"/>
          <w:color w:val="000000"/>
          <w:sz w:val="28"/>
        </w:rPr>
        <w:t>5.食安经费绩效目标表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13062323P007397100227</w:t>
            </w:r>
          </w:p>
        </w:tc>
        <w:tc>
          <w:tcPr>
            <w:tcW w:w="1587" w:type="dxa"/>
            <w:vAlign w:val="center"/>
          </w:tcPr>
          <w:p>
            <w:pPr>
              <w:pStyle w:val="14"/>
            </w:pPr>
            <w:r>
              <w:t>项目名称</w:t>
            </w:r>
          </w:p>
        </w:tc>
        <w:tc>
          <w:tcPr>
            <w:tcW w:w="4422" w:type="dxa"/>
            <w:gridSpan w:val="3"/>
            <w:vAlign w:val="center"/>
          </w:tcPr>
          <w:p>
            <w:pPr>
              <w:pStyle w:val="16"/>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0.64</w:t>
            </w:r>
          </w:p>
        </w:tc>
        <w:tc>
          <w:tcPr>
            <w:tcW w:w="1587" w:type="dxa"/>
            <w:vAlign w:val="center"/>
          </w:tcPr>
          <w:p>
            <w:pPr>
              <w:pStyle w:val="14"/>
            </w:pPr>
            <w:r>
              <w:t>其中：财政    资金</w:t>
            </w:r>
          </w:p>
        </w:tc>
        <w:tc>
          <w:tcPr>
            <w:tcW w:w="1304" w:type="dxa"/>
            <w:vAlign w:val="center"/>
          </w:tcPr>
          <w:p>
            <w:pPr>
              <w:pStyle w:val="16"/>
            </w:pPr>
            <w:r>
              <w:t>0.64</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食品安全作为重大的基本民生问题，党中央、国务院一贯高度重视，为进一步加强本乡食品安全工作，落实食品生产经营者主体责任，增强政府监管效能，发挥社会组织的作用，严格监管食品生产经营活动，严厉惩处涉及食品安全的违法犯罪行为，食品安全工作实行预防为主、风险管理、全程控制、社会共治、建立科学、严格监督管理制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0.50</w:t>
            </w:r>
          </w:p>
        </w:tc>
        <w:tc>
          <w:tcPr>
            <w:tcW w:w="1304" w:type="dxa"/>
            <w:vAlign w:val="center"/>
          </w:tcPr>
          <w:p>
            <w:pPr>
              <w:pStyle w:val="17"/>
            </w:pPr>
            <w:r>
              <w:t xml:space="preserve"> </w:t>
            </w:r>
          </w:p>
        </w:tc>
        <w:tc>
          <w:tcPr>
            <w:tcW w:w="3118" w:type="dxa"/>
            <w:gridSpan w:val="2"/>
            <w:vAlign w:val="center"/>
          </w:tcPr>
          <w:p>
            <w:pPr>
              <w:pStyle w:val="17"/>
            </w:pPr>
            <w:r>
              <w:t>0.64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组织宣传活动次数（次）</w:t>
            </w:r>
          </w:p>
        </w:tc>
        <w:tc>
          <w:tcPr>
            <w:tcW w:w="2891" w:type="dxa"/>
            <w:vAlign w:val="center"/>
          </w:tcPr>
          <w:p>
            <w:pPr>
              <w:pStyle w:val="16"/>
            </w:pPr>
            <w:r>
              <w:t>组织宣传活动次数</w:t>
            </w:r>
          </w:p>
        </w:tc>
        <w:tc>
          <w:tcPr>
            <w:tcW w:w="1276" w:type="dxa"/>
            <w:vAlign w:val="center"/>
          </w:tcPr>
          <w:p>
            <w:pPr>
              <w:pStyle w:val="16"/>
            </w:pPr>
            <w:r>
              <w:t>≥5次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抽查覆盖率</w:t>
            </w:r>
          </w:p>
        </w:tc>
        <w:tc>
          <w:tcPr>
            <w:tcW w:w="2891" w:type="dxa"/>
            <w:vAlign w:val="center"/>
          </w:tcPr>
          <w:p>
            <w:pPr>
              <w:pStyle w:val="16"/>
            </w:pPr>
            <w:r>
              <w:t>抽查对象的数量占全部对象的比率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≤0.64万元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对食品安全的监管作用</w:t>
            </w:r>
          </w:p>
        </w:tc>
        <w:tc>
          <w:tcPr>
            <w:tcW w:w="2891" w:type="dxa"/>
            <w:vAlign w:val="center"/>
          </w:tcPr>
          <w:p>
            <w:pPr>
              <w:pStyle w:val="16"/>
            </w:pPr>
            <w:r>
              <w:t>通过对食品安全的监管，确保本地区食品安全</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09"/>
      <w:r>
        <w:rPr>
          <w:rFonts w:ascii="方正仿宋_GBK" w:hAnsi="方正仿宋_GBK" w:eastAsia="方正仿宋_GBK" w:cs="方正仿宋_GBK"/>
          <w:color w:val="000000"/>
          <w:sz w:val="28"/>
        </w:rPr>
        <w:t>6.团委经费绩效目标表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13062323P00739910020B</w:t>
            </w:r>
          </w:p>
        </w:tc>
        <w:tc>
          <w:tcPr>
            <w:tcW w:w="1587" w:type="dxa"/>
            <w:vAlign w:val="center"/>
          </w:tcPr>
          <w:p>
            <w:pPr>
              <w:pStyle w:val="14"/>
            </w:pPr>
            <w:r>
              <w:t>项目名称</w:t>
            </w:r>
          </w:p>
        </w:tc>
        <w:tc>
          <w:tcPr>
            <w:tcW w:w="4422" w:type="dxa"/>
            <w:gridSpan w:val="3"/>
            <w:vAlign w:val="center"/>
          </w:tcPr>
          <w:p>
            <w:pPr>
              <w:pStyle w:val="16"/>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w:t>
            </w:r>
          </w:p>
        </w:tc>
        <w:tc>
          <w:tcPr>
            <w:tcW w:w="1587" w:type="dxa"/>
            <w:vAlign w:val="center"/>
          </w:tcPr>
          <w:p>
            <w:pPr>
              <w:pStyle w:val="14"/>
            </w:pPr>
            <w:r>
              <w:t>其中：财政    资金</w:t>
            </w:r>
          </w:p>
        </w:tc>
        <w:tc>
          <w:tcPr>
            <w:tcW w:w="1304" w:type="dxa"/>
            <w:vAlign w:val="center"/>
          </w:tcPr>
          <w:p>
            <w:pPr>
              <w:pStyle w:val="16"/>
            </w:pPr>
            <w:r>
              <w:t>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严格落实中共省委组织部、河北省财政厅、共青团河北省委员会关于印发《关于加强新形势下基层党建带团建工作的实施意见》的通知（冀团联字【63】号）中“县级团委原则上每年不少于10万元、乡镇不少于2万元的工作经费纳入财政预算”的规定，由团县委、乡镇团委根据工作需要据实列入财政预算，保障共青团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0.50</w:t>
            </w:r>
          </w:p>
        </w:tc>
        <w:tc>
          <w:tcPr>
            <w:tcW w:w="1587" w:type="dxa"/>
            <w:vAlign w:val="center"/>
          </w:tcPr>
          <w:p>
            <w:pPr>
              <w:pStyle w:val="17"/>
            </w:pPr>
            <w:r>
              <w:t>1.00</w:t>
            </w:r>
          </w:p>
        </w:tc>
        <w:tc>
          <w:tcPr>
            <w:tcW w:w="1304" w:type="dxa"/>
            <w:vAlign w:val="center"/>
          </w:tcPr>
          <w:p>
            <w:pPr>
              <w:pStyle w:val="17"/>
            </w:pPr>
            <w:r>
              <w:t>1.50</w:t>
            </w:r>
          </w:p>
        </w:tc>
        <w:tc>
          <w:tcPr>
            <w:tcW w:w="3118" w:type="dxa"/>
            <w:gridSpan w:val="2"/>
            <w:vAlign w:val="center"/>
          </w:tcPr>
          <w:p>
            <w:pPr>
              <w:pStyle w:val="1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开办宣传专栏数</w:t>
            </w:r>
          </w:p>
        </w:tc>
        <w:tc>
          <w:tcPr>
            <w:tcW w:w="2891" w:type="dxa"/>
            <w:vAlign w:val="center"/>
          </w:tcPr>
          <w:p>
            <w:pPr>
              <w:pStyle w:val="16"/>
            </w:pPr>
            <w:r>
              <w:t>在新闻媒体开办宣传专栏数量</w:t>
            </w:r>
          </w:p>
        </w:tc>
        <w:tc>
          <w:tcPr>
            <w:tcW w:w="1276" w:type="dxa"/>
            <w:vAlign w:val="center"/>
          </w:tcPr>
          <w:p>
            <w:pPr>
              <w:pStyle w:val="16"/>
            </w:pPr>
            <w:r>
              <w:t>≥5个</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制作宣传品</w:t>
            </w:r>
          </w:p>
        </w:tc>
        <w:tc>
          <w:tcPr>
            <w:tcW w:w="2891" w:type="dxa"/>
            <w:vAlign w:val="center"/>
          </w:tcPr>
          <w:p>
            <w:pPr>
              <w:pStyle w:val="16"/>
            </w:pPr>
            <w:r>
              <w:t>制作宣传品数量</w:t>
            </w:r>
          </w:p>
        </w:tc>
        <w:tc>
          <w:tcPr>
            <w:tcW w:w="1276" w:type="dxa"/>
            <w:vAlign w:val="center"/>
          </w:tcPr>
          <w:p>
            <w:pPr>
              <w:pStyle w:val="16"/>
            </w:pPr>
            <w:r>
              <w:t>≥1000份</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年度项目按规定时间完成</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≤2万元</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参与政府决策活动数</w:t>
            </w:r>
          </w:p>
        </w:tc>
        <w:tc>
          <w:tcPr>
            <w:tcW w:w="2891" w:type="dxa"/>
            <w:vAlign w:val="center"/>
          </w:tcPr>
          <w:p>
            <w:pPr>
              <w:pStyle w:val="16"/>
            </w:pPr>
            <w:r>
              <w:t>参与决策咨询活动次数</w:t>
            </w:r>
          </w:p>
        </w:tc>
        <w:tc>
          <w:tcPr>
            <w:tcW w:w="1276" w:type="dxa"/>
            <w:vAlign w:val="center"/>
          </w:tcPr>
          <w:p>
            <w:pPr>
              <w:pStyle w:val="16"/>
            </w:pPr>
            <w:r>
              <w:t>≥5次</w:t>
            </w:r>
          </w:p>
        </w:tc>
        <w:tc>
          <w:tcPr>
            <w:tcW w:w="1843" w:type="dxa"/>
            <w:vAlign w:val="center"/>
          </w:tcPr>
          <w:p>
            <w:pPr>
              <w:pStyle w:val="16"/>
            </w:pPr>
            <w:r>
              <w:t>工作方案</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_4_4_0000000010"/>
      <w:r>
        <w:rPr>
          <w:rFonts w:ascii="方正仿宋_GBK" w:hAnsi="方正仿宋_GBK" w:eastAsia="方正仿宋_GBK" w:cs="方正仿宋_GBK"/>
          <w:color w:val="000000"/>
          <w:sz w:val="28"/>
        </w:rPr>
        <w:t>7.维稳经费（年初）绩效目标表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13062323P007395100199</w:t>
            </w:r>
          </w:p>
        </w:tc>
        <w:tc>
          <w:tcPr>
            <w:tcW w:w="1587" w:type="dxa"/>
            <w:vAlign w:val="center"/>
          </w:tcPr>
          <w:p>
            <w:pPr>
              <w:pStyle w:val="14"/>
            </w:pPr>
            <w:r>
              <w:t>项目名称</w:t>
            </w:r>
          </w:p>
        </w:tc>
        <w:tc>
          <w:tcPr>
            <w:tcW w:w="4422" w:type="dxa"/>
            <w:gridSpan w:val="3"/>
            <w:vAlign w:val="center"/>
          </w:tcPr>
          <w:p>
            <w:pPr>
              <w:pStyle w:val="16"/>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8.00</w:t>
            </w:r>
          </w:p>
        </w:tc>
        <w:tc>
          <w:tcPr>
            <w:tcW w:w="1587" w:type="dxa"/>
            <w:vAlign w:val="center"/>
          </w:tcPr>
          <w:p>
            <w:pPr>
              <w:pStyle w:val="14"/>
            </w:pPr>
            <w:r>
              <w:t>其中：财政    资金</w:t>
            </w:r>
          </w:p>
        </w:tc>
        <w:tc>
          <w:tcPr>
            <w:tcW w:w="1304" w:type="dxa"/>
            <w:vAlign w:val="center"/>
          </w:tcPr>
          <w:p>
            <w:pPr>
              <w:pStyle w:val="16"/>
            </w:pPr>
            <w:r>
              <w:t>8.00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用于做好信访稳控工作，减少越级访、群访等恶性事件，有效的遏制非法上访；处理人民群众来信、来访，接待和处理人民群众反映的情况和问题。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w:t>
            </w:r>
          </w:p>
        </w:tc>
        <w:tc>
          <w:tcPr>
            <w:tcW w:w="1587" w:type="dxa"/>
            <w:vAlign w:val="center"/>
          </w:tcPr>
          <w:p>
            <w:pPr>
              <w:pStyle w:val="17"/>
            </w:pPr>
            <w:r>
              <w:t>4.00</w:t>
            </w:r>
          </w:p>
        </w:tc>
        <w:tc>
          <w:tcPr>
            <w:tcW w:w="1304" w:type="dxa"/>
            <w:vAlign w:val="center"/>
          </w:tcPr>
          <w:p>
            <w:pPr>
              <w:pStyle w:val="17"/>
            </w:pPr>
            <w:r>
              <w:t>6.00</w:t>
            </w:r>
          </w:p>
        </w:tc>
        <w:tc>
          <w:tcPr>
            <w:tcW w:w="3118" w:type="dxa"/>
            <w:gridSpan w:val="2"/>
            <w:vAlign w:val="center"/>
          </w:tcPr>
          <w:p>
            <w:pPr>
              <w:pStyle w:val="17"/>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重要时期专项护路任务次数（次）</w:t>
            </w:r>
          </w:p>
        </w:tc>
        <w:tc>
          <w:tcPr>
            <w:tcW w:w="2891" w:type="dxa"/>
            <w:vAlign w:val="center"/>
          </w:tcPr>
          <w:p>
            <w:pPr>
              <w:pStyle w:val="16"/>
            </w:pPr>
            <w:r>
              <w:t>重要时期专项护路任务次数（次）</w:t>
            </w:r>
          </w:p>
        </w:tc>
        <w:tc>
          <w:tcPr>
            <w:tcW w:w="1276" w:type="dxa"/>
            <w:vAlign w:val="center"/>
          </w:tcPr>
          <w:p>
            <w:pPr>
              <w:pStyle w:val="16"/>
            </w:pPr>
            <w:r>
              <w:t>≥2次</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矛盾纠纷调处率（%）</w:t>
            </w:r>
          </w:p>
        </w:tc>
        <w:tc>
          <w:tcPr>
            <w:tcW w:w="2891" w:type="dxa"/>
            <w:vAlign w:val="center"/>
          </w:tcPr>
          <w:p>
            <w:pPr>
              <w:pStyle w:val="16"/>
            </w:pPr>
            <w:r>
              <w:t>矛盾纠纷调处率（%）</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≤8万元</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突发事件发生率（%）</w:t>
            </w:r>
          </w:p>
        </w:tc>
        <w:tc>
          <w:tcPr>
            <w:tcW w:w="2891" w:type="dxa"/>
            <w:vAlign w:val="center"/>
          </w:tcPr>
          <w:p>
            <w:pPr>
              <w:pStyle w:val="16"/>
            </w:pPr>
            <w:r>
              <w:t>突发事件发生率（%）</w:t>
            </w:r>
          </w:p>
        </w:tc>
        <w:tc>
          <w:tcPr>
            <w:tcW w:w="1276" w:type="dxa"/>
            <w:vAlign w:val="center"/>
          </w:tcPr>
          <w:p>
            <w:pPr>
              <w:pStyle w:val="16"/>
            </w:pPr>
            <w:r>
              <w:t>≥5百分比</w:t>
            </w:r>
          </w:p>
        </w:tc>
        <w:tc>
          <w:tcPr>
            <w:tcW w:w="1843" w:type="dxa"/>
            <w:vAlign w:val="center"/>
          </w:tcPr>
          <w:p>
            <w:pPr>
              <w:pStyle w:val="16"/>
            </w:pPr>
            <w:r>
              <w:t>工作方案</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_4_4_0000000011"/>
      <w:r>
        <w:rPr>
          <w:rFonts w:ascii="方正仿宋_GBK" w:hAnsi="方正仿宋_GBK" w:eastAsia="方正仿宋_GBK" w:cs="方正仿宋_GBK"/>
          <w:color w:val="000000"/>
          <w:sz w:val="28"/>
        </w:rPr>
        <w:t>8.乡镇行政执法专项经费（含禁烧经费1万元）绩效目标表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13062323P00898310284B</w:t>
            </w:r>
          </w:p>
        </w:tc>
        <w:tc>
          <w:tcPr>
            <w:tcW w:w="1587" w:type="dxa"/>
            <w:vAlign w:val="center"/>
          </w:tcPr>
          <w:p>
            <w:pPr>
              <w:pStyle w:val="14"/>
            </w:pPr>
            <w:r>
              <w:t>项目名称</w:t>
            </w:r>
          </w:p>
        </w:tc>
        <w:tc>
          <w:tcPr>
            <w:tcW w:w="4422" w:type="dxa"/>
            <w:gridSpan w:val="3"/>
            <w:vAlign w:val="center"/>
          </w:tcPr>
          <w:p>
            <w:pPr>
              <w:pStyle w:val="16"/>
            </w:pPr>
            <w:r>
              <w:t>乡镇行政执法专项经费（含禁烧经费1万元）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5.00</w:t>
            </w:r>
          </w:p>
        </w:tc>
        <w:tc>
          <w:tcPr>
            <w:tcW w:w="1587" w:type="dxa"/>
            <w:vAlign w:val="center"/>
          </w:tcPr>
          <w:p>
            <w:pPr>
              <w:pStyle w:val="14"/>
            </w:pPr>
            <w:r>
              <w:t>其中：财政    资金</w:t>
            </w:r>
          </w:p>
        </w:tc>
        <w:tc>
          <w:tcPr>
            <w:tcW w:w="1304" w:type="dxa"/>
            <w:vAlign w:val="center"/>
          </w:tcPr>
          <w:p>
            <w:pPr>
              <w:pStyle w:val="16"/>
            </w:pPr>
            <w:r>
              <w:t>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乡镇行政执法专项经费（含禁烧经费1万元）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7"/>
            </w:pPr>
            <w:r>
              <w:t>0.25</w:t>
            </w:r>
          </w:p>
        </w:tc>
        <w:tc>
          <w:tcPr>
            <w:tcW w:w="1587" w:type="dxa"/>
            <w:vAlign w:val="center"/>
          </w:tcPr>
          <w:p>
            <w:pPr>
              <w:pStyle w:val="17"/>
            </w:pPr>
            <w:r>
              <w:t>0.50</w:t>
            </w:r>
          </w:p>
        </w:tc>
        <w:tc>
          <w:tcPr>
            <w:tcW w:w="1304" w:type="dxa"/>
            <w:vAlign w:val="center"/>
          </w:tcPr>
          <w:p>
            <w:pPr>
              <w:pStyle w:val="17"/>
            </w:pPr>
            <w:r>
              <w:t>0.75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执法工作任务数</w:t>
            </w:r>
          </w:p>
        </w:tc>
        <w:tc>
          <w:tcPr>
            <w:tcW w:w="2891" w:type="dxa"/>
            <w:vAlign w:val="center"/>
          </w:tcPr>
          <w:p>
            <w:pPr>
              <w:pStyle w:val="16"/>
            </w:pPr>
            <w:r>
              <w:t>执法工作任务数</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执法任务完成率</w:t>
            </w:r>
          </w:p>
        </w:tc>
        <w:tc>
          <w:tcPr>
            <w:tcW w:w="2891" w:type="dxa"/>
            <w:vAlign w:val="center"/>
          </w:tcPr>
          <w:p>
            <w:pPr>
              <w:pStyle w:val="16"/>
            </w:pPr>
            <w:r>
              <w:t>执法任务完成率</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完成执法任务的效率</w:t>
            </w:r>
          </w:p>
        </w:tc>
        <w:tc>
          <w:tcPr>
            <w:tcW w:w="2891" w:type="dxa"/>
            <w:vAlign w:val="center"/>
          </w:tcPr>
          <w:p>
            <w:pPr>
              <w:pStyle w:val="16"/>
            </w:pPr>
            <w:r>
              <w:t>完成执法任务的效率</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预算范围内完成执法任务</w:t>
            </w:r>
          </w:p>
        </w:tc>
        <w:tc>
          <w:tcPr>
            <w:tcW w:w="2891" w:type="dxa"/>
            <w:vAlign w:val="center"/>
          </w:tcPr>
          <w:p>
            <w:pPr>
              <w:pStyle w:val="16"/>
            </w:pPr>
            <w:r>
              <w:t>预算范围内完成执法任务</w:t>
            </w:r>
          </w:p>
        </w:tc>
        <w:tc>
          <w:tcPr>
            <w:tcW w:w="1276" w:type="dxa"/>
            <w:vAlign w:val="center"/>
          </w:tcPr>
          <w:p>
            <w:pPr>
              <w:pStyle w:val="16"/>
            </w:pPr>
            <w:r>
              <w:t>≤5万元</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自然资源保护效果</w:t>
            </w:r>
          </w:p>
        </w:tc>
        <w:tc>
          <w:tcPr>
            <w:tcW w:w="2891" w:type="dxa"/>
            <w:vAlign w:val="center"/>
          </w:tcPr>
          <w:p>
            <w:pPr>
              <w:pStyle w:val="16"/>
            </w:pPr>
            <w:r>
              <w:t>自然资源保护效果</w:t>
            </w:r>
          </w:p>
        </w:tc>
        <w:tc>
          <w:tcPr>
            <w:tcW w:w="1276" w:type="dxa"/>
            <w:vAlign w:val="center"/>
          </w:tcPr>
          <w:p>
            <w:pPr>
              <w:pStyle w:val="16"/>
            </w:pPr>
            <w:r>
              <w:t>良好</w:t>
            </w:r>
          </w:p>
        </w:tc>
        <w:tc>
          <w:tcPr>
            <w:tcW w:w="1843" w:type="dxa"/>
            <w:vAlign w:val="center"/>
          </w:tcPr>
          <w:p>
            <w:pPr>
              <w:pStyle w:val="16"/>
            </w:pPr>
            <w:r>
              <w:t>工作方案</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4" w:name="_Toc_4_4_0000000012"/>
      <w:r>
        <w:rPr>
          <w:rFonts w:ascii="方正仿宋_GBK" w:hAnsi="方正仿宋_GBK" w:eastAsia="方正仿宋_GBK" w:cs="方正仿宋_GBK"/>
          <w:color w:val="000000"/>
          <w:sz w:val="28"/>
        </w:rPr>
        <w:t>9.小型修缮经费绩效目标表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13062323P00739610022H</w:t>
            </w:r>
          </w:p>
        </w:tc>
        <w:tc>
          <w:tcPr>
            <w:tcW w:w="1587" w:type="dxa"/>
            <w:vAlign w:val="center"/>
          </w:tcPr>
          <w:p>
            <w:pPr>
              <w:pStyle w:val="14"/>
            </w:pPr>
            <w:r>
              <w:t>项目名称</w:t>
            </w:r>
          </w:p>
        </w:tc>
        <w:tc>
          <w:tcPr>
            <w:tcW w:w="4422" w:type="dxa"/>
            <w:gridSpan w:val="3"/>
            <w:vAlign w:val="center"/>
          </w:tcPr>
          <w:p>
            <w:pPr>
              <w:pStyle w:val="16"/>
            </w:pPr>
            <w:r>
              <w:t>小型修缮经费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3.61</w:t>
            </w:r>
          </w:p>
        </w:tc>
        <w:tc>
          <w:tcPr>
            <w:tcW w:w="1587" w:type="dxa"/>
            <w:vAlign w:val="center"/>
          </w:tcPr>
          <w:p>
            <w:pPr>
              <w:pStyle w:val="14"/>
            </w:pPr>
            <w:r>
              <w:t>其中：财政    资金</w:t>
            </w:r>
          </w:p>
        </w:tc>
        <w:tc>
          <w:tcPr>
            <w:tcW w:w="1304" w:type="dxa"/>
            <w:vAlign w:val="center"/>
          </w:tcPr>
          <w:p>
            <w:pPr>
              <w:pStyle w:val="16"/>
            </w:pPr>
            <w:r>
              <w:t>3.61</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小型修缮经费用于保障乡政府</w:t>
            </w:r>
            <w:r>
              <w:rPr>
                <w:rFonts w:hint="eastAsia"/>
                <w:lang w:eastAsia="zh-CN"/>
              </w:rPr>
              <w:t>更好地为</w:t>
            </w:r>
            <w:r>
              <w:t>群众提供服务，对乡政府办公用房进行日常维护及维修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0.25</w:t>
            </w:r>
          </w:p>
        </w:tc>
        <w:tc>
          <w:tcPr>
            <w:tcW w:w="1587" w:type="dxa"/>
            <w:vAlign w:val="center"/>
          </w:tcPr>
          <w:p>
            <w:pPr>
              <w:pStyle w:val="17"/>
            </w:pPr>
            <w:r>
              <w:t>0.50</w:t>
            </w:r>
          </w:p>
        </w:tc>
        <w:tc>
          <w:tcPr>
            <w:tcW w:w="1304" w:type="dxa"/>
            <w:vAlign w:val="center"/>
          </w:tcPr>
          <w:p>
            <w:pPr>
              <w:pStyle w:val="17"/>
            </w:pPr>
            <w:r>
              <w:t>0.75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修缮项目验收合格率</w:t>
            </w:r>
          </w:p>
        </w:tc>
        <w:tc>
          <w:tcPr>
            <w:tcW w:w="2891" w:type="dxa"/>
            <w:vAlign w:val="center"/>
          </w:tcPr>
          <w:p>
            <w:pPr>
              <w:pStyle w:val="16"/>
            </w:pPr>
            <w:r>
              <w:t>通过验收的工程量占建设、改造、修缮总量的比率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修缮项目完成率</w:t>
            </w:r>
          </w:p>
        </w:tc>
        <w:tc>
          <w:tcPr>
            <w:tcW w:w="2891" w:type="dxa"/>
            <w:vAlign w:val="center"/>
          </w:tcPr>
          <w:p>
            <w:pPr>
              <w:pStyle w:val="16"/>
            </w:pPr>
            <w:r>
              <w:t>实际完成工程量占计划完成工程量的比率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≤3.61万元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办公设施的改善成效</w:t>
            </w:r>
          </w:p>
        </w:tc>
        <w:tc>
          <w:tcPr>
            <w:tcW w:w="2891" w:type="dxa"/>
            <w:vAlign w:val="center"/>
          </w:tcPr>
          <w:p>
            <w:pPr>
              <w:pStyle w:val="16"/>
            </w:pPr>
            <w:r>
              <w:t>反映修缮后办公设施改善情况</w:t>
            </w:r>
          </w:p>
        </w:tc>
        <w:tc>
          <w:tcPr>
            <w:tcW w:w="1276" w:type="dxa"/>
            <w:vAlign w:val="center"/>
          </w:tcPr>
          <w:p>
            <w:pPr>
              <w:pStyle w:val="16"/>
            </w:pPr>
            <w:r>
              <w:t>≥90百分比</w:t>
            </w:r>
          </w:p>
        </w:tc>
        <w:tc>
          <w:tcPr>
            <w:tcW w:w="1843" w:type="dxa"/>
            <w:vAlign w:val="center"/>
          </w:tcPr>
          <w:p>
            <w:pPr>
              <w:pStyle w:val="16"/>
            </w:pPr>
            <w:r>
              <w:t>依据工作方案</w:t>
            </w:r>
          </w:p>
        </w:tc>
      </w:tr>
    </w:tbl>
    <w:p/>
    <w:p>
      <w:pPr>
        <w:sectPr>
          <w:pgSz w:w="16840" w:h="11900" w:orient="landscape"/>
          <w:pgMar w:top="1361" w:right="1020" w:bottom="1134" w:left="1020" w:header="720" w:footer="720" w:gutter="0"/>
          <w:cols w:space="720" w:num="1"/>
        </w:sectPr>
      </w:pPr>
    </w:p>
    <w:p>
      <w:pPr>
        <w:spacing w:before="10" w:after="10"/>
        <w:ind w:firstLine="640"/>
        <w:outlineLvl w:val="2"/>
      </w:pPr>
      <w:r>
        <w:rPr>
          <w:rFonts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2023年，</w:t>
      </w:r>
      <w:r>
        <w:rPr>
          <w:rFonts w:hint="eastAsia" w:eastAsia="方正仿宋_GBK"/>
          <w:color w:val="000000"/>
          <w:sz w:val="28"/>
          <w:lang w:eastAsia="zh-CN"/>
        </w:rPr>
        <w:t>涞水县三坡镇人民政府无</w:t>
      </w:r>
      <w:r>
        <w:rPr>
          <w:rFonts w:eastAsia="方正仿宋_GBK"/>
          <w:color w:val="000000"/>
          <w:sz w:val="28"/>
        </w:rPr>
        <w:t>政府采购预算。</w:t>
      </w:r>
    </w:p>
    <w:p>
      <w:pPr>
        <w:jc w:val="center"/>
        <w:rPr>
          <w:rFonts w:ascii="方正小标宋_GBK" w:hAnsi="方正小标宋_GBK" w:eastAsia="方正小标宋_GBK" w:cs="方正小标宋_GBK"/>
          <w:color w:val="000000"/>
          <w:sz w:val="36"/>
          <w:lang w:eastAsia="zh-CN"/>
        </w:rPr>
      </w:pPr>
    </w:p>
    <w:p>
      <w:pPr>
        <w:jc w:val="center"/>
      </w:pPr>
      <w:r>
        <w:rPr>
          <w:rFonts w:ascii="方正小标宋_GBK" w:hAnsi="方正小标宋_GBK" w:eastAsia="方正小标宋_GBK" w:cs="方正小标宋_GBK"/>
          <w:color w:val="000000"/>
          <w:sz w:val="36"/>
        </w:rPr>
        <w:t>部门政府采购预算</w:t>
      </w:r>
    </w:p>
    <w:tbl>
      <w:tblPr>
        <w:tblStyle w:val="8"/>
        <w:tblW w:w="150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8"/>
          <w:wAfter w:w="7712" w:type="dxa"/>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rPr>
                <w:rFonts w:hint="eastAsia"/>
                <w:lang w:eastAsia="zh-CN"/>
              </w:rPr>
              <w:t>806涞水县三坡镇人民政府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bl>
    <w:p>
      <w:pPr>
        <w:ind w:firstLine="640"/>
      </w:pPr>
    </w:p>
    <w:p>
      <w:pPr>
        <w:spacing w:before="10" w:after="10"/>
        <w:outlineLvl w:val="2"/>
        <w:rPr>
          <w:rFonts w:ascii="黑体" w:hAnsi="黑体" w:eastAsia="黑体" w:cs="黑体"/>
          <w:color w:val="000000"/>
          <w:sz w:val="32"/>
        </w:rPr>
      </w:pPr>
      <w:bookmarkStart w:id="25" w:name="_Toc_3_3_0000000016"/>
      <w:r>
        <w:rPr>
          <w:rFonts w:hint="eastAsia" w:ascii="黑体" w:hAnsi="黑体" w:eastAsia="黑体" w:cs="黑体"/>
          <w:color w:val="000000"/>
          <w:sz w:val="32"/>
          <w:lang w:eastAsia="zh-CN"/>
        </w:rPr>
        <w:t xml:space="preserve">  </w:t>
      </w:r>
      <w:r>
        <w:rPr>
          <w:rFonts w:hint="eastAsia" w:ascii="方正书宋_GBK" w:hAnsi="方正书宋_GBK" w:eastAsia="方正书宋_GBK" w:cs="方正书宋_GBK"/>
          <w:color w:val="000000"/>
          <w:sz w:val="21"/>
        </w:rPr>
        <w:t>注：无政府采购预算，空表列示。</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25"/>
    </w:p>
    <w:p>
      <w:pPr>
        <w:spacing w:line="500" w:lineRule="exact"/>
        <w:ind w:firstLine="560"/>
      </w:pPr>
      <w:r>
        <w:rPr>
          <w:rFonts w:hint="eastAsia" w:eastAsia="方正仿宋_GBK"/>
          <w:color w:val="000000"/>
          <w:sz w:val="28"/>
          <w:lang w:eastAsia="zh-CN"/>
        </w:rPr>
        <w:t>涞水县三坡镇人民政府</w:t>
      </w:r>
      <w:r>
        <w:rPr>
          <w:rFonts w:eastAsia="方正仿宋_GBK"/>
          <w:color w:val="000000"/>
          <w:sz w:val="28"/>
        </w:rPr>
        <w:t>（含所属单位）上年末固定资产金额为</w:t>
      </w:r>
      <w:r>
        <w:rPr>
          <w:rFonts w:hint="eastAsia" w:ascii="宋体" w:hAnsi="宋体" w:eastAsia="宋体" w:cs="宋体"/>
          <w:color w:val="000000"/>
          <w:sz w:val="28"/>
          <w:szCs w:val="28"/>
          <w:lang w:eastAsia="zh-CN"/>
        </w:rPr>
        <w:t>1</w:t>
      </w:r>
      <w:r>
        <w:rPr>
          <w:rFonts w:ascii="宋体" w:hAnsi="宋体" w:eastAsia="宋体" w:cs="宋体"/>
          <w:color w:val="000000"/>
          <w:sz w:val="28"/>
          <w:szCs w:val="28"/>
          <w:lang w:eastAsia="zh-CN"/>
        </w:rPr>
        <w:t>60.08</w:t>
      </w:r>
      <w:r>
        <w:rPr>
          <w:rFonts w:eastAsia="方正仿宋_GBK"/>
          <w:color w:val="000000"/>
          <w:sz w:val="28"/>
        </w:rPr>
        <w:t>万元（详见下表）。本年度拟购置固定资产总额为</w:t>
      </w:r>
      <w:r>
        <w:rPr>
          <w:rFonts w:hint="eastAsia" w:eastAsia="方正仿宋_GBK"/>
          <w:color w:val="000000"/>
          <w:sz w:val="28"/>
          <w:lang w:eastAsia="zh-CN"/>
        </w:rPr>
        <w:t>零</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截止时间：202</w:t>
      </w:r>
      <w:r>
        <w:rPr>
          <w:rFonts w:ascii="方正小标宋_GBK" w:hAnsi="方正小标宋_GBK" w:eastAsia="方正小标宋_GBK" w:cs="方正小标宋_GBK"/>
          <w:color w:val="000000"/>
          <w:sz w:val="36"/>
          <w:lang w:eastAsia="zh-CN"/>
        </w:rPr>
        <w:t>2</w:t>
      </w:r>
      <w:r>
        <w:rPr>
          <w:rFonts w:hint="eastAsia" w:ascii="方正小标宋_GBK" w:hAnsi="方正小标宋_GBK" w:eastAsia="方正小标宋_GBK" w:cs="方正小标宋_GBK"/>
          <w:color w:val="000000"/>
          <w:sz w:val="36"/>
          <w:lang w:eastAsia="zh-CN"/>
        </w:rPr>
        <w:t>年12月31日</w:t>
      </w:r>
    </w:p>
    <w:tbl>
      <w:tblPr>
        <w:tblStyle w:val="8"/>
        <w:tblW w:w="12408" w:type="dxa"/>
        <w:tblInd w:w="675" w:type="dxa"/>
        <w:tblLayout w:type="autofit"/>
        <w:tblCellMar>
          <w:top w:w="0" w:type="dxa"/>
          <w:left w:w="108" w:type="dxa"/>
          <w:bottom w:w="0" w:type="dxa"/>
          <w:right w:w="108" w:type="dxa"/>
        </w:tblCellMar>
      </w:tblPr>
      <w:tblGrid>
        <w:gridCol w:w="4594"/>
        <w:gridCol w:w="2613"/>
        <w:gridCol w:w="5201"/>
      </w:tblGrid>
      <w:tr>
        <w:tblPrEx>
          <w:tblCellMar>
            <w:top w:w="0" w:type="dxa"/>
            <w:left w:w="108" w:type="dxa"/>
            <w:bottom w:w="0" w:type="dxa"/>
            <w:right w:w="108" w:type="dxa"/>
          </w:tblCellMar>
        </w:tblPrEx>
        <w:trPr>
          <w:trHeight w:val="413" w:hRule="atLeast"/>
        </w:trPr>
        <w:tc>
          <w:tcPr>
            <w:tcW w:w="45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项目</w:t>
            </w:r>
          </w:p>
        </w:tc>
        <w:tc>
          <w:tcPr>
            <w:tcW w:w="261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数量</w:t>
            </w:r>
          </w:p>
        </w:tc>
        <w:tc>
          <w:tcPr>
            <w:tcW w:w="5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价值（单位：万元）</w:t>
            </w:r>
          </w:p>
        </w:tc>
      </w:tr>
      <w:tr>
        <w:tblPrEx>
          <w:tblCellMar>
            <w:top w:w="0" w:type="dxa"/>
            <w:left w:w="108" w:type="dxa"/>
            <w:bottom w:w="0" w:type="dxa"/>
            <w:right w:w="108" w:type="dxa"/>
          </w:tblCellMar>
        </w:tblPrEx>
        <w:trPr>
          <w:trHeight w:val="413" w:hRule="atLeast"/>
        </w:trPr>
        <w:tc>
          <w:tcPr>
            <w:tcW w:w="4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固定资产总额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1</w:t>
            </w:r>
            <w:r>
              <w:rPr>
                <w:rFonts w:ascii="宋体" w:hAnsi="宋体" w:eastAsia="宋体" w:cs="宋体"/>
                <w:color w:val="000000"/>
                <w:sz w:val="28"/>
                <w:szCs w:val="28"/>
                <w:lang w:eastAsia="zh-CN"/>
              </w:rPr>
              <w:t>60.08</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1、房屋（平方米）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1000</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52.60</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　　其中：办公用房（平方米）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1000</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52.60</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2、车辆（台、辆）</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3、单价在20万元以上的设备</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4、其他固定资产</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1</w:t>
            </w:r>
            <w:r>
              <w:rPr>
                <w:rFonts w:ascii="宋体" w:hAnsi="宋体" w:eastAsia="宋体" w:cs="宋体"/>
                <w:color w:val="000000"/>
                <w:sz w:val="28"/>
                <w:szCs w:val="28"/>
                <w:lang w:eastAsia="zh-CN"/>
              </w:rPr>
              <w:t>07.48</w:t>
            </w:r>
          </w:p>
        </w:tc>
      </w:tr>
    </w:tbl>
    <w:p>
      <w:pPr>
        <w:ind w:firstLine="640"/>
      </w:pPr>
      <w:r>
        <w:rPr>
          <w:rFonts w:eastAsia="方正仿宋_GBK"/>
          <w:color w:val="000000"/>
          <w:sz w:val="32"/>
        </w:rPr>
        <w:t xml:space="preserve"> </w:t>
      </w:r>
    </w:p>
    <w:p>
      <w:pPr>
        <w:spacing w:before="10" w:after="10"/>
        <w:ind w:firstLine="640"/>
        <w:outlineLvl w:val="2"/>
      </w:pPr>
      <w:bookmarkStart w:id="26" w:name="_Toc_3_3_0000000017"/>
      <w:r>
        <w:rPr>
          <w:rFonts w:ascii="黑体" w:hAnsi="黑体" w:eastAsia="黑体" w:cs="黑体"/>
          <w:color w:val="000000"/>
          <w:sz w:val="32"/>
        </w:rPr>
        <w:t>八、名词解释</w:t>
      </w:r>
      <w:bookmarkEnd w:id="2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7" w:name="_Toc_3_3_0000000018"/>
      <w:r>
        <w:rPr>
          <w:rFonts w:ascii="黑体" w:hAnsi="黑体" w:eastAsia="黑体" w:cs="黑体"/>
          <w:color w:val="000000"/>
          <w:sz w:val="32"/>
        </w:rPr>
        <w:t>九、其他需要说明的事项</w:t>
      </w:r>
      <w:bookmarkEnd w:id="2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jZkNDUyYWVmNDAyNTFlYzI2Y2QwYzhmNDk3YmIxOTgifQ=="/>
  </w:docVars>
  <w:rsids>
    <w:rsidRoot w:val="00781D3A"/>
    <w:rsid w:val="00013B41"/>
    <w:rsid w:val="00014590"/>
    <w:rsid w:val="00041C1D"/>
    <w:rsid w:val="0006111F"/>
    <w:rsid w:val="000B6740"/>
    <w:rsid w:val="000D07D4"/>
    <w:rsid w:val="00105DEA"/>
    <w:rsid w:val="001246DE"/>
    <w:rsid w:val="00135ED5"/>
    <w:rsid w:val="0015770F"/>
    <w:rsid w:val="0017464E"/>
    <w:rsid w:val="00186F58"/>
    <w:rsid w:val="001B44D1"/>
    <w:rsid w:val="001C0430"/>
    <w:rsid w:val="001C0AE6"/>
    <w:rsid w:val="001D7814"/>
    <w:rsid w:val="001F634C"/>
    <w:rsid w:val="00211176"/>
    <w:rsid w:val="00215DD3"/>
    <w:rsid w:val="00240A85"/>
    <w:rsid w:val="00247B0D"/>
    <w:rsid w:val="002645B6"/>
    <w:rsid w:val="0032336B"/>
    <w:rsid w:val="00333447"/>
    <w:rsid w:val="003606C1"/>
    <w:rsid w:val="00387672"/>
    <w:rsid w:val="003F7946"/>
    <w:rsid w:val="00425ECB"/>
    <w:rsid w:val="00472F0F"/>
    <w:rsid w:val="004A4555"/>
    <w:rsid w:val="004F5AF3"/>
    <w:rsid w:val="00511C67"/>
    <w:rsid w:val="005B1DB0"/>
    <w:rsid w:val="005C0955"/>
    <w:rsid w:val="005C68E3"/>
    <w:rsid w:val="005F247A"/>
    <w:rsid w:val="00616F63"/>
    <w:rsid w:val="00617188"/>
    <w:rsid w:val="006342E3"/>
    <w:rsid w:val="006642DD"/>
    <w:rsid w:val="006B610F"/>
    <w:rsid w:val="006C147B"/>
    <w:rsid w:val="006D375A"/>
    <w:rsid w:val="006F6ED9"/>
    <w:rsid w:val="006F7987"/>
    <w:rsid w:val="007214B5"/>
    <w:rsid w:val="00732304"/>
    <w:rsid w:val="00764881"/>
    <w:rsid w:val="007673C2"/>
    <w:rsid w:val="00781D3A"/>
    <w:rsid w:val="00791346"/>
    <w:rsid w:val="00791CF2"/>
    <w:rsid w:val="0079285F"/>
    <w:rsid w:val="00821C63"/>
    <w:rsid w:val="008236D4"/>
    <w:rsid w:val="008323E1"/>
    <w:rsid w:val="0084566E"/>
    <w:rsid w:val="008A3965"/>
    <w:rsid w:val="008F1159"/>
    <w:rsid w:val="00902092"/>
    <w:rsid w:val="009A4216"/>
    <w:rsid w:val="009C206B"/>
    <w:rsid w:val="009F569E"/>
    <w:rsid w:val="00A107E6"/>
    <w:rsid w:val="00A1673F"/>
    <w:rsid w:val="00A440AE"/>
    <w:rsid w:val="00A560CA"/>
    <w:rsid w:val="00A601B6"/>
    <w:rsid w:val="00AB53C3"/>
    <w:rsid w:val="00AD7106"/>
    <w:rsid w:val="00AF01AD"/>
    <w:rsid w:val="00B31261"/>
    <w:rsid w:val="00B641CD"/>
    <w:rsid w:val="00B808E7"/>
    <w:rsid w:val="00B9102B"/>
    <w:rsid w:val="00BC0518"/>
    <w:rsid w:val="00BC3CCF"/>
    <w:rsid w:val="00BF3F64"/>
    <w:rsid w:val="00C06639"/>
    <w:rsid w:val="00C27588"/>
    <w:rsid w:val="00C551BF"/>
    <w:rsid w:val="00C551C0"/>
    <w:rsid w:val="00C64C48"/>
    <w:rsid w:val="00C84C2E"/>
    <w:rsid w:val="00C92AE3"/>
    <w:rsid w:val="00CA59D1"/>
    <w:rsid w:val="00CB6BE0"/>
    <w:rsid w:val="00CF2092"/>
    <w:rsid w:val="00CF6148"/>
    <w:rsid w:val="00D0538E"/>
    <w:rsid w:val="00D42B1A"/>
    <w:rsid w:val="00D548AE"/>
    <w:rsid w:val="00DA2952"/>
    <w:rsid w:val="00DC041D"/>
    <w:rsid w:val="00DE32C6"/>
    <w:rsid w:val="00DF7C5F"/>
    <w:rsid w:val="00E01DE7"/>
    <w:rsid w:val="00E21F9E"/>
    <w:rsid w:val="00E6241B"/>
    <w:rsid w:val="00EC2D9D"/>
    <w:rsid w:val="00EC5868"/>
    <w:rsid w:val="00ED2EDE"/>
    <w:rsid w:val="00F06ADE"/>
    <w:rsid w:val="00F37B70"/>
    <w:rsid w:val="00F47207"/>
    <w:rsid w:val="00FA3FFE"/>
    <w:rsid w:val="00FB498B"/>
    <w:rsid w:val="00FE22D6"/>
    <w:rsid w:val="054B4674"/>
    <w:rsid w:val="117B0E88"/>
    <w:rsid w:val="1F001077"/>
    <w:rsid w:val="1FCF2C31"/>
    <w:rsid w:val="20B201F6"/>
    <w:rsid w:val="2C0F23A5"/>
    <w:rsid w:val="34C93A39"/>
    <w:rsid w:val="37CF26CA"/>
    <w:rsid w:val="48BA73C9"/>
    <w:rsid w:val="4A6E08DD"/>
    <w:rsid w:val="57D525A4"/>
    <w:rsid w:val="5B01542B"/>
    <w:rsid w:val="618868A7"/>
    <w:rsid w:val="714279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字符"/>
    <w:basedOn w:val="10"/>
    <w:link w:val="4"/>
    <w:qFormat/>
    <w:uiPriority w:val="99"/>
    <w:rPr>
      <w:rFonts w:eastAsia="Times New Roman"/>
      <w:sz w:val="18"/>
      <w:szCs w:val="18"/>
      <w:lang w:eastAsia="uk-UA"/>
    </w:rPr>
  </w:style>
  <w:style w:type="character" w:customStyle="1" w:styleId="34">
    <w:name w:val="页脚 字符"/>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5" Type="http://schemas.openxmlformats.org/officeDocument/2006/relationships/fontTable" Target="fontTable.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7DA1E944-597F-4D9A-ADC8-E3A5D62388E9}">
  <ds:schemaRefs/>
</ds:datastoreItem>
</file>

<file path=customXml/itemProps10.xml><?xml version="1.0" encoding="utf-8"?>
<ds:datastoreItem xmlns:ds="http://schemas.openxmlformats.org/officeDocument/2006/customXml" ds:itemID="{C486A553-0F69-4945-B340-E49BCA32411A}">
  <ds:schemaRefs/>
</ds:datastoreItem>
</file>

<file path=customXml/itemProps11.xml><?xml version="1.0" encoding="utf-8"?>
<ds:datastoreItem xmlns:ds="http://schemas.openxmlformats.org/officeDocument/2006/customXml" ds:itemID="{D5DDAF8B-C90E-40EE-B940-CCD547411B81}">
  <ds:schemaRefs/>
</ds:datastoreItem>
</file>

<file path=customXml/itemProps12.xml><?xml version="1.0" encoding="utf-8"?>
<ds:datastoreItem xmlns:ds="http://schemas.openxmlformats.org/officeDocument/2006/customXml" ds:itemID="{526561F4-D429-4474-A75E-30A59CF88000}">
  <ds:schemaRefs/>
</ds:datastoreItem>
</file>

<file path=customXml/itemProps13.xml><?xml version="1.0" encoding="utf-8"?>
<ds:datastoreItem xmlns:ds="http://schemas.openxmlformats.org/officeDocument/2006/customXml" ds:itemID="{66CC41B6-D28D-4EED-B564-F0D3D013B8B1}">
  <ds:schemaRefs/>
</ds:datastoreItem>
</file>

<file path=customXml/itemProps14.xml><?xml version="1.0" encoding="utf-8"?>
<ds:datastoreItem xmlns:ds="http://schemas.openxmlformats.org/officeDocument/2006/customXml" ds:itemID="{4074F53B-6AA8-493B-96FF-0D7EB858216C}">
  <ds:schemaRefs/>
</ds:datastoreItem>
</file>

<file path=customXml/itemProps15.xml><?xml version="1.0" encoding="utf-8"?>
<ds:datastoreItem xmlns:ds="http://schemas.openxmlformats.org/officeDocument/2006/customXml" ds:itemID="{9E39FA8A-0D5E-4C72-88C2-A4A5C9D016A3}">
  <ds:schemaRefs/>
</ds:datastoreItem>
</file>

<file path=customXml/itemProps16.xml><?xml version="1.0" encoding="utf-8"?>
<ds:datastoreItem xmlns:ds="http://schemas.openxmlformats.org/officeDocument/2006/customXml" ds:itemID="{E56AD1C2-FB4D-4572-86C7-2470DBB3943B}">
  <ds:schemaRefs/>
</ds:datastoreItem>
</file>

<file path=customXml/itemProps17.xml><?xml version="1.0" encoding="utf-8"?>
<ds:datastoreItem xmlns:ds="http://schemas.openxmlformats.org/officeDocument/2006/customXml" ds:itemID="{3738A873-547B-4BE8-8C45-4FB1E28C218C}">
  <ds:schemaRefs/>
</ds:datastoreItem>
</file>

<file path=customXml/itemProps18.xml><?xml version="1.0" encoding="utf-8"?>
<ds:datastoreItem xmlns:ds="http://schemas.openxmlformats.org/officeDocument/2006/customXml" ds:itemID="{1C4E702D-2594-4689-8404-84AFD7E73E52}">
  <ds:schemaRefs/>
</ds:datastoreItem>
</file>

<file path=customXml/itemProps19.xml><?xml version="1.0" encoding="utf-8"?>
<ds:datastoreItem xmlns:ds="http://schemas.openxmlformats.org/officeDocument/2006/customXml" ds:itemID="{989DA21E-0CDF-4E3D-84F6-1D172BF7F4B9}">
  <ds:schemaRefs/>
</ds:datastoreItem>
</file>

<file path=customXml/itemProps2.xml><?xml version="1.0" encoding="utf-8"?>
<ds:datastoreItem xmlns:ds="http://schemas.openxmlformats.org/officeDocument/2006/customXml" ds:itemID="{907DF196-29BA-4F64-A2E6-9B891D8DA970}">
  <ds:schemaRefs/>
</ds:datastoreItem>
</file>

<file path=customXml/itemProps20.xml><?xml version="1.0" encoding="utf-8"?>
<ds:datastoreItem xmlns:ds="http://schemas.openxmlformats.org/officeDocument/2006/customXml" ds:itemID="{FF40C868-CD10-4565-BD6F-28B55B247751}">
  <ds:schemaRefs/>
</ds:datastoreItem>
</file>

<file path=customXml/itemProps21.xml><?xml version="1.0" encoding="utf-8"?>
<ds:datastoreItem xmlns:ds="http://schemas.openxmlformats.org/officeDocument/2006/customXml" ds:itemID="{BF249A3C-5046-4792-B1C7-86A45BD0F7B3}">
  <ds:schemaRefs/>
</ds:datastoreItem>
</file>

<file path=customXml/itemProps22.xml><?xml version="1.0" encoding="utf-8"?>
<ds:datastoreItem xmlns:ds="http://schemas.openxmlformats.org/officeDocument/2006/customXml" ds:itemID="{BAA19A8D-5B92-489B-B169-BAD91A103344}">
  <ds:schemaRefs/>
</ds:datastoreItem>
</file>

<file path=customXml/itemProps23.xml><?xml version="1.0" encoding="utf-8"?>
<ds:datastoreItem xmlns:ds="http://schemas.openxmlformats.org/officeDocument/2006/customXml" ds:itemID="{BC8B0B68-B399-4D6D-AE2B-284CCF1A5CB6}">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B9E9C162-3959-4E09-8552-3788A3BCB94D}">
  <ds:schemaRefs/>
</ds:datastoreItem>
</file>

<file path=customXml/itemProps26.xml><?xml version="1.0" encoding="utf-8"?>
<ds:datastoreItem xmlns:ds="http://schemas.openxmlformats.org/officeDocument/2006/customXml" ds:itemID="{55A60376-5F1A-4B58-BE70-A0B8CD8AC393}">
  <ds:schemaRefs/>
</ds:datastoreItem>
</file>

<file path=customXml/itemProps27.xml><?xml version="1.0" encoding="utf-8"?>
<ds:datastoreItem xmlns:ds="http://schemas.openxmlformats.org/officeDocument/2006/customXml" ds:itemID="{335668B4-649C-41E0-BC80-7D94ABF681A2}">
  <ds:schemaRefs/>
</ds:datastoreItem>
</file>

<file path=customXml/itemProps28.xml><?xml version="1.0" encoding="utf-8"?>
<ds:datastoreItem xmlns:ds="http://schemas.openxmlformats.org/officeDocument/2006/customXml" ds:itemID="{DFFE41CD-7795-417D-8B3D-7B7E92ADCE28}">
  <ds:schemaRefs/>
</ds:datastoreItem>
</file>

<file path=customXml/itemProps29.xml><?xml version="1.0" encoding="utf-8"?>
<ds:datastoreItem xmlns:ds="http://schemas.openxmlformats.org/officeDocument/2006/customXml" ds:itemID="{4D21B174-EFD5-481F-8023-ECD2C99EA6A5}">
  <ds:schemaRefs/>
</ds:datastoreItem>
</file>

<file path=customXml/itemProps3.xml><?xml version="1.0" encoding="utf-8"?>
<ds:datastoreItem xmlns:ds="http://schemas.openxmlformats.org/officeDocument/2006/customXml" ds:itemID="{240D75C0-5405-407A-9D88-451A6C53325C}">
  <ds:schemaRefs/>
</ds:datastoreItem>
</file>

<file path=customXml/itemProps30.xml><?xml version="1.0" encoding="utf-8"?>
<ds:datastoreItem xmlns:ds="http://schemas.openxmlformats.org/officeDocument/2006/customXml" ds:itemID="{127F30A9-AC64-4000-970B-04BBBAF6782F}">
  <ds:schemaRefs/>
</ds:datastoreItem>
</file>

<file path=customXml/itemProps31.xml><?xml version="1.0" encoding="utf-8"?>
<ds:datastoreItem xmlns:ds="http://schemas.openxmlformats.org/officeDocument/2006/customXml" ds:itemID="{9B2DCA2B-261B-4FC5-92E2-74D6E9C53092}">
  <ds:schemaRefs/>
</ds:datastoreItem>
</file>

<file path=customXml/itemProps32.xml><?xml version="1.0" encoding="utf-8"?>
<ds:datastoreItem xmlns:ds="http://schemas.openxmlformats.org/officeDocument/2006/customXml" ds:itemID="{F2B0114A-1BF3-408C-A937-DBD594359DD7}">
  <ds:schemaRefs/>
</ds:datastoreItem>
</file>

<file path=customXml/itemProps33.xml><?xml version="1.0" encoding="utf-8"?>
<ds:datastoreItem xmlns:ds="http://schemas.openxmlformats.org/officeDocument/2006/customXml" ds:itemID="{82063DCE-E0D9-4D45-94AB-06A5849F123C}">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328F8FAA-F9B6-48DE-ABD9-772610F9386F}">
  <ds:schemaRefs/>
</ds:datastoreItem>
</file>

<file path=customXml/itemProps36.xml><?xml version="1.0" encoding="utf-8"?>
<ds:datastoreItem xmlns:ds="http://schemas.openxmlformats.org/officeDocument/2006/customXml" ds:itemID="{5EFC46A3-03BA-4ECF-B65E-51918400F753}">
  <ds:schemaRefs/>
</ds:datastoreItem>
</file>

<file path=customXml/itemProps37.xml><?xml version="1.0" encoding="utf-8"?>
<ds:datastoreItem xmlns:ds="http://schemas.openxmlformats.org/officeDocument/2006/customXml" ds:itemID="{6C8F0DDD-DA95-49D7-BEC9-54BED6023821}">
  <ds:schemaRefs/>
</ds:datastoreItem>
</file>

<file path=customXml/itemProps38.xml><?xml version="1.0" encoding="utf-8"?>
<ds:datastoreItem xmlns:ds="http://schemas.openxmlformats.org/officeDocument/2006/customXml" ds:itemID="{B52E45D6-0F3C-4B21-B161-FA591631F8EB}">
  <ds:schemaRefs/>
</ds:datastoreItem>
</file>

<file path=customXml/itemProps39.xml><?xml version="1.0" encoding="utf-8"?>
<ds:datastoreItem xmlns:ds="http://schemas.openxmlformats.org/officeDocument/2006/customXml" ds:itemID="{927546BB-28A9-4183-9889-130B2B46E760}">
  <ds:schemaRefs/>
</ds:datastoreItem>
</file>

<file path=customXml/itemProps4.xml><?xml version="1.0" encoding="utf-8"?>
<ds:datastoreItem xmlns:ds="http://schemas.openxmlformats.org/officeDocument/2006/customXml" ds:itemID="{C593EC27-B89C-46A8-9CF9-3B5AE2B23C20}">
  <ds:schemaRefs/>
</ds:datastoreItem>
</file>

<file path=customXml/itemProps5.xml><?xml version="1.0" encoding="utf-8"?>
<ds:datastoreItem xmlns:ds="http://schemas.openxmlformats.org/officeDocument/2006/customXml" ds:itemID="{8807E301-CE3E-48B0-8F1B-BE48F29E1736}">
  <ds:schemaRefs/>
</ds:datastoreItem>
</file>

<file path=customXml/itemProps6.xml><?xml version="1.0" encoding="utf-8"?>
<ds:datastoreItem xmlns:ds="http://schemas.openxmlformats.org/officeDocument/2006/customXml" ds:itemID="{B8034E79-3EC9-4FB4-8900-8DB566ED87F2}">
  <ds:schemaRefs/>
</ds:datastoreItem>
</file>

<file path=customXml/itemProps7.xml><?xml version="1.0" encoding="utf-8"?>
<ds:datastoreItem xmlns:ds="http://schemas.openxmlformats.org/officeDocument/2006/customXml" ds:itemID="{DD8D39B1-E032-4B64-9020-66CD65ABCD3B}">
  <ds:schemaRefs/>
</ds:datastoreItem>
</file>

<file path=customXml/itemProps8.xml><?xml version="1.0" encoding="utf-8"?>
<ds:datastoreItem xmlns:ds="http://schemas.openxmlformats.org/officeDocument/2006/customXml" ds:itemID="{CB6B8C05-D526-4E72-8AB4-B1FB0F487636}">
  <ds:schemaRefs/>
</ds:datastoreItem>
</file>

<file path=customXml/itemProps9.xml><?xml version="1.0" encoding="utf-8"?>
<ds:datastoreItem xmlns:ds="http://schemas.openxmlformats.org/officeDocument/2006/customXml" ds:itemID="{C864F1CC-9C8C-41E6-8FD8-C85E12A440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2652</Words>
  <Characters>15119</Characters>
  <Lines>125</Lines>
  <Paragraphs>35</Paragraphs>
  <TotalTime>152</TotalTime>
  <ScaleCrop>false</ScaleCrop>
  <LinksUpToDate>false</LinksUpToDate>
  <CharactersWithSpaces>17736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2022-06-16T03:08:00Z</dcterms:created>
  <dc:creator>Administrator</dc:creator>
  <cp:lastModifiedBy>A  幼苗！</cp:lastModifiedBy>
  <dcterms:modified xsi:type="dcterms:W3CDTF">2023-11-10T04:00:30Z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