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sz w:val="44"/>
          <w:szCs w:val="44"/>
        </w:rPr>
      </w:pPr>
      <w:r>
        <w:rPr>
          <w:rFonts w:hint="eastAsia" w:ascii="黑体" w:hAnsi="黑体" w:eastAsia="黑体" w:cs="黑体"/>
          <w:b/>
          <w:color w:val="000000"/>
          <w:sz w:val="44"/>
          <w:szCs w:val="44"/>
          <w:lang w:eastAsia="zh-CN"/>
        </w:rPr>
        <w:t>中国共产党涞水县委员会组织部</w:t>
      </w:r>
      <w:r>
        <w:rPr>
          <w:rFonts w:hint="eastAsia" w:ascii="黑体" w:hAnsi="黑体" w:eastAsia="黑体" w:cs="黑体"/>
          <w:b/>
          <w:color w:val="000000"/>
          <w:sz w:val="44"/>
          <w:szCs w:val="44"/>
        </w:rPr>
        <w:t>所属单位预算</w:t>
      </w:r>
    </w:p>
    <w:p>
      <w:pPr>
        <w:pStyle w:val="8"/>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中国共产党涞水县委员会组织部</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8"/>
        <w:tabs>
          <w:tab w:val="right" w:leader="dot" w:pos="14562"/>
        </w:tabs>
        <w:ind w:firstLine="0"/>
        <w:rPr>
          <w:lang w:eastAsia="zh-CN"/>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rPr>
        <w:sectPr>
          <w:headerReference r:id="rId4" w:type="default"/>
          <w:footerReference r:id="rId6" w:type="default"/>
          <w:headerReference r:id="rId5" w:type="even"/>
          <w:footerReference r:id="rId7" w:type="even"/>
          <w:type w:val="continuous"/>
          <w:pgSz w:w="16840" w:h="11900" w:orient="landscape"/>
          <w:pgMar w:top="1361" w:right="1021" w:bottom="1134" w:left="1021" w:header="720" w:footer="720" w:gutter="0"/>
          <w:pgNumType w:start="0"/>
          <w:cols w:space="720" w:num="1"/>
        </w:sect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203001中国共产党涞水县委员会组织部</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6661" w:type="dxa"/>
            <w:gridSpan w:val="2"/>
            <w:vAlign w:val="center"/>
          </w:tcPr>
          <w:p>
            <w:pPr>
              <w:pStyle w:val="21"/>
            </w:pPr>
            <w:r>
              <w:rPr>
                <w:rFonts w:hint="eastAsia"/>
              </w:rPr>
              <w:t>收入</w:t>
            </w:r>
          </w:p>
        </w:tc>
        <w:tc>
          <w:tcPr>
            <w:tcW w:w="6661" w:type="dxa"/>
            <w:gridSpan w:val="2"/>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rPr>
                <w:rFonts w:hint="eastAsia"/>
              </w:rPr>
              <w:t>一、一般公共预算拨款收入</w:t>
            </w:r>
          </w:p>
        </w:tc>
        <w:tc>
          <w:tcPr>
            <w:tcW w:w="2126" w:type="dxa"/>
            <w:vAlign w:val="center"/>
          </w:tcPr>
          <w:p>
            <w:pPr>
              <w:pStyle w:val="22"/>
              <w:rPr>
                <w:rFonts w:hint="eastAsia" w:eastAsiaTheme="minorEastAsia"/>
                <w:lang w:eastAsia="zh-CN"/>
              </w:rPr>
            </w:pPr>
            <w:r>
              <w:rPr>
                <w:rFonts w:hint="eastAsia" w:eastAsiaTheme="minorEastAsia"/>
                <w:lang w:eastAsia="zh-CN"/>
              </w:rPr>
              <w:t>5967.44</w:t>
            </w:r>
          </w:p>
        </w:tc>
        <w:tc>
          <w:tcPr>
            <w:tcW w:w="4535" w:type="dxa"/>
            <w:vAlign w:val="center"/>
          </w:tcPr>
          <w:p>
            <w:pPr>
              <w:pStyle w:val="23"/>
            </w:pPr>
            <w:r>
              <w:rPr>
                <w:rFonts w:hint="eastAsia"/>
              </w:rPr>
              <w:t>一、一般公共服务支出</w:t>
            </w:r>
          </w:p>
        </w:tc>
        <w:tc>
          <w:tcPr>
            <w:tcW w:w="2126" w:type="dxa"/>
            <w:vAlign w:val="center"/>
          </w:tcPr>
          <w:p>
            <w:pPr>
              <w:pStyle w:val="22"/>
              <w:rPr>
                <w:lang w:eastAsia="zh-CN"/>
              </w:rPr>
            </w:pPr>
            <w:r>
              <w:rPr>
                <w:rFonts w:hint="eastAsia"/>
                <w:lang w:eastAsia="zh-CN"/>
              </w:rPr>
              <w:t>338.61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rPr>
                <w:rFonts w:hint="eastAsia"/>
              </w:rPr>
              <w:t>二、政府性基金预算拨款收入</w:t>
            </w:r>
          </w:p>
        </w:tc>
        <w:tc>
          <w:tcPr>
            <w:tcW w:w="2126" w:type="dxa"/>
            <w:vAlign w:val="center"/>
          </w:tcPr>
          <w:p>
            <w:pPr>
              <w:pStyle w:val="22"/>
            </w:pPr>
          </w:p>
        </w:tc>
        <w:tc>
          <w:tcPr>
            <w:tcW w:w="4535" w:type="dxa"/>
            <w:vAlign w:val="center"/>
          </w:tcPr>
          <w:p>
            <w:pPr>
              <w:pStyle w:val="23"/>
            </w:pPr>
            <w:r>
              <w:rPr>
                <w:rFonts w:hint="eastAsia"/>
              </w:rP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rPr>
                <w:rFonts w:hint="eastAsia"/>
              </w:rPr>
              <w:t>三、国有资本经营预算拨款收入</w:t>
            </w:r>
          </w:p>
        </w:tc>
        <w:tc>
          <w:tcPr>
            <w:tcW w:w="2126" w:type="dxa"/>
            <w:vAlign w:val="center"/>
          </w:tcPr>
          <w:p>
            <w:pPr>
              <w:pStyle w:val="22"/>
            </w:pPr>
          </w:p>
        </w:tc>
        <w:tc>
          <w:tcPr>
            <w:tcW w:w="4535" w:type="dxa"/>
            <w:vAlign w:val="center"/>
          </w:tcPr>
          <w:p>
            <w:pPr>
              <w:pStyle w:val="23"/>
            </w:pPr>
            <w:r>
              <w:rPr>
                <w:rFonts w:hint="eastAsia"/>
              </w:rP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rPr>
                <w:rFonts w:hint="eastAsia"/>
              </w:rPr>
              <w:t>四、财政专户管理资金收入</w:t>
            </w:r>
          </w:p>
        </w:tc>
        <w:tc>
          <w:tcPr>
            <w:tcW w:w="2126" w:type="dxa"/>
            <w:vAlign w:val="center"/>
          </w:tcPr>
          <w:p>
            <w:pPr>
              <w:pStyle w:val="22"/>
            </w:pPr>
          </w:p>
        </w:tc>
        <w:tc>
          <w:tcPr>
            <w:tcW w:w="4535" w:type="dxa"/>
            <w:vAlign w:val="center"/>
          </w:tcPr>
          <w:p>
            <w:pPr>
              <w:pStyle w:val="23"/>
            </w:pPr>
            <w:r>
              <w:rPr>
                <w:rFonts w:hint="eastAsia"/>
              </w:rP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rPr>
                <w:rFonts w:hint="eastAsia"/>
              </w:rPr>
              <w:t>五、事业收入</w:t>
            </w:r>
          </w:p>
        </w:tc>
        <w:tc>
          <w:tcPr>
            <w:tcW w:w="2126" w:type="dxa"/>
            <w:vAlign w:val="center"/>
          </w:tcPr>
          <w:p>
            <w:pPr>
              <w:pStyle w:val="22"/>
            </w:pPr>
          </w:p>
        </w:tc>
        <w:tc>
          <w:tcPr>
            <w:tcW w:w="4535" w:type="dxa"/>
            <w:vAlign w:val="center"/>
          </w:tcPr>
          <w:p>
            <w:pPr>
              <w:pStyle w:val="23"/>
            </w:pPr>
            <w:r>
              <w:rPr>
                <w:rFonts w:hint="eastAsia"/>
              </w:rPr>
              <w:t>五、教育支出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rPr>
                <w:rFonts w:hint="eastAsia"/>
              </w:rPr>
              <w:t>六、事业单位经营收入</w:t>
            </w:r>
          </w:p>
        </w:tc>
        <w:tc>
          <w:tcPr>
            <w:tcW w:w="2126" w:type="dxa"/>
            <w:vAlign w:val="center"/>
          </w:tcPr>
          <w:p>
            <w:pPr>
              <w:pStyle w:val="22"/>
            </w:pPr>
          </w:p>
        </w:tc>
        <w:tc>
          <w:tcPr>
            <w:tcW w:w="4535" w:type="dxa"/>
            <w:vAlign w:val="center"/>
          </w:tcPr>
          <w:p>
            <w:pPr>
              <w:pStyle w:val="23"/>
            </w:pPr>
            <w:r>
              <w:rPr>
                <w:rFonts w:hint="eastAsia"/>
              </w:rP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rPr>
                <w:rFonts w:hint="eastAsia"/>
              </w:rPr>
              <w:t>七、上级补助收入</w:t>
            </w:r>
          </w:p>
        </w:tc>
        <w:tc>
          <w:tcPr>
            <w:tcW w:w="2126" w:type="dxa"/>
            <w:vAlign w:val="center"/>
          </w:tcPr>
          <w:p>
            <w:pPr>
              <w:pStyle w:val="22"/>
            </w:pPr>
          </w:p>
        </w:tc>
        <w:tc>
          <w:tcPr>
            <w:tcW w:w="4535" w:type="dxa"/>
            <w:vAlign w:val="center"/>
          </w:tcPr>
          <w:p>
            <w:pPr>
              <w:pStyle w:val="23"/>
            </w:pPr>
            <w:r>
              <w:rPr>
                <w:rFonts w:hint="eastAsia"/>
              </w:rP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rPr>
                <w:rFonts w:hint="eastAsia"/>
              </w:rPr>
              <w:t>八、附属单位上缴收入</w:t>
            </w:r>
          </w:p>
        </w:tc>
        <w:tc>
          <w:tcPr>
            <w:tcW w:w="2126" w:type="dxa"/>
            <w:vAlign w:val="center"/>
          </w:tcPr>
          <w:p>
            <w:pPr>
              <w:pStyle w:val="22"/>
            </w:pPr>
          </w:p>
        </w:tc>
        <w:tc>
          <w:tcPr>
            <w:tcW w:w="4535" w:type="dxa"/>
            <w:vAlign w:val="center"/>
          </w:tcPr>
          <w:p>
            <w:pPr>
              <w:pStyle w:val="23"/>
            </w:pPr>
            <w:r>
              <w:rPr>
                <w:rFonts w:hint="eastAsia"/>
              </w:rPr>
              <w:t>八、社会保障和就业支出</w:t>
            </w:r>
          </w:p>
        </w:tc>
        <w:tc>
          <w:tcPr>
            <w:tcW w:w="2126" w:type="dxa"/>
            <w:vAlign w:val="center"/>
          </w:tcPr>
          <w:p>
            <w:pPr>
              <w:pStyle w:val="22"/>
              <w:rPr>
                <w:lang w:eastAsia="zh-CN"/>
              </w:rPr>
            </w:pPr>
            <w:r>
              <w:rPr>
                <w:rFonts w:hint="eastAsia"/>
                <w:lang w:eastAsia="zh-CN"/>
              </w:rPr>
              <w:t>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rPr>
                <w:rFonts w:hint="eastAsia"/>
              </w:rPr>
              <w:t>九、其他收入</w:t>
            </w:r>
          </w:p>
        </w:tc>
        <w:tc>
          <w:tcPr>
            <w:tcW w:w="2126" w:type="dxa"/>
            <w:vAlign w:val="center"/>
          </w:tcPr>
          <w:p>
            <w:pPr>
              <w:pStyle w:val="22"/>
            </w:pPr>
          </w:p>
        </w:tc>
        <w:tc>
          <w:tcPr>
            <w:tcW w:w="4535" w:type="dxa"/>
            <w:vAlign w:val="center"/>
          </w:tcPr>
          <w:p>
            <w:pPr>
              <w:pStyle w:val="23"/>
            </w:pPr>
            <w:r>
              <w:rPr>
                <w:rFonts w:hint="eastAsia"/>
              </w:rP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十、卫生健康支出</w:t>
            </w:r>
          </w:p>
        </w:tc>
        <w:tc>
          <w:tcPr>
            <w:tcW w:w="2126" w:type="dxa"/>
            <w:vAlign w:val="center"/>
          </w:tcPr>
          <w:p>
            <w:pPr>
              <w:pStyle w:val="22"/>
              <w:rPr>
                <w:lang w:eastAsia="zh-CN"/>
              </w:rPr>
            </w:pPr>
            <w:r>
              <w:rPr>
                <w:rFonts w:hint="eastAsia"/>
                <w:lang w:eastAsia="zh-CN"/>
              </w:rP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十三、农林水支出</w:t>
            </w:r>
          </w:p>
        </w:tc>
        <w:tc>
          <w:tcPr>
            <w:tcW w:w="2126" w:type="dxa"/>
            <w:vAlign w:val="center"/>
          </w:tcPr>
          <w:p>
            <w:pPr>
              <w:pStyle w:val="22"/>
              <w:rPr>
                <w:lang w:eastAsia="zh-CN"/>
              </w:rPr>
            </w:pPr>
            <w:r>
              <w:rPr>
                <w:rFonts w:hint="eastAsia"/>
                <w:lang w:eastAsia="zh-CN"/>
              </w:rPr>
              <w:t>5611.31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二十、住房保障支出</w:t>
            </w:r>
          </w:p>
        </w:tc>
        <w:tc>
          <w:tcPr>
            <w:tcW w:w="2126" w:type="dxa"/>
            <w:vAlign w:val="center"/>
          </w:tcPr>
          <w:p>
            <w:pPr>
              <w:pStyle w:val="22"/>
              <w:rPr>
                <w:lang w:eastAsia="zh-CN"/>
              </w:rPr>
            </w:pPr>
            <w:r>
              <w:rPr>
                <w:rFonts w:hint="eastAsia"/>
                <w:lang w:eastAsia="zh-CN"/>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5"/>
            </w:pPr>
            <w:r>
              <w:rPr>
                <w:rFonts w:hint="eastAsia"/>
              </w:rPr>
              <w:t>本年收入合计</w:t>
            </w:r>
          </w:p>
        </w:tc>
        <w:tc>
          <w:tcPr>
            <w:tcW w:w="2126" w:type="dxa"/>
            <w:vAlign w:val="center"/>
          </w:tcPr>
          <w:p>
            <w:pPr>
              <w:pStyle w:val="26"/>
              <w:rPr>
                <w:lang w:eastAsia="zh-CN"/>
              </w:rPr>
            </w:pPr>
            <w:r>
              <w:rPr>
                <w:rFonts w:hint="eastAsia"/>
                <w:lang w:eastAsia="zh-CN"/>
              </w:rPr>
              <w:t>5967.44</w:t>
            </w:r>
          </w:p>
        </w:tc>
        <w:tc>
          <w:tcPr>
            <w:tcW w:w="4535" w:type="dxa"/>
            <w:vAlign w:val="center"/>
          </w:tcPr>
          <w:p>
            <w:pPr>
              <w:pStyle w:val="25"/>
            </w:pPr>
            <w:r>
              <w:rPr>
                <w:rFonts w:hint="eastAsia"/>
              </w:rPr>
              <w:t>本年支出合计</w:t>
            </w:r>
          </w:p>
        </w:tc>
        <w:tc>
          <w:tcPr>
            <w:tcW w:w="2126" w:type="dxa"/>
            <w:vAlign w:val="center"/>
          </w:tcPr>
          <w:p>
            <w:pPr>
              <w:pStyle w:val="26"/>
              <w:rPr>
                <w:lang w:eastAsia="zh-CN"/>
              </w:rPr>
            </w:pPr>
            <w:r>
              <w:rPr>
                <w:rFonts w:hint="eastAsia"/>
                <w:lang w:eastAsia="zh-CN"/>
              </w:rPr>
              <w:t>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3"/>
            </w:pPr>
            <w:r>
              <w:rPr>
                <w:rFonts w:hint="eastAsia"/>
              </w:rPr>
              <w:t>上年结转结余</w:t>
            </w:r>
          </w:p>
        </w:tc>
        <w:tc>
          <w:tcPr>
            <w:tcW w:w="2126" w:type="dxa"/>
            <w:vAlign w:val="center"/>
          </w:tcPr>
          <w:p>
            <w:pPr>
              <w:pStyle w:val="22"/>
            </w:pPr>
          </w:p>
        </w:tc>
        <w:tc>
          <w:tcPr>
            <w:tcW w:w="4535" w:type="dxa"/>
            <w:vAlign w:val="center"/>
          </w:tcPr>
          <w:p>
            <w:pPr>
              <w:pStyle w:val="23"/>
            </w:pPr>
            <w:r>
              <w:rPr>
                <w:rFonts w:hint="eastAsia"/>
              </w:rPr>
              <w:t>年终结转结余</w:t>
            </w:r>
          </w:p>
        </w:tc>
        <w:tc>
          <w:tcPr>
            <w:tcW w:w="2126" w:type="dxa"/>
            <w:vAlign w:val="center"/>
          </w:tcPr>
          <w:p>
            <w:pPr>
              <w:pStyle w:val="22"/>
              <w:rPr>
                <w:lang w:eastAsia="zh-CN"/>
              </w:rPr>
            </w:pPr>
            <w:r>
              <w:rPr>
                <w:rFonts w:hint="eastAsia"/>
                <w:lang w:eastAsia="zh-CN"/>
              </w:rPr>
              <w:t>-32.56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5"/>
            </w:pPr>
            <w:r>
              <w:rPr>
                <w:rFonts w:hint="eastAsia"/>
              </w:rPr>
              <w:t>收入总计</w:t>
            </w:r>
          </w:p>
        </w:tc>
        <w:tc>
          <w:tcPr>
            <w:tcW w:w="2126" w:type="dxa"/>
            <w:vAlign w:val="center"/>
          </w:tcPr>
          <w:p>
            <w:pPr>
              <w:pStyle w:val="26"/>
              <w:rPr>
                <w:lang w:eastAsia="zh-CN"/>
              </w:rPr>
            </w:pPr>
            <w:r>
              <w:rPr>
                <w:rFonts w:hint="eastAsia"/>
                <w:lang w:eastAsia="zh-CN"/>
              </w:rPr>
              <w:t>5967.44</w:t>
            </w:r>
          </w:p>
        </w:tc>
        <w:tc>
          <w:tcPr>
            <w:tcW w:w="4535" w:type="dxa"/>
            <w:vAlign w:val="center"/>
          </w:tcPr>
          <w:p>
            <w:pPr>
              <w:pStyle w:val="25"/>
            </w:pPr>
            <w:r>
              <w:rPr>
                <w:rFonts w:hint="eastAsia"/>
              </w:rPr>
              <w:t>支出总计</w:t>
            </w:r>
          </w:p>
        </w:tc>
        <w:tc>
          <w:tcPr>
            <w:tcW w:w="2126" w:type="dxa"/>
            <w:vAlign w:val="center"/>
          </w:tcPr>
          <w:p>
            <w:pPr>
              <w:pStyle w:val="26"/>
              <w:rPr>
                <w:lang w:eastAsia="zh-CN"/>
              </w:rPr>
            </w:pPr>
            <w:r>
              <w:rPr>
                <w:rFonts w:hint="eastAsia"/>
                <w:lang w:eastAsia="zh-CN"/>
              </w:rPr>
              <w:t>5967.44</w:t>
            </w:r>
          </w:p>
        </w:tc>
      </w:tr>
    </w:tbl>
    <w:p>
      <w:pPr>
        <w:rPr>
          <w:lang w:eastAsia="zh-CN"/>
        </w:rPr>
        <w:sectPr>
          <w:footerReference r:id="rId8" w:type="default"/>
          <w:footerReference r:id="rId9"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92"/>
        <w:gridCol w:w="13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jc w:val="center"/>
            </w:pPr>
            <w:r>
              <w:rPr>
                <w:rFonts w:hint="eastAsia"/>
                <w:lang w:eastAsia="zh-CN"/>
              </w:rPr>
              <w:t>203001中国共产党涞水县委员会组织部</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8"/>
              <w:jc w:val="cente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rPr>
                <w:rFonts w:hint="eastAsia"/>
              </w:rPr>
              <w:t>序号</w:t>
            </w:r>
          </w:p>
        </w:tc>
        <w:tc>
          <w:tcPr>
            <w:tcW w:w="2551" w:type="dxa"/>
            <w:gridSpan w:val="2"/>
            <w:vAlign w:val="center"/>
          </w:tcPr>
          <w:p>
            <w:pPr>
              <w:pStyle w:val="21"/>
            </w:pPr>
            <w:r>
              <w:rPr>
                <w:rFonts w:hint="eastAsia"/>
              </w:rPr>
              <w:t>功能分类科目</w:t>
            </w:r>
          </w:p>
        </w:tc>
        <w:tc>
          <w:tcPr>
            <w:tcW w:w="1134" w:type="dxa"/>
            <w:vMerge w:val="restart"/>
            <w:vAlign w:val="center"/>
          </w:tcPr>
          <w:p>
            <w:pPr>
              <w:pStyle w:val="21"/>
            </w:pPr>
            <w:r>
              <w:rPr>
                <w:rFonts w:hint="eastAsia"/>
              </w:rPr>
              <w:t>合计</w:t>
            </w:r>
          </w:p>
        </w:tc>
        <w:tc>
          <w:tcPr>
            <w:tcW w:w="9072" w:type="dxa"/>
            <w:gridSpan w:val="8"/>
            <w:vAlign w:val="center"/>
          </w:tcPr>
          <w:p>
            <w:pPr>
              <w:pStyle w:val="21"/>
            </w:pPr>
            <w:r>
              <w:rPr>
                <w:rFonts w:hint="eastAsia"/>
              </w:rPr>
              <w:t>本年收入</w:t>
            </w:r>
          </w:p>
        </w:tc>
        <w:tc>
          <w:tcPr>
            <w:tcW w:w="1134" w:type="dxa"/>
            <w:vMerge w:val="restart"/>
            <w:vAlign w:val="center"/>
          </w:tcPr>
          <w:p>
            <w:pPr>
              <w:pStyle w:val="21"/>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center"/>
          </w:tcPr>
          <w:p>
            <w:pPr>
              <w:jc w:val="center"/>
            </w:pPr>
          </w:p>
        </w:tc>
        <w:tc>
          <w:tcPr>
            <w:tcW w:w="1192" w:type="dxa"/>
            <w:vAlign w:val="center"/>
          </w:tcPr>
          <w:p>
            <w:pPr>
              <w:pStyle w:val="21"/>
            </w:pPr>
            <w:r>
              <w:rPr>
                <w:rFonts w:hint="eastAsia"/>
              </w:rPr>
              <w:t>科目编码</w:t>
            </w:r>
          </w:p>
        </w:tc>
        <w:tc>
          <w:tcPr>
            <w:tcW w:w="1359" w:type="dxa"/>
            <w:vAlign w:val="center"/>
          </w:tcPr>
          <w:p>
            <w:pPr>
              <w:pStyle w:val="21"/>
            </w:pPr>
            <w:r>
              <w:rPr>
                <w:rFonts w:hint="eastAsia"/>
              </w:rPr>
              <w:t>科目名称</w:t>
            </w:r>
          </w:p>
        </w:tc>
        <w:tc>
          <w:tcPr>
            <w:tcW w:w="1134" w:type="dxa"/>
            <w:vMerge w:val="continue"/>
            <w:vAlign w:val="center"/>
          </w:tcPr>
          <w:p>
            <w:pPr>
              <w:jc w:val="center"/>
            </w:pPr>
          </w:p>
        </w:tc>
        <w:tc>
          <w:tcPr>
            <w:tcW w:w="1134" w:type="dxa"/>
            <w:vAlign w:val="center"/>
          </w:tcPr>
          <w:p>
            <w:pPr>
              <w:pStyle w:val="21"/>
            </w:pPr>
            <w:r>
              <w:rPr>
                <w:rFonts w:hint="eastAsia"/>
              </w:rPr>
              <w:t>小计</w:t>
            </w:r>
          </w:p>
        </w:tc>
        <w:tc>
          <w:tcPr>
            <w:tcW w:w="1134" w:type="dxa"/>
            <w:vAlign w:val="center"/>
          </w:tcPr>
          <w:p>
            <w:pPr>
              <w:pStyle w:val="21"/>
            </w:pPr>
            <w:r>
              <w:rPr>
                <w:rFonts w:hint="eastAsia"/>
              </w:rPr>
              <w:t>财政拨款收入</w:t>
            </w:r>
          </w:p>
        </w:tc>
        <w:tc>
          <w:tcPr>
            <w:tcW w:w="1134" w:type="dxa"/>
            <w:vAlign w:val="center"/>
          </w:tcPr>
          <w:p>
            <w:pPr>
              <w:pStyle w:val="21"/>
            </w:pPr>
            <w:r>
              <w:rPr>
                <w:rFonts w:hint="eastAsia"/>
              </w:rPr>
              <w:t>财政专户收入</w:t>
            </w:r>
          </w:p>
        </w:tc>
        <w:tc>
          <w:tcPr>
            <w:tcW w:w="1134" w:type="dxa"/>
            <w:vAlign w:val="center"/>
          </w:tcPr>
          <w:p>
            <w:pPr>
              <w:pStyle w:val="21"/>
            </w:pPr>
            <w:r>
              <w:rPr>
                <w:rFonts w:hint="eastAsia"/>
              </w:rPr>
              <w:t>事业收入</w:t>
            </w:r>
          </w:p>
        </w:tc>
        <w:tc>
          <w:tcPr>
            <w:tcW w:w="1134" w:type="dxa"/>
            <w:vAlign w:val="center"/>
          </w:tcPr>
          <w:p>
            <w:pPr>
              <w:pStyle w:val="21"/>
            </w:pPr>
            <w:r>
              <w:rPr>
                <w:rFonts w:hint="eastAsia"/>
              </w:rPr>
              <w:t>经营收入</w:t>
            </w:r>
          </w:p>
        </w:tc>
        <w:tc>
          <w:tcPr>
            <w:tcW w:w="1134" w:type="dxa"/>
            <w:vAlign w:val="center"/>
          </w:tcPr>
          <w:p>
            <w:pPr>
              <w:pStyle w:val="21"/>
            </w:pPr>
            <w:r>
              <w:rPr>
                <w:rFonts w:hint="eastAsia"/>
              </w:rPr>
              <w:t>上级补助收入</w:t>
            </w:r>
          </w:p>
        </w:tc>
        <w:tc>
          <w:tcPr>
            <w:tcW w:w="1134" w:type="dxa"/>
            <w:vAlign w:val="center"/>
          </w:tcPr>
          <w:p>
            <w:pPr>
              <w:pStyle w:val="21"/>
            </w:pPr>
            <w:r>
              <w:rPr>
                <w:rFonts w:hint="eastAsia"/>
              </w:rPr>
              <w:t>附属单位上缴收入</w:t>
            </w:r>
          </w:p>
        </w:tc>
        <w:tc>
          <w:tcPr>
            <w:tcW w:w="1134" w:type="dxa"/>
            <w:vAlign w:val="center"/>
          </w:tcPr>
          <w:p>
            <w:pPr>
              <w:pStyle w:val="21"/>
            </w:pPr>
            <w:r>
              <w:rPr>
                <w:rFonts w:hint="eastAsia"/>
              </w:rP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rPr>
                <w:rFonts w:hint="eastAsia"/>
              </w:rPr>
              <w:t>栏次</w:t>
            </w:r>
          </w:p>
        </w:tc>
        <w:tc>
          <w:tcPr>
            <w:tcW w:w="1192" w:type="dxa"/>
            <w:vAlign w:val="center"/>
          </w:tcPr>
          <w:p>
            <w:pPr>
              <w:pStyle w:val="21"/>
            </w:pPr>
            <w:r>
              <w:t>1</w:t>
            </w:r>
          </w:p>
        </w:tc>
        <w:tc>
          <w:tcPr>
            <w:tcW w:w="13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1192" w:type="dxa"/>
            <w:vAlign w:val="center"/>
          </w:tcPr>
          <w:p>
            <w:pPr>
              <w:pStyle w:val="27"/>
              <w:jc w:val="center"/>
            </w:pPr>
          </w:p>
        </w:tc>
        <w:tc>
          <w:tcPr>
            <w:tcW w:w="1359" w:type="dxa"/>
            <w:vAlign w:val="center"/>
          </w:tcPr>
          <w:p>
            <w:pPr>
              <w:pStyle w:val="25"/>
            </w:pPr>
            <w:r>
              <w:rPr>
                <w:rFonts w:hint="eastAsia"/>
              </w:rPr>
              <w:t>合计</w:t>
            </w:r>
          </w:p>
        </w:tc>
        <w:tc>
          <w:tcPr>
            <w:tcW w:w="1134" w:type="dxa"/>
            <w:vAlign w:val="center"/>
          </w:tcPr>
          <w:p>
            <w:pPr>
              <w:pStyle w:val="26"/>
              <w:jc w:val="center"/>
              <w:rPr>
                <w:rFonts w:hint="eastAsia" w:eastAsiaTheme="minorEastAsia"/>
                <w:lang w:eastAsia="zh-CN"/>
              </w:rPr>
            </w:pPr>
            <w:r>
              <w:rPr>
                <w:rFonts w:hint="eastAsia" w:eastAsiaTheme="minorEastAsia"/>
                <w:lang w:eastAsia="zh-CN"/>
              </w:rPr>
              <w:t>6000.00</w:t>
            </w:r>
          </w:p>
        </w:tc>
        <w:tc>
          <w:tcPr>
            <w:tcW w:w="1134" w:type="dxa"/>
            <w:vAlign w:val="center"/>
          </w:tcPr>
          <w:p>
            <w:pPr>
              <w:pStyle w:val="26"/>
              <w:jc w:val="center"/>
              <w:rPr>
                <w:rFonts w:hint="eastAsia" w:eastAsiaTheme="minorEastAsia"/>
                <w:lang w:eastAsia="zh-CN"/>
              </w:rPr>
            </w:pPr>
            <w:r>
              <w:rPr>
                <w:rFonts w:hint="eastAsia" w:eastAsiaTheme="minorEastAsia"/>
                <w:lang w:eastAsia="zh-CN"/>
              </w:rPr>
              <w:t>5967.44</w:t>
            </w:r>
          </w:p>
        </w:tc>
        <w:tc>
          <w:tcPr>
            <w:tcW w:w="1134" w:type="dxa"/>
            <w:vAlign w:val="center"/>
          </w:tcPr>
          <w:p>
            <w:pPr>
              <w:pStyle w:val="26"/>
              <w:jc w:val="center"/>
              <w:rPr>
                <w:rFonts w:hint="eastAsia" w:eastAsiaTheme="minorEastAsia"/>
                <w:lang w:eastAsia="zh-CN"/>
              </w:rPr>
            </w:pPr>
            <w:r>
              <w:rPr>
                <w:rFonts w:hint="eastAsia" w:eastAsiaTheme="minorEastAsia"/>
                <w:lang w:eastAsia="zh-CN"/>
              </w:rPr>
              <w:t>5967.44</w:t>
            </w: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rPr>
                <w:rFonts w:hint="eastAsia" w:eastAsiaTheme="minorEastAsia"/>
                <w:lang w:eastAsia="zh-CN"/>
              </w:rPr>
            </w:pPr>
            <w:r>
              <w:rPr>
                <w:rFonts w:hint="eastAsia" w:eastAsiaTheme="minorEastAsia"/>
                <w:lang w:eastAsia="zh-CN"/>
              </w:rPr>
              <w:t>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1192" w:type="dxa"/>
            <w:vAlign w:val="center"/>
          </w:tcPr>
          <w:p>
            <w:pPr>
              <w:pStyle w:val="23"/>
              <w:jc w:val="center"/>
            </w:pPr>
            <w:r>
              <w:t>201</w:t>
            </w:r>
          </w:p>
        </w:tc>
        <w:tc>
          <w:tcPr>
            <w:tcW w:w="1359" w:type="dxa"/>
            <w:vAlign w:val="center"/>
          </w:tcPr>
          <w:p>
            <w:pPr>
              <w:pStyle w:val="23"/>
              <w:jc w:val="center"/>
            </w:pPr>
            <w:r>
              <w:t>一般公共服务支出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338.61</w:t>
            </w:r>
          </w:p>
        </w:tc>
        <w:tc>
          <w:tcPr>
            <w:tcW w:w="1134" w:type="dxa"/>
            <w:vAlign w:val="center"/>
          </w:tcPr>
          <w:p>
            <w:pPr>
              <w:pStyle w:val="22"/>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2"/>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1192" w:type="dxa"/>
            <w:vAlign w:val="center"/>
          </w:tcPr>
          <w:p>
            <w:pPr>
              <w:pStyle w:val="23"/>
              <w:jc w:val="center"/>
              <w:rPr>
                <w:rFonts w:hint="eastAsia" w:eastAsiaTheme="minorEastAsia"/>
                <w:lang w:eastAsia="zh-CN"/>
              </w:rPr>
            </w:pPr>
            <w:r>
              <w:t>2010</w:t>
            </w:r>
            <w:r>
              <w:rPr>
                <w:rFonts w:hint="eastAsia" w:eastAsiaTheme="minorEastAsia"/>
                <w:lang w:eastAsia="zh-CN"/>
              </w:rPr>
              <w:t>3</w:t>
            </w:r>
          </w:p>
        </w:tc>
        <w:tc>
          <w:tcPr>
            <w:tcW w:w="1359" w:type="dxa"/>
            <w:vAlign w:val="center"/>
          </w:tcPr>
          <w:p>
            <w:pPr>
              <w:jc w:val="center"/>
              <w:rPr>
                <w:rFonts w:ascii="Calibri" w:hAnsi="Calibri" w:cs="宋体"/>
                <w:color w:val="000000"/>
                <w:sz w:val="22"/>
                <w:szCs w:val="22"/>
                <w:lang w:eastAsia="zh-CN"/>
              </w:rPr>
            </w:pPr>
            <w:r>
              <w:rPr>
                <w:rFonts w:hint="eastAsia" w:ascii="宋体" w:hAnsi="宋体" w:cs="宋体"/>
                <w:color w:val="000000"/>
                <w:sz w:val="22"/>
                <w:szCs w:val="22"/>
              </w:rPr>
              <w:t>政府办公厅（室）及相关机构事务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6.41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1192" w:type="dxa"/>
            <w:vAlign w:val="center"/>
          </w:tcPr>
          <w:p>
            <w:pPr>
              <w:pStyle w:val="23"/>
              <w:jc w:val="center"/>
              <w:rPr>
                <w:rFonts w:hint="eastAsia" w:eastAsiaTheme="minorEastAsia"/>
                <w:lang w:eastAsia="zh-CN"/>
              </w:rPr>
            </w:pPr>
            <w:r>
              <w:t>2010</w:t>
            </w:r>
            <w:r>
              <w:rPr>
                <w:rFonts w:hint="eastAsia" w:eastAsiaTheme="minorEastAsia"/>
                <w:lang w:eastAsia="zh-CN"/>
              </w:rPr>
              <w:t>302</w:t>
            </w:r>
          </w:p>
        </w:tc>
        <w:tc>
          <w:tcPr>
            <w:tcW w:w="1359" w:type="dxa"/>
            <w:vAlign w:val="center"/>
          </w:tcPr>
          <w:p>
            <w:pPr>
              <w:jc w:val="center"/>
              <w:rPr>
                <w:rFonts w:ascii="Calibri" w:hAnsi="Calibri" w:cs="宋体"/>
                <w:color w:val="000000"/>
                <w:sz w:val="22"/>
                <w:szCs w:val="22"/>
                <w:lang w:eastAsia="zh-CN"/>
              </w:rPr>
            </w:pPr>
            <w:r>
              <w:rPr>
                <w:rFonts w:hint="eastAsia" w:ascii="宋体" w:hAnsi="宋体" w:cs="宋体"/>
                <w:color w:val="000000"/>
                <w:sz w:val="22"/>
                <w:szCs w:val="22"/>
              </w:rPr>
              <w:t>一般行政管理事务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6.41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2"/>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2"/>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134" w:type="dxa"/>
            <w:vAlign w:val="center"/>
          </w:tcPr>
          <w:p>
            <w:pPr>
              <w:pStyle w:val="22"/>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2"/>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2"/>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2"/>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2"/>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11</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12</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13</w:t>
            </w:r>
          </w:p>
        </w:tc>
        <w:tc>
          <w:tcPr>
            <w:tcW w:w="1192" w:type="dxa"/>
            <w:vAlign w:val="center"/>
          </w:tcPr>
          <w:p>
            <w:pPr>
              <w:pStyle w:val="23"/>
              <w:jc w:val="center"/>
            </w:pPr>
            <w:r>
              <w:t>210</w:t>
            </w:r>
          </w:p>
        </w:tc>
        <w:tc>
          <w:tcPr>
            <w:tcW w:w="1359" w:type="dxa"/>
            <w:vAlign w:val="center"/>
          </w:tcPr>
          <w:p>
            <w:pPr>
              <w:pStyle w:val="23"/>
              <w:jc w:val="center"/>
              <w:rPr>
                <w:lang w:eastAsia="zh-CN"/>
              </w:rPr>
            </w:pPr>
            <w:r>
              <w:rPr>
                <w:rFonts w:hint="eastAsia"/>
                <w:lang w:eastAsia="zh-CN"/>
              </w:rPr>
              <w:t>卫生健康支出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14</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rPr>
                <w:rFonts w:hint="eastAsia" w:eastAsiaTheme="minorEastAsia"/>
                <w:lang w:eastAsia="zh-CN"/>
              </w:rPr>
            </w:pPr>
            <w:r>
              <w:rPr>
                <w:rFonts w:hint="eastAsia" w:eastAsiaTheme="minorEastAsia"/>
                <w:lang w:eastAsia="zh-CN"/>
              </w:rPr>
              <w:t>7.39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5611.31</w:t>
            </w:r>
          </w:p>
        </w:tc>
        <w:tc>
          <w:tcPr>
            <w:tcW w:w="1134" w:type="dxa"/>
            <w:vAlign w:val="center"/>
          </w:tcPr>
          <w:p>
            <w:pPr>
              <w:pStyle w:val="22"/>
              <w:jc w:val="center"/>
              <w:rPr>
                <w:rFonts w:hint="eastAsia" w:eastAsiaTheme="minorEastAsia"/>
                <w:lang w:eastAsia="zh-CN"/>
              </w:rPr>
            </w:pPr>
            <w:r>
              <w:rPr>
                <w:rFonts w:hint="eastAsia" w:eastAsiaTheme="minorEastAsia"/>
                <w:lang w:eastAsia="zh-CN"/>
              </w:rPr>
              <w:t>5585.16</w:t>
            </w:r>
          </w:p>
        </w:tc>
        <w:tc>
          <w:tcPr>
            <w:tcW w:w="1134" w:type="dxa"/>
            <w:vAlign w:val="center"/>
          </w:tcPr>
          <w:p>
            <w:pPr>
              <w:pStyle w:val="22"/>
              <w:jc w:val="center"/>
              <w:rPr>
                <w:rFonts w:hint="eastAsia" w:eastAsiaTheme="minorEastAsia"/>
                <w:lang w:eastAsia="zh-CN"/>
              </w:rPr>
            </w:pPr>
            <w:r>
              <w:rPr>
                <w:rFonts w:hint="eastAsia" w:eastAsiaTheme="minorEastAsia"/>
                <w:lang w:eastAsia="zh-CN"/>
              </w:rPr>
              <w:t>5585.16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134" w:type="dxa"/>
            <w:vAlign w:val="center"/>
          </w:tcPr>
          <w:p>
            <w:pPr>
              <w:pStyle w:val="22"/>
              <w:jc w:val="center"/>
              <w:rPr>
                <w:rFonts w:hint="eastAsia" w:eastAsiaTheme="minorEastAsia"/>
                <w:lang w:eastAsia="zh-CN"/>
              </w:rPr>
            </w:pPr>
            <w:r>
              <w:rPr>
                <w:rFonts w:hint="eastAsia" w:eastAsiaTheme="minorEastAsia"/>
                <w:lang w:eastAsia="zh-CN"/>
              </w:rPr>
              <w:t>38.05</w:t>
            </w:r>
          </w:p>
        </w:tc>
        <w:tc>
          <w:tcPr>
            <w:tcW w:w="1134" w:type="dxa"/>
            <w:vAlign w:val="center"/>
          </w:tcPr>
          <w:p>
            <w:pPr>
              <w:pStyle w:val="22"/>
              <w:jc w:val="center"/>
              <w:rPr>
                <w:rFonts w:hint="eastAsia" w:eastAsiaTheme="minorEastAsia"/>
                <w:lang w:eastAsia="zh-CN"/>
              </w:rPr>
            </w:pPr>
            <w:r>
              <w:rPr>
                <w:rFonts w:hint="eastAsia" w:eastAsiaTheme="minorEastAsia"/>
                <w:lang w:eastAsia="zh-CN"/>
              </w:rPr>
              <w:t>11.9</w:t>
            </w:r>
          </w:p>
        </w:tc>
        <w:tc>
          <w:tcPr>
            <w:tcW w:w="1134" w:type="dxa"/>
            <w:vAlign w:val="center"/>
          </w:tcPr>
          <w:p>
            <w:pPr>
              <w:pStyle w:val="22"/>
              <w:jc w:val="center"/>
              <w:rPr>
                <w:rFonts w:hint="eastAsia" w:eastAsiaTheme="minorEastAsia"/>
                <w:lang w:eastAsia="zh-CN"/>
              </w:rPr>
            </w:pPr>
            <w:r>
              <w:rPr>
                <w:rFonts w:hint="eastAsia" w:eastAsiaTheme="minorEastAsia"/>
                <w:lang w:eastAsia="zh-CN"/>
              </w:rPr>
              <w:t>11.9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38.05</w:t>
            </w:r>
          </w:p>
        </w:tc>
        <w:tc>
          <w:tcPr>
            <w:tcW w:w="1134" w:type="dxa"/>
            <w:vAlign w:val="center"/>
          </w:tcPr>
          <w:p>
            <w:pPr>
              <w:pStyle w:val="22"/>
              <w:jc w:val="center"/>
              <w:rPr>
                <w:rFonts w:hint="eastAsia" w:eastAsiaTheme="minorEastAsia"/>
                <w:lang w:eastAsia="zh-CN"/>
              </w:rPr>
            </w:pPr>
            <w:r>
              <w:rPr>
                <w:rFonts w:hint="eastAsia" w:eastAsiaTheme="minorEastAsia"/>
                <w:lang w:eastAsia="zh-CN"/>
              </w:rPr>
              <w:t>11.9</w:t>
            </w:r>
          </w:p>
        </w:tc>
        <w:tc>
          <w:tcPr>
            <w:tcW w:w="1134" w:type="dxa"/>
            <w:vAlign w:val="center"/>
          </w:tcPr>
          <w:p>
            <w:pPr>
              <w:pStyle w:val="22"/>
              <w:jc w:val="center"/>
              <w:rPr>
                <w:rFonts w:hint="eastAsia" w:eastAsiaTheme="minorEastAsia"/>
                <w:lang w:eastAsia="zh-CN"/>
              </w:rPr>
            </w:pPr>
            <w:r>
              <w:rPr>
                <w:rFonts w:hint="eastAsia" w:eastAsiaTheme="minorEastAsia"/>
                <w:lang w:eastAsia="zh-CN"/>
              </w:rPr>
              <w:t>11.9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21</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22</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rPr>
                <w:lang w:eastAsia="zh-CN"/>
              </w:rPr>
            </w:pPr>
            <w:r>
              <w:rPr>
                <w:rFonts w:hint="eastAsia"/>
                <w:lang w:eastAsia="zh-CN"/>
              </w:rPr>
              <w:t>23</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528" w:type="dxa"/>
            <w:gridSpan w:val="2"/>
            <w:vAlign w:val="center"/>
          </w:tcPr>
          <w:p>
            <w:pPr>
              <w:pStyle w:val="21"/>
            </w:pPr>
            <w:r>
              <w:rPr>
                <w:rFonts w:hint="eastAsia"/>
              </w:rPr>
              <w:t>功能分类科目</w:t>
            </w:r>
          </w:p>
        </w:tc>
        <w:tc>
          <w:tcPr>
            <w:tcW w:w="1361" w:type="dxa"/>
            <w:vMerge w:val="restart"/>
            <w:vAlign w:val="center"/>
          </w:tcPr>
          <w:p>
            <w:pPr>
              <w:pStyle w:val="21"/>
            </w:pPr>
            <w:r>
              <w:rPr>
                <w:rFonts w:hint="eastAsia"/>
              </w:rPr>
              <w:t>合计</w:t>
            </w:r>
          </w:p>
        </w:tc>
        <w:tc>
          <w:tcPr>
            <w:tcW w:w="1361" w:type="dxa"/>
            <w:vMerge w:val="restart"/>
            <w:vAlign w:val="center"/>
          </w:tcPr>
          <w:p>
            <w:pPr>
              <w:pStyle w:val="21"/>
            </w:pPr>
            <w:r>
              <w:rPr>
                <w:rFonts w:hint="eastAsia"/>
              </w:rPr>
              <w:t>基本支出</w:t>
            </w:r>
          </w:p>
        </w:tc>
        <w:tc>
          <w:tcPr>
            <w:tcW w:w="1361" w:type="dxa"/>
            <w:vMerge w:val="restart"/>
            <w:vAlign w:val="center"/>
          </w:tcPr>
          <w:p>
            <w:pPr>
              <w:pStyle w:val="21"/>
            </w:pPr>
            <w:r>
              <w:rPr>
                <w:rFonts w:hint="eastAsia"/>
              </w:rPr>
              <w:t>项目支出</w:t>
            </w:r>
          </w:p>
        </w:tc>
        <w:tc>
          <w:tcPr>
            <w:tcW w:w="1361" w:type="dxa"/>
            <w:vMerge w:val="restart"/>
            <w:vAlign w:val="center"/>
          </w:tcPr>
          <w:p>
            <w:pPr>
              <w:pStyle w:val="21"/>
            </w:pPr>
            <w:r>
              <w:rPr>
                <w:rFonts w:hint="eastAsia"/>
              </w:rPr>
              <w:t>经营支出</w:t>
            </w:r>
          </w:p>
        </w:tc>
        <w:tc>
          <w:tcPr>
            <w:tcW w:w="1361" w:type="dxa"/>
            <w:vMerge w:val="restart"/>
            <w:vAlign w:val="center"/>
          </w:tcPr>
          <w:p>
            <w:pPr>
              <w:pStyle w:val="21"/>
            </w:pPr>
            <w:r>
              <w:rPr>
                <w:rFonts w:hint="eastAsia"/>
              </w:rPr>
              <w:t>上解上级支出</w:t>
            </w:r>
          </w:p>
        </w:tc>
        <w:tc>
          <w:tcPr>
            <w:tcW w:w="1361" w:type="dxa"/>
            <w:vMerge w:val="restart"/>
            <w:vAlign w:val="center"/>
          </w:tcPr>
          <w:p>
            <w:pPr>
              <w:pStyle w:val="21"/>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21"/>
            </w:pPr>
            <w:r>
              <w:rPr>
                <w:rFonts w:hint="eastAsia"/>
              </w:rPr>
              <w:t>科目编码</w:t>
            </w:r>
          </w:p>
        </w:tc>
        <w:tc>
          <w:tcPr>
            <w:tcW w:w="4378" w:type="dxa"/>
            <w:vAlign w:val="center"/>
          </w:tcPr>
          <w:p>
            <w:pPr>
              <w:pStyle w:val="21"/>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50" w:type="dxa"/>
            <w:vAlign w:val="center"/>
          </w:tcPr>
          <w:p>
            <w:pPr>
              <w:pStyle w:val="21"/>
            </w:pPr>
            <w:r>
              <w:t>1</w:t>
            </w:r>
          </w:p>
        </w:tc>
        <w:tc>
          <w:tcPr>
            <w:tcW w:w="4378"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50" w:type="dxa"/>
            <w:vAlign w:val="center"/>
          </w:tcPr>
          <w:p>
            <w:pPr>
              <w:pStyle w:val="27"/>
            </w:pPr>
          </w:p>
        </w:tc>
        <w:tc>
          <w:tcPr>
            <w:tcW w:w="4378" w:type="dxa"/>
            <w:vAlign w:val="center"/>
          </w:tcPr>
          <w:p>
            <w:pPr>
              <w:pStyle w:val="25"/>
            </w:pPr>
            <w:r>
              <w:rPr>
                <w:rFonts w:hint="eastAsia"/>
              </w:rPr>
              <w:t>合计</w:t>
            </w:r>
          </w:p>
        </w:tc>
        <w:tc>
          <w:tcPr>
            <w:tcW w:w="1361" w:type="dxa"/>
          </w:tcPr>
          <w:p>
            <w:pPr>
              <w:jc w:val="center"/>
              <w:rPr>
                <w:rFonts w:ascii="Calibri" w:hAnsi="Calibri" w:cs="宋体"/>
                <w:color w:val="000000"/>
                <w:sz w:val="22"/>
                <w:szCs w:val="22"/>
              </w:rPr>
            </w:pPr>
            <w:r>
              <w:rPr>
                <w:rFonts w:ascii="Calibri" w:hAnsi="Calibri"/>
                <w:color w:val="000000"/>
                <w:sz w:val="22"/>
                <w:szCs w:val="22"/>
              </w:rPr>
              <w:t>6000.00</w:t>
            </w:r>
          </w:p>
        </w:tc>
        <w:tc>
          <w:tcPr>
            <w:tcW w:w="1361" w:type="dxa"/>
          </w:tcPr>
          <w:p>
            <w:pPr>
              <w:jc w:val="center"/>
              <w:rPr>
                <w:rFonts w:ascii="Calibri" w:hAnsi="Calibri" w:cs="宋体"/>
                <w:color w:val="000000"/>
                <w:sz w:val="22"/>
                <w:szCs w:val="22"/>
              </w:rPr>
            </w:pPr>
            <w:r>
              <w:rPr>
                <w:rFonts w:ascii="Calibri" w:hAnsi="Calibri"/>
                <w:color w:val="000000"/>
                <w:sz w:val="22"/>
                <w:szCs w:val="22"/>
              </w:rPr>
              <w:t>222.94</w:t>
            </w:r>
          </w:p>
        </w:tc>
        <w:tc>
          <w:tcPr>
            <w:tcW w:w="1361" w:type="dxa"/>
          </w:tcPr>
          <w:p>
            <w:pPr>
              <w:jc w:val="center"/>
              <w:rPr>
                <w:rFonts w:ascii="Calibri" w:hAnsi="Calibri" w:cs="宋体"/>
                <w:color w:val="000000"/>
                <w:sz w:val="22"/>
                <w:szCs w:val="22"/>
              </w:rPr>
            </w:pPr>
            <w:r>
              <w:rPr>
                <w:rFonts w:ascii="Calibri" w:hAnsi="Calibri"/>
                <w:color w:val="000000"/>
                <w:sz w:val="22"/>
                <w:szCs w:val="22"/>
              </w:rPr>
              <w:t>5777.06</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338.61</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153.05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20103</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政府办公厅（室）及相关机构事务</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2010302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332.20</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146.64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146.64</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146.64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31.16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5611.31</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5611.31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rPr>
                <w:lang w:eastAsia="zh-CN"/>
              </w:rPr>
            </w:pPr>
            <w:r>
              <w:rPr>
                <w:rFonts w:hint="eastAsia"/>
                <w:lang w:eastAsia="zh-CN"/>
              </w:rPr>
              <w:t>23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4876" w:type="dxa"/>
            <w:gridSpan w:val="2"/>
            <w:vAlign w:val="center"/>
          </w:tcPr>
          <w:p>
            <w:pPr>
              <w:pStyle w:val="21"/>
            </w:pPr>
            <w:r>
              <w:rPr>
                <w:rFonts w:hint="eastAsia"/>
              </w:rPr>
              <w:t>收入</w:t>
            </w:r>
          </w:p>
        </w:tc>
        <w:tc>
          <w:tcPr>
            <w:tcW w:w="9298" w:type="dxa"/>
            <w:gridSpan w:val="5"/>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rPr>
                <w:rFonts w:hint="eastAsia"/>
              </w:rPr>
              <w:t>项目</w:t>
            </w:r>
          </w:p>
        </w:tc>
        <w:tc>
          <w:tcPr>
            <w:tcW w:w="1474" w:type="dxa"/>
            <w:vAlign w:val="center"/>
          </w:tcPr>
          <w:p>
            <w:pPr>
              <w:pStyle w:val="21"/>
            </w:pPr>
            <w:r>
              <w:rPr>
                <w:rFonts w:hint="eastAsia"/>
              </w:rPr>
              <w:t>金额</w:t>
            </w:r>
          </w:p>
        </w:tc>
        <w:tc>
          <w:tcPr>
            <w:tcW w:w="3402" w:type="dxa"/>
            <w:vAlign w:val="center"/>
          </w:tcPr>
          <w:p>
            <w:pPr>
              <w:pStyle w:val="21"/>
            </w:pPr>
            <w:r>
              <w:rPr>
                <w:rFonts w:hint="eastAsia"/>
              </w:rPr>
              <w:t>项目</w:t>
            </w:r>
          </w:p>
        </w:tc>
        <w:tc>
          <w:tcPr>
            <w:tcW w:w="1474" w:type="dxa"/>
            <w:vAlign w:val="center"/>
          </w:tcPr>
          <w:p>
            <w:pPr>
              <w:pStyle w:val="21"/>
            </w:pPr>
            <w:r>
              <w:rPr>
                <w:rFonts w:hint="eastAsia"/>
              </w:rPr>
              <w:t>合计</w:t>
            </w:r>
          </w:p>
        </w:tc>
        <w:tc>
          <w:tcPr>
            <w:tcW w:w="1474" w:type="dxa"/>
            <w:vAlign w:val="center"/>
          </w:tcPr>
          <w:p>
            <w:pPr>
              <w:pStyle w:val="21"/>
            </w:pPr>
            <w:r>
              <w:rPr>
                <w:rFonts w:hint="eastAsia"/>
              </w:rPr>
              <w:t>一般公共预算财政拨款</w:t>
            </w:r>
          </w:p>
        </w:tc>
        <w:tc>
          <w:tcPr>
            <w:tcW w:w="1474" w:type="dxa"/>
            <w:vAlign w:val="center"/>
          </w:tcPr>
          <w:p>
            <w:pPr>
              <w:pStyle w:val="21"/>
            </w:pPr>
            <w:r>
              <w:rPr>
                <w:rFonts w:hint="eastAsia"/>
              </w:rPr>
              <w:t>政府性基金预算财政拨款</w:t>
            </w:r>
          </w:p>
        </w:tc>
        <w:tc>
          <w:tcPr>
            <w:tcW w:w="1474"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rPr>
                <w:rFonts w:hint="eastAsia"/>
              </w:rPr>
              <w:t>一、一般公共预算拨款</w:t>
            </w:r>
          </w:p>
        </w:tc>
        <w:tc>
          <w:tcPr>
            <w:tcW w:w="1474" w:type="dxa"/>
            <w:vAlign w:val="center"/>
          </w:tcPr>
          <w:p>
            <w:pPr>
              <w:pStyle w:val="22"/>
              <w:rPr>
                <w:lang w:eastAsia="zh-CN"/>
              </w:rPr>
            </w:pPr>
            <w:r>
              <w:rPr>
                <w:rFonts w:hint="eastAsia"/>
                <w:lang w:eastAsia="zh-CN"/>
              </w:rPr>
              <w:t>5967.44</w:t>
            </w:r>
          </w:p>
        </w:tc>
        <w:tc>
          <w:tcPr>
            <w:tcW w:w="3402" w:type="dxa"/>
            <w:vAlign w:val="center"/>
          </w:tcPr>
          <w:p>
            <w:pPr>
              <w:pStyle w:val="23"/>
            </w:pPr>
            <w:r>
              <w:rPr>
                <w:rFonts w:hint="eastAsia"/>
              </w:rPr>
              <w:t>一、一般公共服务支出</w:t>
            </w:r>
          </w:p>
        </w:tc>
        <w:tc>
          <w:tcPr>
            <w:tcW w:w="1474" w:type="dxa"/>
          </w:tcPr>
          <w:p>
            <w:pPr>
              <w:jc w:val="right"/>
              <w:rPr>
                <w:rFonts w:ascii="Calibri" w:hAnsi="Calibri" w:cs="宋体"/>
                <w:color w:val="000000"/>
                <w:sz w:val="22"/>
                <w:szCs w:val="22"/>
              </w:rPr>
            </w:pPr>
            <w:r>
              <w:rPr>
                <w:rFonts w:ascii="Calibri" w:hAnsi="Calibri"/>
                <w:color w:val="000000"/>
                <w:sz w:val="22"/>
                <w:szCs w:val="22"/>
              </w:rPr>
              <w:t>338.61</w:t>
            </w:r>
          </w:p>
        </w:tc>
        <w:tc>
          <w:tcPr>
            <w:tcW w:w="1474" w:type="dxa"/>
          </w:tcPr>
          <w:p>
            <w:pPr>
              <w:jc w:val="right"/>
              <w:rPr>
                <w:rFonts w:ascii="Calibri" w:hAnsi="Calibri" w:cs="宋体"/>
                <w:color w:val="000000"/>
                <w:sz w:val="22"/>
                <w:szCs w:val="22"/>
              </w:rPr>
            </w:pPr>
            <w:r>
              <w:rPr>
                <w:rFonts w:ascii="Calibri" w:hAnsi="Calibri"/>
                <w:color w:val="000000"/>
                <w:sz w:val="22"/>
                <w:szCs w:val="22"/>
              </w:rPr>
              <w:t>338.61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r>
              <w:rPr>
                <w:rFonts w:hint="eastAsia"/>
              </w:rP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r>
              <w:rPr>
                <w:rFonts w:hint="eastAsia"/>
              </w:rP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五、教育支出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八、社会保障和就业支出</w:t>
            </w:r>
          </w:p>
        </w:tc>
        <w:tc>
          <w:tcPr>
            <w:tcW w:w="1474" w:type="dxa"/>
            <w:vAlign w:val="center"/>
          </w:tcPr>
          <w:p>
            <w:pPr>
              <w:pStyle w:val="22"/>
              <w:rPr>
                <w:rFonts w:hint="eastAsia" w:eastAsiaTheme="minorEastAsia"/>
                <w:lang w:eastAsia="zh-CN"/>
              </w:rPr>
            </w:pPr>
            <w:r>
              <w:rPr>
                <w:rFonts w:hint="eastAsia" w:eastAsiaTheme="minorEastAsia"/>
                <w:lang w:eastAsia="zh-CN"/>
              </w:rPr>
              <w:t>31.16</w:t>
            </w:r>
          </w:p>
        </w:tc>
        <w:tc>
          <w:tcPr>
            <w:tcW w:w="1474" w:type="dxa"/>
            <w:vAlign w:val="center"/>
          </w:tcPr>
          <w:p>
            <w:pPr>
              <w:pStyle w:val="22"/>
              <w:rPr>
                <w:rFonts w:hint="eastAsia" w:eastAsiaTheme="minorEastAsia"/>
                <w:lang w:eastAsia="zh-CN"/>
              </w:rPr>
            </w:pPr>
            <w:r>
              <w:rPr>
                <w:rFonts w:hint="eastAsia" w:eastAsiaTheme="minorEastAsia"/>
                <w:lang w:eastAsia="zh-CN"/>
              </w:rPr>
              <w:t>31.16</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十、卫生健康支出</w:t>
            </w:r>
          </w:p>
        </w:tc>
        <w:tc>
          <w:tcPr>
            <w:tcW w:w="1474" w:type="dxa"/>
            <w:vAlign w:val="center"/>
          </w:tcPr>
          <w:p>
            <w:pPr>
              <w:pStyle w:val="22"/>
              <w:rPr>
                <w:rFonts w:hint="eastAsia" w:eastAsiaTheme="minorEastAsia"/>
                <w:lang w:eastAsia="zh-CN"/>
              </w:rPr>
            </w:pPr>
            <w:r>
              <w:rPr>
                <w:rFonts w:hint="eastAsia" w:eastAsiaTheme="minorEastAsia"/>
                <w:lang w:eastAsia="zh-CN"/>
              </w:rPr>
              <w:t>7.39</w:t>
            </w:r>
          </w:p>
        </w:tc>
        <w:tc>
          <w:tcPr>
            <w:tcW w:w="1474" w:type="dxa"/>
            <w:vAlign w:val="center"/>
          </w:tcPr>
          <w:p>
            <w:pPr>
              <w:pStyle w:val="22"/>
              <w:rPr>
                <w:rFonts w:hint="eastAsia" w:eastAsiaTheme="minorEastAsia"/>
                <w:lang w:eastAsia="zh-CN"/>
              </w:rPr>
            </w:pPr>
            <w:r>
              <w:rPr>
                <w:rFonts w:hint="eastAsia" w:eastAsiaTheme="minorEastAsia"/>
                <w:lang w:eastAsia="zh-CN"/>
              </w:rPr>
              <w:t>7.39</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十三、农林水支出</w:t>
            </w:r>
          </w:p>
        </w:tc>
        <w:tc>
          <w:tcPr>
            <w:tcW w:w="1474" w:type="dxa"/>
            <w:vAlign w:val="center"/>
          </w:tcPr>
          <w:p>
            <w:pPr>
              <w:pStyle w:val="22"/>
              <w:rPr>
                <w:rFonts w:hint="eastAsia" w:eastAsiaTheme="minorEastAsia"/>
                <w:lang w:eastAsia="zh-CN"/>
              </w:rPr>
            </w:pPr>
            <w:r>
              <w:rPr>
                <w:rFonts w:hint="eastAsia" w:eastAsiaTheme="minorEastAsia"/>
                <w:lang w:eastAsia="zh-CN"/>
              </w:rPr>
              <w:t>5611.31</w:t>
            </w:r>
          </w:p>
        </w:tc>
        <w:tc>
          <w:tcPr>
            <w:tcW w:w="1474" w:type="dxa"/>
            <w:vAlign w:val="center"/>
          </w:tcPr>
          <w:p>
            <w:pPr>
              <w:pStyle w:val="22"/>
              <w:rPr>
                <w:rFonts w:hint="eastAsia" w:eastAsiaTheme="minorEastAsia"/>
                <w:lang w:eastAsia="zh-CN"/>
              </w:rPr>
            </w:pPr>
            <w:r>
              <w:rPr>
                <w:rFonts w:hint="eastAsia" w:eastAsiaTheme="minorEastAsia"/>
                <w:lang w:eastAsia="zh-CN"/>
              </w:rPr>
              <w:t>5611.31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二十、住房保障支出</w:t>
            </w:r>
          </w:p>
        </w:tc>
        <w:tc>
          <w:tcPr>
            <w:tcW w:w="1474" w:type="dxa"/>
            <w:vAlign w:val="center"/>
          </w:tcPr>
          <w:p>
            <w:pPr>
              <w:pStyle w:val="22"/>
              <w:rPr>
                <w:lang w:eastAsia="zh-CN"/>
              </w:rPr>
            </w:pPr>
            <w:r>
              <w:rPr>
                <w:rFonts w:hint="eastAsia"/>
                <w:lang w:eastAsia="zh-CN"/>
              </w:rPr>
              <w:t>11.53</w:t>
            </w:r>
          </w:p>
        </w:tc>
        <w:tc>
          <w:tcPr>
            <w:tcW w:w="1474" w:type="dxa"/>
            <w:vAlign w:val="center"/>
          </w:tcPr>
          <w:p>
            <w:pPr>
              <w:pStyle w:val="22"/>
            </w:pPr>
            <w:r>
              <w:rPr>
                <w:rFonts w:hint="eastAsia"/>
                <w:lang w:eastAsia="zh-CN"/>
              </w:rPr>
              <w:t>11.53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5"/>
            </w:pPr>
            <w:r>
              <w:rPr>
                <w:rFonts w:hint="eastAsia"/>
              </w:rPr>
              <w:t>本年收入合计</w:t>
            </w:r>
          </w:p>
        </w:tc>
        <w:tc>
          <w:tcPr>
            <w:tcW w:w="1474" w:type="dxa"/>
            <w:vAlign w:val="center"/>
          </w:tcPr>
          <w:p>
            <w:pPr>
              <w:pStyle w:val="26"/>
              <w:rPr>
                <w:lang w:eastAsia="zh-CN"/>
              </w:rPr>
            </w:pPr>
            <w:r>
              <w:rPr>
                <w:rFonts w:hint="eastAsia"/>
                <w:lang w:eastAsia="zh-CN"/>
              </w:rPr>
              <w:t>5967.44</w:t>
            </w:r>
          </w:p>
        </w:tc>
        <w:tc>
          <w:tcPr>
            <w:tcW w:w="3402" w:type="dxa"/>
            <w:vAlign w:val="center"/>
          </w:tcPr>
          <w:p>
            <w:pPr>
              <w:pStyle w:val="25"/>
            </w:pPr>
            <w:r>
              <w:rPr>
                <w:rFonts w:hint="eastAsia"/>
              </w:rPr>
              <w:t>本年支出合计</w:t>
            </w:r>
          </w:p>
        </w:tc>
        <w:tc>
          <w:tcPr>
            <w:tcW w:w="1474" w:type="dxa"/>
            <w:vAlign w:val="center"/>
          </w:tcPr>
          <w:p>
            <w:pPr>
              <w:pStyle w:val="26"/>
              <w:rPr>
                <w:lang w:eastAsia="zh-CN"/>
              </w:rPr>
            </w:pPr>
            <w:r>
              <w:rPr>
                <w:rFonts w:hint="eastAsia"/>
                <w:lang w:eastAsia="zh-CN"/>
              </w:rPr>
              <w:t>6000.00</w:t>
            </w:r>
          </w:p>
        </w:tc>
        <w:tc>
          <w:tcPr>
            <w:tcW w:w="1474" w:type="dxa"/>
            <w:vAlign w:val="center"/>
          </w:tcPr>
          <w:p>
            <w:pPr>
              <w:pStyle w:val="26"/>
              <w:rPr>
                <w:lang w:eastAsia="zh-CN"/>
              </w:rPr>
            </w:pPr>
            <w:r>
              <w:rPr>
                <w:rFonts w:hint="eastAsia"/>
                <w:lang w:eastAsia="zh-CN"/>
              </w:rPr>
              <w:t>6000.00</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3"/>
            </w:pPr>
            <w:r>
              <w:rPr>
                <w:rFonts w:hint="eastAsia"/>
              </w:rPr>
              <w:t>年初财政拨款结转和结余</w:t>
            </w:r>
          </w:p>
        </w:tc>
        <w:tc>
          <w:tcPr>
            <w:tcW w:w="1474" w:type="dxa"/>
            <w:vAlign w:val="center"/>
          </w:tcPr>
          <w:p>
            <w:pPr>
              <w:pStyle w:val="22"/>
              <w:rPr>
                <w:lang w:eastAsia="zh-CN"/>
              </w:rPr>
            </w:pPr>
            <w:r>
              <w:rPr>
                <w:rFonts w:hint="eastAsia"/>
                <w:lang w:eastAsia="zh-CN"/>
              </w:rPr>
              <w:t>32.56</w:t>
            </w:r>
          </w:p>
        </w:tc>
        <w:tc>
          <w:tcPr>
            <w:tcW w:w="3402" w:type="dxa"/>
            <w:vAlign w:val="center"/>
          </w:tcPr>
          <w:p>
            <w:pPr>
              <w:pStyle w:val="23"/>
            </w:pPr>
            <w:r>
              <w:rPr>
                <w:rFonts w:hint="eastAsia"/>
              </w:rP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rPr>
                <w:rFonts w:hint="eastAsia"/>
              </w:rPr>
              <w:t>一、一般公共预算拨款</w:t>
            </w:r>
          </w:p>
        </w:tc>
        <w:tc>
          <w:tcPr>
            <w:tcW w:w="1474" w:type="dxa"/>
            <w:vAlign w:val="center"/>
          </w:tcPr>
          <w:p>
            <w:pPr>
              <w:pStyle w:val="22"/>
              <w:rPr>
                <w:lang w:eastAsia="zh-CN"/>
              </w:rPr>
            </w:pPr>
            <w:r>
              <w:rPr>
                <w:rFonts w:hint="eastAsia"/>
                <w:lang w:eastAsia="zh-CN"/>
              </w:rPr>
              <w:t>32.56</w:t>
            </w: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5"/>
            </w:pPr>
            <w:r>
              <w:rPr>
                <w:rFonts w:hint="eastAsia"/>
              </w:rPr>
              <w:t>收入总计</w:t>
            </w:r>
          </w:p>
        </w:tc>
        <w:tc>
          <w:tcPr>
            <w:tcW w:w="1474" w:type="dxa"/>
            <w:vAlign w:val="center"/>
          </w:tcPr>
          <w:p>
            <w:pPr>
              <w:pStyle w:val="26"/>
              <w:rPr>
                <w:lang w:eastAsia="zh-CN"/>
              </w:rPr>
            </w:pPr>
            <w:r>
              <w:rPr>
                <w:rFonts w:hint="eastAsia"/>
                <w:lang w:eastAsia="zh-CN"/>
              </w:rPr>
              <w:t>6000.00</w:t>
            </w:r>
          </w:p>
        </w:tc>
        <w:tc>
          <w:tcPr>
            <w:tcW w:w="3402" w:type="dxa"/>
            <w:vAlign w:val="center"/>
          </w:tcPr>
          <w:p>
            <w:pPr>
              <w:pStyle w:val="25"/>
            </w:pPr>
            <w:r>
              <w:rPr>
                <w:rFonts w:hint="eastAsia"/>
              </w:rPr>
              <w:t>支出总计</w:t>
            </w:r>
          </w:p>
        </w:tc>
        <w:tc>
          <w:tcPr>
            <w:tcW w:w="1474" w:type="dxa"/>
            <w:vAlign w:val="center"/>
          </w:tcPr>
          <w:p>
            <w:pPr>
              <w:pStyle w:val="26"/>
              <w:rPr>
                <w:lang w:eastAsia="zh-CN"/>
              </w:rPr>
            </w:pPr>
            <w:r>
              <w:rPr>
                <w:rFonts w:hint="eastAsia"/>
                <w:lang w:eastAsia="zh-CN"/>
              </w:rPr>
              <w:t>6000.00</w:t>
            </w:r>
          </w:p>
        </w:tc>
        <w:tc>
          <w:tcPr>
            <w:tcW w:w="1474" w:type="dxa"/>
            <w:vAlign w:val="center"/>
          </w:tcPr>
          <w:p>
            <w:pPr>
              <w:pStyle w:val="26"/>
              <w:rPr>
                <w:lang w:eastAsia="zh-CN"/>
              </w:rPr>
            </w:pPr>
            <w:r>
              <w:rPr>
                <w:rFonts w:hint="eastAsia"/>
                <w:lang w:eastAsia="zh-CN"/>
              </w:rPr>
              <w:t>6000.00</w:t>
            </w:r>
          </w:p>
        </w:tc>
        <w:tc>
          <w:tcPr>
            <w:tcW w:w="1474" w:type="dxa"/>
            <w:vAlign w:val="center"/>
          </w:tcPr>
          <w:p>
            <w:pPr>
              <w:pStyle w:val="26"/>
            </w:pPr>
          </w:p>
        </w:tc>
        <w:tc>
          <w:tcPr>
            <w:tcW w:w="1474" w:type="dxa"/>
            <w:vAlign w:val="center"/>
          </w:tcPr>
          <w:p>
            <w:pPr>
              <w:pStyle w:val="26"/>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rPr>
                <w:rFonts w:hint="eastAsia"/>
              </w:rPr>
              <w:t>合计</w:t>
            </w:r>
          </w:p>
        </w:tc>
        <w:tc>
          <w:tcPr>
            <w:tcW w:w="2551" w:type="dxa"/>
            <w:vAlign w:val="center"/>
          </w:tcPr>
          <w:p>
            <w:pPr>
              <w:jc w:val="center"/>
              <w:rPr>
                <w:rFonts w:ascii="Calibri" w:hAnsi="Calibri" w:cs="宋体"/>
                <w:b/>
                <w:color w:val="000000"/>
                <w:sz w:val="22"/>
                <w:szCs w:val="22"/>
              </w:rPr>
            </w:pPr>
            <w:r>
              <w:rPr>
                <w:rFonts w:ascii="Calibri" w:hAnsi="Calibri"/>
                <w:b/>
                <w:color w:val="000000"/>
                <w:sz w:val="22"/>
                <w:szCs w:val="22"/>
              </w:rPr>
              <w:t>6000.00</w:t>
            </w:r>
          </w:p>
        </w:tc>
        <w:tc>
          <w:tcPr>
            <w:tcW w:w="2551" w:type="dxa"/>
            <w:vAlign w:val="center"/>
          </w:tcPr>
          <w:p>
            <w:pPr>
              <w:jc w:val="center"/>
              <w:rPr>
                <w:rFonts w:ascii="Calibri" w:hAnsi="Calibri" w:cs="宋体"/>
                <w:b/>
                <w:color w:val="000000"/>
                <w:sz w:val="22"/>
                <w:szCs w:val="22"/>
              </w:rPr>
            </w:pPr>
            <w:r>
              <w:rPr>
                <w:rFonts w:ascii="Calibri" w:hAnsi="Calibri"/>
                <w:b/>
                <w:color w:val="000000"/>
                <w:sz w:val="22"/>
                <w:szCs w:val="22"/>
              </w:rPr>
              <w:t>222.94</w:t>
            </w:r>
          </w:p>
        </w:tc>
        <w:tc>
          <w:tcPr>
            <w:tcW w:w="2551" w:type="dxa"/>
            <w:vAlign w:val="center"/>
          </w:tcPr>
          <w:p>
            <w:pPr>
              <w:jc w:val="center"/>
              <w:rPr>
                <w:rFonts w:ascii="Calibri" w:hAnsi="Calibri" w:cs="宋体"/>
                <w:b/>
                <w:color w:val="000000"/>
                <w:sz w:val="22"/>
                <w:szCs w:val="22"/>
              </w:rPr>
            </w:pPr>
            <w:r>
              <w:rPr>
                <w:rFonts w:ascii="Calibri" w:hAnsi="Calibri"/>
                <w:b/>
                <w:color w:val="000000"/>
                <w:sz w:val="22"/>
                <w:szCs w:val="22"/>
              </w:rPr>
              <w:t>5777.06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338.61</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153.05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20103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政府办公厅（室）及相关机构事务</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2010302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6.41</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332.20</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146.64</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31.16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12.70</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5611.31</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5611.31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38.05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38.05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5573.26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5573.26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5573.26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rPr>
                <w:lang w:eastAsia="zh-CN"/>
              </w:rPr>
            </w:pPr>
            <w:r>
              <w:rPr>
                <w:rFonts w:hint="eastAsia"/>
                <w:lang w:eastAsia="zh-CN"/>
              </w:rPr>
              <w:t>23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支出部门经济分类科目</w:t>
            </w:r>
          </w:p>
        </w:tc>
        <w:tc>
          <w:tcPr>
            <w:tcW w:w="7654" w:type="dxa"/>
            <w:gridSpan w:val="3"/>
            <w:vAlign w:val="center"/>
          </w:tcPr>
          <w:p>
            <w:pPr>
              <w:pStyle w:val="21"/>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Align w:val="center"/>
          </w:tcPr>
          <w:p>
            <w:pPr>
              <w:pStyle w:val="21"/>
            </w:pPr>
            <w:r>
              <w:rPr>
                <w:rFonts w:hint="eastAsia"/>
              </w:rPr>
              <w:t>合计</w:t>
            </w:r>
          </w:p>
        </w:tc>
        <w:tc>
          <w:tcPr>
            <w:tcW w:w="2551" w:type="dxa"/>
            <w:vAlign w:val="center"/>
          </w:tcPr>
          <w:p>
            <w:pPr>
              <w:pStyle w:val="21"/>
            </w:pPr>
            <w:r>
              <w:rPr>
                <w:rFonts w:hint="eastAsia"/>
              </w:rPr>
              <w:t>人员经费</w:t>
            </w:r>
          </w:p>
        </w:tc>
        <w:tc>
          <w:tcPr>
            <w:tcW w:w="2552" w:type="dxa"/>
            <w:vAlign w:val="center"/>
          </w:tcPr>
          <w:p>
            <w:pPr>
              <w:pStyle w:val="21"/>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2"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rPr>
                <w:rFonts w:hint="eastAsia"/>
              </w:rPr>
              <w:t>合计</w:t>
            </w:r>
          </w:p>
        </w:tc>
        <w:tc>
          <w:tcPr>
            <w:tcW w:w="2551" w:type="dxa"/>
            <w:vAlign w:val="center"/>
          </w:tcPr>
          <w:p>
            <w:pPr>
              <w:jc w:val="center"/>
              <w:rPr>
                <w:rFonts w:ascii="Calibri" w:hAnsi="Calibri" w:cs="宋体"/>
                <w:b/>
                <w:color w:val="000000"/>
                <w:sz w:val="22"/>
                <w:szCs w:val="22"/>
              </w:rPr>
            </w:pPr>
            <w:r>
              <w:rPr>
                <w:rFonts w:ascii="Calibri" w:hAnsi="Calibri"/>
                <w:b/>
                <w:color w:val="000000"/>
                <w:sz w:val="22"/>
                <w:szCs w:val="22"/>
              </w:rPr>
              <w:t>222.94</w:t>
            </w:r>
          </w:p>
        </w:tc>
        <w:tc>
          <w:tcPr>
            <w:tcW w:w="2551" w:type="dxa"/>
            <w:vAlign w:val="center"/>
          </w:tcPr>
          <w:p>
            <w:pPr>
              <w:jc w:val="center"/>
              <w:rPr>
                <w:rFonts w:ascii="Calibri" w:hAnsi="Calibri" w:cs="宋体"/>
                <w:b/>
                <w:color w:val="000000"/>
                <w:sz w:val="22"/>
                <w:szCs w:val="22"/>
              </w:rPr>
            </w:pPr>
            <w:r>
              <w:rPr>
                <w:rFonts w:ascii="Calibri" w:hAnsi="Calibri"/>
                <w:b/>
                <w:color w:val="000000"/>
                <w:sz w:val="22"/>
                <w:szCs w:val="22"/>
              </w:rPr>
              <w:t>166.67</w:t>
            </w:r>
          </w:p>
        </w:tc>
        <w:tc>
          <w:tcPr>
            <w:tcW w:w="2552" w:type="dxa"/>
            <w:vAlign w:val="center"/>
          </w:tcPr>
          <w:p>
            <w:pPr>
              <w:jc w:val="center"/>
              <w:rPr>
                <w:rFonts w:ascii="Calibri" w:hAnsi="Calibri" w:cs="宋体"/>
                <w:b/>
                <w:color w:val="000000"/>
                <w:sz w:val="22"/>
                <w:szCs w:val="22"/>
              </w:rPr>
            </w:pPr>
            <w:r>
              <w:rPr>
                <w:rFonts w:ascii="Calibri" w:hAnsi="Calibri"/>
                <w:b/>
                <w:color w:val="000000"/>
                <w:sz w:val="22"/>
                <w:szCs w:val="22"/>
              </w:rPr>
              <w:t>56.27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工资福利支出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166.67</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166.67</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基本工资</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74.85</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74.85</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津贴补贴</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47.62</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47.62</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奖金</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6.24</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6.24</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18.46</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30110</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城镇职工基本医疗保险缴费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7.39</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其他社会保障缴费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0.58</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0.58</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11.53</w:t>
            </w:r>
          </w:p>
        </w:tc>
        <w:tc>
          <w:tcPr>
            <w:tcW w:w="2552"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商品和服务支出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56.27</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56.27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办公费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28.44</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28.44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30207</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邮电费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0.36</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差旅费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30217</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公务接待费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5.68</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工会经费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1.40</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福利费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2.73</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850" w:type="dxa"/>
            <w:vAlign w:val="center"/>
          </w:tcPr>
          <w:p>
            <w:pPr>
              <w:pStyle w:val="24"/>
            </w:pPr>
            <w:r>
              <w:t>17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公务用车运行维护费</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2.50</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其他交通费用</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12.66</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12.66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30299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其他商品和服务支出</w:t>
            </w:r>
          </w:p>
        </w:tc>
        <w:tc>
          <w:tcPr>
            <w:tcW w:w="2551" w:type="dxa"/>
            <w:vAlign w:val="center"/>
          </w:tcPr>
          <w:p>
            <w:pPr>
              <w:jc w:val="center"/>
              <w:rPr>
                <w:rFonts w:ascii="Calibri" w:hAnsi="Calibri" w:cs="宋体"/>
                <w:color w:val="000000"/>
                <w:sz w:val="22"/>
                <w:szCs w:val="22"/>
              </w:rPr>
            </w:pPr>
            <w:r>
              <w:rPr>
                <w:rFonts w:ascii="Calibri" w:hAnsi="Calibri"/>
                <w:color w:val="000000"/>
                <w:sz w:val="22"/>
                <w:szCs w:val="22"/>
              </w:rPr>
              <w:t>0.40</w:t>
            </w:r>
          </w:p>
        </w:tc>
        <w:tc>
          <w:tcPr>
            <w:tcW w:w="2551" w:type="dxa"/>
            <w:vAlign w:val="center"/>
          </w:tcPr>
          <w:p>
            <w:pPr>
              <w:jc w:val="center"/>
              <w:rPr>
                <w:rFonts w:ascii="Calibri" w:hAnsi="Calibri" w:cs="宋体"/>
                <w:color w:val="000000"/>
                <w:sz w:val="22"/>
                <w:szCs w:val="22"/>
              </w:rPr>
            </w:pPr>
          </w:p>
        </w:tc>
        <w:tc>
          <w:tcPr>
            <w:tcW w:w="2552" w:type="dxa"/>
            <w:vAlign w:val="center"/>
          </w:tcPr>
          <w:p>
            <w:pPr>
              <w:jc w:val="center"/>
              <w:rPr>
                <w:rFonts w:ascii="Calibri" w:hAnsi="Calibri" w:cs="宋体"/>
                <w:color w:val="000000"/>
                <w:sz w:val="22"/>
                <w:szCs w:val="22"/>
              </w:rPr>
            </w:pPr>
            <w:r>
              <w:rPr>
                <w:rFonts w:ascii="Calibri" w:hAnsi="Calibri"/>
                <w:color w:val="000000"/>
                <w:sz w:val="22"/>
                <w:szCs w:val="22"/>
              </w:rPr>
              <w:t>0.40</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9"/>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3798" w:type="dxa"/>
            <w:vMerge w:val="restart"/>
            <w:vAlign w:val="center"/>
          </w:tcPr>
          <w:p>
            <w:pPr>
              <w:pStyle w:val="21"/>
            </w:pPr>
            <w:r>
              <w:rPr>
                <w:rFonts w:hint="eastAsia"/>
              </w:rPr>
              <w:t>项目</w:t>
            </w:r>
          </w:p>
        </w:tc>
        <w:tc>
          <w:tcPr>
            <w:tcW w:w="9525" w:type="dxa"/>
            <w:gridSpan w:val="4"/>
            <w:vAlign w:val="center"/>
          </w:tcPr>
          <w:p>
            <w:pPr>
              <w:pStyle w:val="21"/>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rPr>
                <w:rFonts w:hint="eastAsia"/>
              </w:rPr>
              <w:t>合计</w:t>
            </w:r>
          </w:p>
        </w:tc>
        <w:tc>
          <w:tcPr>
            <w:tcW w:w="2381" w:type="dxa"/>
            <w:vAlign w:val="center"/>
          </w:tcPr>
          <w:p>
            <w:pPr>
              <w:pStyle w:val="21"/>
            </w:pPr>
            <w:r>
              <w:rPr>
                <w:rFonts w:hint="eastAsia"/>
              </w:rPr>
              <w:t>一般公共预算财政拨款</w:t>
            </w:r>
          </w:p>
        </w:tc>
        <w:tc>
          <w:tcPr>
            <w:tcW w:w="2381" w:type="dxa"/>
            <w:vAlign w:val="center"/>
          </w:tcPr>
          <w:p>
            <w:pPr>
              <w:pStyle w:val="21"/>
            </w:pPr>
            <w:r>
              <w:rPr>
                <w:rFonts w:hint="eastAsia"/>
              </w:rPr>
              <w:t>政府性基金预算拨款</w:t>
            </w:r>
          </w:p>
        </w:tc>
        <w:tc>
          <w:tcPr>
            <w:tcW w:w="2381"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rPr>
                <w:rFonts w:hint="eastAsia"/>
              </w:rP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rPr>
                <w:rFonts w:hint="eastAsia"/>
              </w:rPr>
              <w:t>合计</w:t>
            </w:r>
          </w:p>
        </w:tc>
        <w:tc>
          <w:tcPr>
            <w:tcW w:w="2382" w:type="dxa"/>
            <w:vAlign w:val="center"/>
          </w:tcPr>
          <w:p>
            <w:pPr>
              <w:pStyle w:val="26"/>
              <w:rPr>
                <w:rFonts w:hint="eastAsia" w:eastAsiaTheme="minorEastAsia"/>
                <w:lang w:eastAsia="zh-CN"/>
              </w:rPr>
            </w:pPr>
            <w:r>
              <w:rPr>
                <w:rFonts w:hint="eastAsia" w:eastAsiaTheme="minorEastAsia"/>
                <w:lang w:eastAsia="zh-CN"/>
              </w:rPr>
              <w:t>13.18</w:t>
            </w:r>
          </w:p>
        </w:tc>
        <w:tc>
          <w:tcPr>
            <w:tcW w:w="2381" w:type="dxa"/>
            <w:vAlign w:val="center"/>
          </w:tcPr>
          <w:p>
            <w:pPr>
              <w:pStyle w:val="26"/>
              <w:rPr>
                <w:rFonts w:hint="eastAsia" w:eastAsiaTheme="minorEastAsia"/>
                <w:lang w:eastAsia="zh-CN"/>
              </w:rPr>
            </w:pPr>
            <w:r>
              <w:rPr>
                <w:rFonts w:hint="eastAsia" w:eastAsiaTheme="minorEastAsia"/>
                <w:lang w:eastAsia="zh-CN"/>
              </w:rPr>
              <w:t>13.18</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rPr>
                <w:rFonts w:hint="eastAsia"/>
              </w:rPr>
              <w:t>“三公”经费小计</w:t>
            </w:r>
          </w:p>
        </w:tc>
        <w:tc>
          <w:tcPr>
            <w:tcW w:w="2382" w:type="dxa"/>
            <w:vAlign w:val="center"/>
          </w:tcPr>
          <w:p>
            <w:pPr>
              <w:pStyle w:val="22"/>
              <w:rPr>
                <w:rFonts w:hint="eastAsia" w:eastAsiaTheme="minorEastAsia"/>
                <w:lang w:eastAsia="zh-CN"/>
              </w:rPr>
            </w:pPr>
            <w:r>
              <w:rPr>
                <w:rFonts w:hint="eastAsia" w:eastAsiaTheme="minorEastAsia"/>
                <w:lang w:eastAsia="zh-CN"/>
              </w:rPr>
              <w:t>8.18</w:t>
            </w:r>
          </w:p>
        </w:tc>
        <w:tc>
          <w:tcPr>
            <w:tcW w:w="2381" w:type="dxa"/>
            <w:vAlign w:val="center"/>
          </w:tcPr>
          <w:p>
            <w:pPr>
              <w:pStyle w:val="22"/>
              <w:rPr>
                <w:rFonts w:hint="eastAsia" w:eastAsiaTheme="minorEastAsia"/>
                <w:lang w:eastAsia="zh-CN"/>
              </w:rPr>
            </w:pPr>
            <w:r>
              <w:rPr>
                <w:rFonts w:hint="eastAsia" w:eastAsiaTheme="minorEastAsia"/>
                <w:lang w:eastAsia="zh-CN"/>
              </w:rPr>
              <w:t>8.18</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rPr>
                <w:rFonts w:hint="eastAsia"/>
              </w:rP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rPr>
                <w:rFonts w:hint="eastAsia"/>
              </w:rPr>
              <w:t>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rPr>
                <w:rFonts w:hint="eastAsia"/>
              </w:rPr>
              <w:t>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rPr>
                <w:rFonts w:hint="eastAsia"/>
              </w:rPr>
              <w:t>二、公务用车购置及运维费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rPr>
                <w:rFonts w:hint="eastAsia"/>
              </w:rPr>
              <w:t>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rPr>
                <w:rFonts w:hint="eastAsia"/>
              </w:rPr>
              <w:t>公务用车运行维护费</w:t>
            </w:r>
          </w:p>
        </w:tc>
        <w:tc>
          <w:tcPr>
            <w:tcW w:w="2382" w:type="dxa"/>
            <w:vAlign w:val="center"/>
          </w:tcPr>
          <w:p>
            <w:pPr>
              <w:pStyle w:val="22"/>
              <w:rPr>
                <w:rFonts w:hint="eastAsia" w:eastAsiaTheme="minorEastAsia"/>
                <w:lang w:eastAsia="zh-CN"/>
              </w:rPr>
            </w:pPr>
            <w:r>
              <w:rPr>
                <w:rFonts w:hint="eastAsia" w:eastAsiaTheme="minorEastAsia"/>
                <w:lang w:eastAsia="zh-CN"/>
              </w:rPr>
              <w:t>2.50</w:t>
            </w:r>
          </w:p>
        </w:tc>
        <w:tc>
          <w:tcPr>
            <w:tcW w:w="2381" w:type="dxa"/>
            <w:vAlign w:val="center"/>
          </w:tcPr>
          <w:p>
            <w:pPr>
              <w:pStyle w:val="22"/>
            </w:pPr>
            <w:r>
              <w:rPr>
                <w:rFonts w:hint="eastAsia" w:eastAsiaTheme="minorEastAsia"/>
                <w:lang w:eastAsia="zh-CN"/>
              </w:rPr>
              <w:t>2.5</w:t>
            </w:r>
            <w:r>
              <w:t>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9</w:t>
            </w:r>
          </w:p>
        </w:tc>
        <w:tc>
          <w:tcPr>
            <w:tcW w:w="3798" w:type="dxa"/>
            <w:vAlign w:val="center"/>
          </w:tcPr>
          <w:p>
            <w:pPr>
              <w:pStyle w:val="23"/>
            </w:pPr>
            <w:r>
              <w:rPr>
                <w:rFonts w:hint="eastAsia"/>
              </w:rPr>
              <w:t>三、公务接待费</w:t>
            </w:r>
          </w:p>
        </w:tc>
        <w:tc>
          <w:tcPr>
            <w:tcW w:w="2382" w:type="dxa"/>
            <w:vAlign w:val="center"/>
          </w:tcPr>
          <w:p>
            <w:pPr>
              <w:pStyle w:val="22"/>
              <w:rPr>
                <w:rFonts w:hint="eastAsia" w:eastAsiaTheme="minorEastAsia"/>
                <w:lang w:eastAsia="zh-CN"/>
              </w:rPr>
            </w:pPr>
            <w:r>
              <w:rPr>
                <w:rFonts w:hint="eastAsia" w:eastAsiaTheme="minorEastAsia"/>
                <w:lang w:eastAsia="zh-CN"/>
              </w:rPr>
              <w:t>5.68</w:t>
            </w:r>
          </w:p>
        </w:tc>
        <w:tc>
          <w:tcPr>
            <w:tcW w:w="2381" w:type="dxa"/>
            <w:vAlign w:val="center"/>
          </w:tcPr>
          <w:p>
            <w:pPr>
              <w:pStyle w:val="22"/>
              <w:rPr>
                <w:rFonts w:hint="eastAsia" w:eastAsiaTheme="minorEastAsia"/>
                <w:lang w:eastAsia="zh-CN"/>
              </w:rPr>
            </w:pPr>
            <w:r>
              <w:rPr>
                <w:rFonts w:hint="eastAsia" w:eastAsiaTheme="minorEastAsia"/>
                <w:lang w:eastAsia="zh-CN"/>
              </w:rPr>
              <w:t>5.68</w:t>
            </w:r>
          </w:p>
        </w:tc>
        <w:tc>
          <w:tcPr>
            <w:tcW w:w="2381" w:type="dxa"/>
            <w:vAlign w:val="center"/>
          </w:tcPr>
          <w:p>
            <w:pPr>
              <w:pStyle w:val="22"/>
            </w:pPr>
          </w:p>
        </w:tc>
        <w:tc>
          <w:tcPr>
            <w:tcW w:w="2381" w:type="dxa"/>
            <w:vAlign w:val="center"/>
          </w:tcPr>
          <w:p>
            <w:pPr>
              <w:pStyle w:val="22"/>
            </w:pPr>
          </w:p>
        </w:tc>
      </w:tr>
    </w:tbl>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hint="eastAsia" w:ascii="仿宋_GB2312" w:hAnsi="仿宋" w:eastAsia="仿宋_GB2312" w:cs="仿宋"/>
          <w:sz w:val="32"/>
          <w:szCs w:val="32"/>
        </w:rPr>
        <w:t>预算法》、《地方预决算公开操作规程》和《关于进一步推进预算公开工作的实施意见》规定，现将中国共产党涞水县委员会组织部（本级）</w:t>
      </w:r>
      <w:r>
        <w:rPr>
          <w:rFonts w:ascii="仿宋_GB2312" w:hAnsi="仿宋" w:eastAsia="仿宋_GB2312" w:cs="仿宋"/>
          <w:sz w:val="32"/>
          <w:szCs w:val="32"/>
        </w:rPr>
        <w:t>2022</w:t>
      </w:r>
      <w:r>
        <w:rPr>
          <w:rFonts w:hint="eastAsia" w:ascii="仿宋_GB2312" w:hAnsi="仿宋" w:eastAsia="仿宋_GB2312" w:cs="仿宋"/>
          <w:sz w:val="32"/>
          <w:szCs w:val="32"/>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（一）</w:t>
      </w:r>
      <w:r>
        <w:rPr>
          <w:rFonts w:hint="eastAsia" w:ascii="方正楷体_GBK" w:hAnsi="方正楷体_GBK" w:eastAsia="方正楷体_GBK" w:cs="方正楷体_GBK"/>
          <w:b/>
          <w:color w:val="000000"/>
          <w:sz w:val="32"/>
        </w:rPr>
        <w:t>单位职责：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w:t>
      </w:r>
      <w:bookmarkStart w:id="25" w:name="_GoBack"/>
      <w:bookmarkEnd w:id="25"/>
      <w:r>
        <w:rPr>
          <w:rFonts w:hint="eastAsia" w:ascii="仿宋_GB2312" w:hAnsi="仿宋" w:eastAsia="仿宋_GB2312" w:cs="仿宋"/>
          <w:sz w:val="32"/>
          <w:szCs w:val="32"/>
        </w:rPr>
        <w:t>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ind w:firstLine="640"/>
      </w:pPr>
      <w:r>
        <w:rPr>
          <w:rFonts w:hint="eastAsia" w:ascii="方正楷体_GBK" w:hAnsi="方正楷体_GBK" w:eastAsia="方正楷体_GBK" w:cs="方正楷体_GBK"/>
          <w:b/>
          <w:color w:val="000000"/>
          <w:sz w:val="32"/>
          <w:lang w:eastAsia="zh-CN"/>
        </w:rPr>
        <w:t>（二）</w:t>
      </w:r>
      <w:r>
        <w:rPr>
          <w:rFonts w:hint="eastAsia" w:ascii="方正楷体_GBK" w:hAnsi="方正楷体_GBK" w:eastAsia="方正楷体_GBK" w:cs="方正楷体_GBK"/>
          <w:b/>
          <w:color w:val="000000"/>
          <w:sz w:val="32"/>
        </w:rPr>
        <w:t>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本级）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联席会议</w:t>
      </w:r>
      <w:r>
        <w:rPr>
          <w:rFonts w:hint="eastAsia" w:ascii="仿宋_GB2312" w:hAnsi="仿宋" w:eastAsia="仿宋_GB2312" w:cs="仿宋"/>
          <w:sz w:val="32"/>
          <w:szCs w:val="32"/>
        </w:rPr>
        <w:t>办公室、公务员一股（人才工作股）、公务员二股，行政编制29人。</w:t>
      </w:r>
    </w:p>
    <w:p>
      <w:pPr>
        <w:jc w:val="center"/>
        <w:rPr>
          <w:rFonts w:ascii="方正小标宋_GBK" w:hAnsi="方正小标宋_GBK" w:eastAsia="方正小标宋_GBK" w:cs="方正小标宋_GBK"/>
          <w:color w:val="000000"/>
          <w:sz w:val="32"/>
          <w:lang w:eastAsia="zh-CN"/>
        </w:rPr>
      </w:pPr>
      <w:r>
        <w:rPr>
          <w:rFonts w:hint="eastAsia" w:ascii="方正小标宋_GBK" w:hAnsi="方正小标宋_GBK" w:eastAsia="方正小标宋_GBK" w:cs="方正小标宋_GBK"/>
          <w:color w:val="000000"/>
          <w:sz w:val="32"/>
        </w:rPr>
        <w:t>单位机构设置情况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597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中国共产党涞水县委员会组织部</w:t>
            </w:r>
            <w:r>
              <w:rPr>
                <w:rFonts w:hint="eastAsia" w:ascii="仿宋_GB2312" w:hAnsi="仿宋" w:eastAsia="仿宋_GB2312" w:cs="仿宋"/>
                <w:color w:val="000000"/>
                <w:sz w:val="32"/>
                <w:szCs w:val="32"/>
                <w:lang w:eastAsia="zh-CN"/>
              </w:rPr>
              <w:t>（本级）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ind w:firstLine="640"/>
        <w:outlineLvl w:val="5"/>
        <w:rPr>
          <w:rFonts w:hint="eastAsia"/>
          <w:lang w:eastAsia="zh-CN"/>
        </w:rPr>
      </w:pPr>
    </w:p>
    <w:p>
      <w:pPr>
        <w:spacing w:before="10" w:after="10"/>
        <w:ind w:firstLine="640"/>
        <w:outlineLvl w:val="5"/>
        <w:rPr>
          <w:rFonts w:hint="eastAsia"/>
          <w:lang w:eastAsia="zh-CN"/>
        </w:rPr>
      </w:pPr>
    </w:p>
    <w:p>
      <w:pPr>
        <w:spacing w:before="10" w:after="10"/>
        <w:ind w:firstLine="640"/>
        <w:outlineLvl w:val="5"/>
        <w:rPr>
          <w:rFonts w:hint="eastAsia"/>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560"/>
        <w:rPr>
          <w:rFonts w:ascii="仿宋_GB2312" w:eastAsia="仿宋_GB2312"/>
          <w:color w:val="000000"/>
          <w:sz w:val="32"/>
          <w:szCs w:val="32"/>
        </w:rPr>
      </w:pPr>
      <w:r>
        <w:rPr>
          <w:rFonts w:hint="eastAsia" w:ascii="仿宋_GB2312" w:hAnsi="仿宋" w:eastAsia="仿宋_GB2312" w:cs="仿宋"/>
          <w:sz w:val="32"/>
          <w:szCs w:val="32"/>
          <w:lang w:eastAsia="zh-CN"/>
        </w:rPr>
        <w:t>中国共产党涞水县委员会组织部是全额拨款行政单位，按照县财政局2022年预算批复取得财政拨款收入并安排支出。</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6000.00万元，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收入5967.44</w:t>
      </w:r>
      <w:r>
        <w:rPr>
          <w:rFonts w:hint="eastAsia" w:ascii="仿宋" w:hAnsi="仿宋" w:eastAsia="仿宋" w:cs="仿宋"/>
          <w:sz w:val="32"/>
          <w:szCs w:val="32"/>
        </w:rPr>
        <w:t>万元</w:t>
      </w:r>
      <w:r>
        <w:rPr>
          <w:rFonts w:hint="eastAsia" w:ascii="仿宋" w:hAnsi="仿宋" w:eastAsia="仿宋" w:cs="仿宋"/>
          <w:sz w:val="32"/>
          <w:szCs w:val="32"/>
          <w:lang w:eastAsia="zh-CN"/>
        </w:rPr>
        <w:t>，上年结转32.56万元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6000.00</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222.94</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166.67</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56.27</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5777.06</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eastAsia="zh-CN"/>
        </w:rPr>
        <w:t>6000.00</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减少492.81</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减少195.27</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减少了劳务派遣人员工资</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减少297.54</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了：干部人事档案数字化工作经费</w:t>
      </w:r>
      <w:r>
        <w:rPr>
          <w:rFonts w:hint="eastAsia" w:ascii="仿宋_GB2312" w:eastAsia="仿宋_GB2312"/>
          <w:color w:val="000000"/>
          <w:sz w:val="32"/>
          <w:szCs w:val="32"/>
          <w:lang w:eastAsia="zh-CN"/>
        </w:rPr>
        <w:t>、市换届考察组赴我县考察费用、从“五方面人员”中公开选拔乡镇领导班子成员工资经费等项目。</w:t>
      </w:r>
    </w:p>
    <w:p>
      <w:pPr>
        <w:spacing w:before="10" w:after="10" w:line="500" w:lineRule="exact"/>
        <w:ind w:firstLine="640"/>
        <w:outlineLvl w:val="5"/>
      </w:pPr>
      <w:r>
        <w:rPr>
          <w:rFonts w:hint="eastAsia" w:ascii="黑体" w:hAnsi="黑体" w:eastAsia="黑体" w:cs="黑体"/>
          <w:color w:val="000000"/>
          <w:sz w:val="32"/>
        </w:rPr>
        <w:t>三、机关运行经费安排情况</w:t>
      </w:r>
    </w:p>
    <w:p>
      <w:pPr>
        <w:spacing w:line="50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2022年</w:t>
      </w:r>
      <w:r>
        <w:rPr>
          <w:rFonts w:hint="eastAsia" w:ascii="仿宋_GB2312" w:eastAsia="仿宋_GB2312"/>
          <w:color w:val="000000"/>
          <w:sz w:val="32"/>
          <w:szCs w:val="32"/>
          <w:lang w:eastAsia="zh-CN"/>
        </w:rPr>
        <w:t>中国共产党涞水县委员会组织部（本级）</w:t>
      </w:r>
      <w:r>
        <w:rPr>
          <w:rFonts w:hint="eastAsia" w:ascii="仿宋_GB2312" w:eastAsia="仿宋_GB2312"/>
          <w:color w:val="000000"/>
          <w:sz w:val="32"/>
          <w:szCs w:val="32"/>
        </w:rPr>
        <w:t>预算安排机关运行经费支出</w:t>
      </w:r>
      <w:r>
        <w:rPr>
          <w:rFonts w:hint="eastAsia" w:ascii="仿宋_GB2312" w:eastAsia="仿宋_GB2312"/>
          <w:color w:val="000000"/>
          <w:sz w:val="32"/>
          <w:szCs w:val="32"/>
          <w:lang w:eastAsia="zh-CN"/>
        </w:rPr>
        <w:t>56.27</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万元，办公费25.94万元、邮电费0.36万元、差旅费2.10万元、公务接待5.68万元、公务用车运行维护费2.5万元、公务交通补贴12.66万元、离退休人员公用经费0.4万元、工会经费1.40万元、职工福利费2.73万元。</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1、因公出国（境）费无，历年均无此项费用。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2、公务用车购置费无，公务车运行维护费2.5万元，与上年持平，因为我单位科学管理，实施公务用车改革政策。</w:t>
      </w:r>
    </w:p>
    <w:p>
      <w:pPr>
        <w:spacing w:line="560" w:lineRule="exact"/>
        <w:ind w:firstLine="640"/>
        <w:rPr>
          <w:rFonts w:ascii="黑体" w:hAnsi="黑体" w:eastAsia="黑体" w:cs="黑体"/>
          <w:color w:val="000000"/>
          <w:sz w:val="32"/>
          <w:lang w:eastAsia="zh-CN"/>
        </w:rPr>
      </w:pPr>
      <w:r>
        <w:rPr>
          <w:rFonts w:hint="eastAsia" w:ascii="仿宋" w:hAnsi="仿宋" w:eastAsia="仿宋" w:cs="仿宋"/>
          <w:sz w:val="32"/>
          <w:szCs w:val="32"/>
        </w:rPr>
        <w:t>3、公务接待费的预算总额5.68万元，比去年减少1万元，预计接待136人，大概35批次。按2022年工作任务已压缩到最低。</w:t>
      </w:r>
    </w:p>
    <w:p>
      <w:pPr>
        <w:spacing w:before="10" w:after="10"/>
        <w:ind w:firstLine="640"/>
        <w:outlineLvl w:val="5"/>
        <w:rPr>
          <w:rFonts w:ascii="黑体" w:hAnsi="黑体" w:eastAsia="黑体" w:cs="黑体"/>
          <w:color w:val="000000"/>
          <w:sz w:val="32"/>
          <w:lang w:eastAsia="zh-CN"/>
        </w:rPr>
      </w:pPr>
    </w:p>
    <w:tbl>
      <w:tblPr>
        <w:tblStyle w:val="13"/>
        <w:tblpPr w:leftFromText="180" w:rightFromText="180" w:vertAnchor="text" w:horzAnchor="page" w:tblpX="2080" w:tblpY="183"/>
        <w:tblOverlap w:val="never"/>
        <w:tblW w:w="0" w:type="auto"/>
        <w:tblInd w:w="0" w:type="dxa"/>
        <w:tblLayout w:type="autofit"/>
        <w:tblCellMar>
          <w:top w:w="0" w:type="dxa"/>
          <w:left w:w="108" w:type="dxa"/>
          <w:bottom w:w="0" w:type="dxa"/>
          <w:right w:w="108" w:type="dxa"/>
        </w:tblCellMar>
      </w:tblPr>
      <w:tblGrid>
        <w:gridCol w:w="2776"/>
        <w:gridCol w:w="2216"/>
        <w:gridCol w:w="2216"/>
        <w:gridCol w:w="1496"/>
        <w:gridCol w:w="4376"/>
      </w:tblGrid>
      <w:tr>
        <w:tblPrEx>
          <w:tblCellMar>
            <w:top w:w="0" w:type="dxa"/>
            <w:left w:w="108" w:type="dxa"/>
            <w:bottom w:w="0" w:type="dxa"/>
            <w:right w:w="108" w:type="dxa"/>
          </w:tblCellMar>
        </w:tblPrEx>
        <w:trPr>
          <w:trHeight w:val="369" w:hRule="atLeast"/>
        </w:trPr>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1</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2</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-1</w:t>
            </w:r>
          </w:p>
        </w:tc>
        <w:tc>
          <w:tcPr>
            <w:tcW w:w="0" w:type="auto"/>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响应国家号召，压减资金支出</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2"/>
                <w:szCs w:val="32"/>
              </w:rPr>
            </w:pPr>
            <w:r>
              <w:rPr>
                <w:rFonts w:hint="eastAsia" w:ascii="仿宋_GB2312" w:hAnsi="宋体" w:eastAsia="仿宋_GB2312"/>
                <w:sz w:val="32"/>
                <w:szCs w:val="32"/>
              </w:rPr>
              <w:t>合计</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9.18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8.18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-1</w:t>
            </w:r>
          </w:p>
        </w:tc>
        <w:tc>
          <w:tcPr>
            <w:tcW w:w="0" w:type="auto"/>
            <w:tcBorders>
              <w:top w:val="single" w:color="auto" w:sz="4" w:space="0"/>
              <w:left w:val="nil"/>
              <w:bottom w:val="single" w:color="auto" w:sz="4" w:space="0"/>
              <w:right w:val="single" w:color="auto" w:sz="4" w:space="0"/>
            </w:tcBorders>
            <w:vAlign w:val="center"/>
          </w:tcPr>
          <w:p>
            <w:pPr>
              <w:rPr>
                <w:rFonts w:ascii="仿宋_GB2312" w:hAnsi="宋体" w:eastAsia="仿宋_GB2312"/>
                <w:sz w:val="32"/>
                <w:szCs w:val="32"/>
                <w:lang w:eastAsia="zh-CN"/>
              </w:rPr>
            </w:pPr>
            <w:r>
              <w:rPr>
                <w:rFonts w:hint="eastAsia" w:ascii="仿宋_GB2312" w:hAnsi="宋体" w:eastAsia="仿宋_GB2312"/>
                <w:sz w:val="32"/>
                <w:szCs w:val="32"/>
              </w:rPr>
              <w:t>响应国家号召，压减资金支出</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1" w:bottom="1361" w:left="1021" w:header="720" w:footer="720" w:gutter="0"/>
          <w:cols w:space="720" w:num="1"/>
          <w:docGrid w:linePitch="326" w:charSpace="0"/>
        </w:sectPr>
      </w:pPr>
      <w:r>
        <w:rPr>
          <w:rFonts w:hint="eastAsia" w:ascii="黑体" w:hAnsi="黑体" w:eastAsia="黑体" w:cs="黑体"/>
          <w:color w:val="000000"/>
          <w:sz w:val="32"/>
        </w:rPr>
        <w:t>五、预算绩效信息</w:t>
      </w:r>
    </w:p>
    <w:p>
      <w:pPr>
        <w:spacing w:line="560" w:lineRule="exact"/>
        <w:ind w:firstLine="560"/>
        <w:outlineLvl w:val="3"/>
      </w:pPr>
      <w:bookmarkStart w:id="1" w:name="_Toc_4_4_0000000004"/>
      <w:r>
        <w:rPr>
          <w:rFonts w:ascii="方正仿宋_GBK" w:hAnsi="方正仿宋_GBK" w:eastAsia="方正仿宋_GBK" w:cs="方正仿宋_GBK"/>
          <w:color w:val="000000"/>
          <w:sz w:val="28"/>
        </w:rPr>
        <w:t>1.2021年度下派选调生到村工作中央财政补助资金 冀财行[2020]153号绩效目标表</w:t>
      </w:r>
      <w:bookmarkEnd w:id="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jc w:val="cente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jc w:val="center"/>
            </w:pPr>
            <w:r>
              <w:t>1.下派选调生到村任职，提高村级工作能力和业务能力。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选调生任职村庄数量</w:t>
            </w:r>
          </w:p>
        </w:tc>
        <w:tc>
          <w:tcPr>
            <w:tcW w:w="2891" w:type="dxa"/>
            <w:vAlign w:val="center"/>
          </w:tcPr>
          <w:p>
            <w:pPr>
              <w:pStyle w:val="23"/>
            </w:pPr>
            <w:r>
              <w:t>选调生任职村庄数量</w:t>
            </w:r>
          </w:p>
        </w:tc>
        <w:tc>
          <w:tcPr>
            <w:tcW w:w="1276" w:type="dxa"/>
            <w:vAlign w:val="center"/>
          </w:tcPr>
          <w:p>
            <w:pPr>
              <w:pStyle w:val="23"/>
            </w:pPr>
            <w:r>
              <w:t>≥5个</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工作质量考核优良率（≧**%）</w:t>
            </w:r>
          </w:p>
        </w:tc>
        <w:tc>
          <w:tcPr>
            <w:tcW w:w="2891" w:type="dxa"/>
            <w:vAlign w:val="center"/>
          </w:tcPr>
          <w:p>
            <w:pPr>
              <w:pStyle w:val="23"/>
            </w:pPr>
            <w:r>
              <w:t>选调生到村工作质量考核优良率（≧**%）</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年度资金计划按时完成率</w:t>
            </w:r>
          </w:p>
        </w:tc>
        <w:tc>
          <w:tcPr>
            <w:tcW w:w="2891" w:type="dxa"/>
            <w:vAlign w:val="center"/>
          </w:tcPr>
          <w:p>
            <w:pPr>
              <w:pStyle w:val="23"/>
            </w:pPr>
            <w:r>
              <w:t>年度资金计划按时完成率</w:t>
            </w:r>
          </w:p>
        </w:tc>
        <w:tc>
          <w:tcPr>
            <w:tcW w:w="1276" w:type="dxa"/>
            <w:vAlign w:val="center"/>
          </w:tcPr>
          <w:p>
            <w:pPr>
              <w:pStyle w:val="23"/>
            </w:pPr>
            <w:r>
              <w:t>≥80百分比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≤2.55万元</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选调生到村人数工作年度目标完成率</w:t>
            </w:r>
          </w:p>
        </w:tc>
        <w:tc>
          <w:tcPr>
            <w:tcW w:w="2891" w:type="dxa"/>
            <w:vAlign w:val="center"/>
          </w:tcPr>
          <w:p>
            <w:pPr>
              <w:pStyle w:val="23"/>
            </w:pPr>
            <w:r>
              <w:t>选调生到村任职工作年度目标任务完成量占计划任务量的比例</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1843" w:type="dxa"/>
            <w:vAlign w:val="center"/>
          </w:tcPr>
          <w:p>
            <w:pPr>
              <w:pStyle w:val="23"/>
            </w:pPr>
            <w:r>
              <w:t>冀财行[2020]153号</w:t>
            </w:r>
          </w:p>
        </w:tc>
      </w:tr>
    </w:tbl>
    <w:p>
      <w:pPr>
        <w:rPr>
          <w:rFonts w:eastAsiaTheme="minorEastAsia"/>
          <w:lang w:eastAsia="zh-CN"/>
        </w:rPr>
        <w:sectPr>
          <w:type w:val="continuous"/>
          <w:pgSz w:w="16840" w:h="11900" w:orient="landscape"/>
          <w:pgMar w:top="1304" w:right="1134" w:bottom="1304" w:left="1984" w:header="720" w:footer="720" w:gutter="0"/>
          <w:cols w:space="720" w:num="1"/>
          <w:docGrid w:linePitch="326" w:charSpace="0"/>
        </w:sectPr>
      </w:pPr>
    </w:p>
    <w:p>
      <w:pPr>
        <w:outlineLvl w:val="3"/>
      </w:pPr>
      <w:bookmarkStart w:id="2" w:name="_Toc_4_4_0000000005"/>
      <w:r>
        <w:rPr>
          <w:rFonts w:ascii="方正仿宋_GBK" w:hAnsi="方正仿宋_GBK" w:eastAsia="方正仿宋_GBK" w:cs="方正仿宋_GBK"/>
          <w:color w:val="000000"/>
          <w:sz w:val="28"/>
        </w:rPr>
        <w:t>2.2022年度下派选调生到村工作中央补助资金 冀财预97号绩效目标表</w:t>
      </w:r>
      <w:bookmarkEnd w:id="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6775"/>
        <w:gridCol w:w="1843"/>
        <w:gridCol w:w="5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04" w:type="dxa"/>
          <w:trHeight w:val="397" w:hRule="atLeast"/>
          <w:jc w:val="center"/>
        </w:trPr>
        <w:tc>
          <w:tcPr>
            <w:tcW w:w="8063"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8" w:type="dxa"/>
            <w:vAlign w:val="center"/>
          </w:tcPr>
          <w:p>
            <w:pPr>
              <w:pStyle w:val="21"/>
            </w:pPr>
            <w:r>
              <w:t>绩效目标</w:t>
            </w:r>
          </w:p>
        </w:tc>
        <w:tc>
          <w:tcPr>
            <w:tcW w:w="9122" w:type="dxa"/>
            <w:gridSpan w:val="3"/>
            <w:vAlign w:val="center"/>
          </w:tcPr>
          <w:p>
            <w:pPr>
              <w:pStyle w:val="23"/>
            </w:pPr>
            <w:r>
              <w:t>1.提高选调生到村工作待遇，更好提高村级工作效率。</w:t>
            </w: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992"/>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229" w:type="dxa"/>
            <w:vAlign w:val="center"/>
          </w:tcPr>
          <w:p>
            <w:pPr>
              <w:pStyle w:val="21"/>
            </w:pPr>
            <w:r>
              <w:t>绩效指标描述</w:t>
            </w:r>
          </w:p>
        </w:tc>
        <w:tc>
          <w:tcPr>
            <w:tcW w:w="992" w:type="dxa"/>
            <w:vAlign w:val="center"/>
          </w:tcPr>
          <w:p>
            <w:pPr>
              <w:pStyle w:val="21"/>
            </w:pPr>
            <w:r>
              <w:t>指标值</w:t>
            </w:r>
          </w:p>
        </w:tc>
        <w:tc>
          <w:tcPr>
            <w:tcW w:w="3314"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选调生数量</w:t>
            </w:r>
          </w:p>
        </w:tc>
        <w:tc>
          <w:tcPr>
            <w:tcW w:w="2229" w:type="dxa"/>
            <w:vAlign w:val="center"/>
          </w:tcPr>
          <w:p>
            <w:pPr>
              <w:pStyle w:val="23"/>
            </w:pPr>
            <w:r>
              <w:t>选调生数量</w:t>
            </w:r>
          </w:p>
        </w:tc>
        <w:tc>
          <w:tcPr>
            <w:tcW w:w="992" w:type="dxa"/>
            <w:vAlign w:val="center"/>
          </w:tcPr>
          <w:p>
            <w:pPr>
              <w:pStyle w:val="23"/>
            </w:pPr>
            <w:r>
              <w:t>数量</w:t>
            </w:r>
          </w:p>
        </w:tc>
        <w:tc>
          <w:tcPr>
            <w:tcW w:w="3314" w:type="dxa"/>
            <w:vAlign w:val="center"/>
          </w:tcPr>
          <w:p>
            <w:pPr>
              <w:pStyle w:val="23"/>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选调生到村工作提升工作质量比率</w:t>
            </w:r>
          </w:p>
        </w:tc>
        <w:tc>
          <w:tcPr>
            <w:tcW w:w="2229" w:type="dxa"/>
            <w:vAlign w:val="center"/>
          </w:tcPr>
          <w:p>
            <w:pPr>
              <w:pStyle w:val="23"/>
            </w:pPr>
            <w:r>
              <w:t>选调生到村工作提升工作质量比率</w:t>
            </w:r>
          </w:p>
        </w:tc>
        <w:tc>
          <w:tcPr>
            <w:tcW w:w="992" w:type="dxa"/>
            <w:vAlign w:val="center"/>
          </w:tcPr>
          <w:p>
            <w:pPr>
              <w:pStyle w:val="23"/>
            </w:pPr>
            <w:r>
              <w:t>≥90百分比</w:t>
            </w:r>
          </w:p>
        </w:tc>
        <w:tc>
          <w:tcPr>
            <w:tcW w:w="3314" w:type="dxa"/>
            <w:vAlign w:val="center"/>
          </w:tcPr>
          <w:p>
            <w:pPr>
              <w:pStyle w:val="23"/>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选调生到村工作时效</w:t>
            </w:r>
          </w:p>
        </w:tc>
        <w:tc>
          <w:tcPr>
            <w:tcW w:w="2229" w:type="dxa"/>
            <w:vAlign w:val="center"/>
          </w:tcPr>
          <w:p>
            <w:pPr>
              <w:pStyle w:val="23"/>
            </w:pPr>
            <w:r>
              <w:t>选调生到村工作时效</w:t>
            </w:r>
          </w:p>
        </w:tc>
        <w:tc>
          <w:tcPr>
            <w:tcW w:w="992" w:type="dxa"/>
            <w:vAlign w:val="center"/>
          </w:tcPr>
          <w:p>
            <w:pPr>
              <w:pStyle w:val="23"/>
            </w:pPr>
            <w:r>
              <w:t>是否及时</w:t>
            </w:r>
          </w:p>
        </w:tc>
        <w:tc>
          <w:tcPr>
            <w:tcW w:w="3314" w:type="dxa"/>
            <w:vAlign w:val="center"/>
          </w:tcPr>
          <w:p>
            <w:pPr>
              <w:pStyle w:val="23"/>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229" w:type="dxa"/>
            <w:vAlign w:val="center"/>
          </w:tcPr>
          <w:p>
            <w:pPr>
              <w:pStyle w:val="23"/>
            </w:pPr>
            <w:r>
              <w:t>预算控制数</w:t>
            </w:r>
          </w:p>
        </w:tc>
        <w:tc>
          <w:tcPr>
            <w:tcW w:w="992" w:type="dxa"/>
            <w:vAlign w:val="center"/>
          </w:tcPr>
          <w:p>
            <w:pPr>
              <w:pStyle w:val="23"/>
            </w:pPr>
            <w:r>
              <w:t>≤11.9万元</w:t>
            </w:r>
          </w:p>
        </w:tc>
        <w:tc>
          <w:tcPr>
            <w:tcW w:w="3314" w:type="dxa"/>
            <w:vAlign w:val="center"/>
          </w:tcPr>
          <w:p>
            <w:pPr>
              <w:pStyle w:val="23"/>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社会影响力</w:t>
            </w:r>
          </w:p>
          <w:p>
            <w:pPr>
              <w:pStyle w:val="23"/>
            </w:pPr>
          </w:p>
          <w:p>
            <w:pPr>
              <w:pStyle w:val="23"/>
            </w:pPr>
          </w:p>
        </w:tc>
        <w:tc>
          <w:tcPr>
            <w:tcW w:w="2229" w:type="dxa"/>
            <w:vAlign w:val="center"/>
          </w:tcPr>
          <w:p>
            <w:pPr>
              <w:pStyle w:val="23"/>
            </w:pPr>
            <w:r>
              <w:t>在全县产生的重要影响，提高社会影响率</w:t>
            </w:r>
          </w:p>
          <w:p>
            <w:pPr>
              <w:pStyle w:val="23"/>
            </w:pPr>
          </w:p>
        </w:tc>
        <w:tc>
          <w:tcPr>
            <w:tcW w:w="992" w:type="dxa"/>
            <w:vAlign w:val="center"/>
          </w:tcPr>
          <w:p>
            <w:pPr>
              <w:pStyle w:val="23"/>
            </w:pPr>
            <w:r>
              <w:t>≥90百分比</w:t>
            </w:r>
          </w:p>
        </w:tc>
        <w:tc>
          <w:tcPr>
            <w:tcW w:w="3314" w:type="dxa"/>
            <w:vAlign w:val="center"/>
          </w:tcPr>
          <w:p>
            <w:pPr>
              <w:pStyle w:val="23"/>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社会公众满意度（%）</w:t>
            </w:r>
          </w:p>
        </w:tc>
        <w:tc>
          <w:tcPr>
            <w:tcW w:w="2229" w:type="dxa"/>
            <w:vAlign w:val="center"/>
          </w:tcPr>
          <w:p>
            <w:pPr>
              <w:pStyle w:val="23"/>
            </w:pPr>
            <w:r>
              <w:t>社会公众满意度（%）</w:t>
            </w:r>
          </w:p>
        </w:tc>
        <w:tc>
          <w:tcPr>
            <w:tcW w:w="992" w:type="dxa"/>
            <w:vAlign w:val="center"/>
          </w:tcPr>
          <w:p>
            <w:pPr>
              <w:pStyle w:val="23"/>
            </w:pPr>
            <w:r>
              <w:t>≥90百分比</w:t>
            </w:r>
          </w:p>
        </w:tc>
        <w:tc>
          <w:tcPr>
            <w:tcW w:w="3314" w:type="dxa"/>
            <w:vAlign w:val="center"/>
          </w:tcPr>
          <w:p>
            <w:pPr>
              <w:pStyle w:val="23"/>
              <w:rPr>
                <w:lang w:val="uk-UA" w:eastAsia="zh-CN"/>
              </w:rPr>
            </w:pPr>
            <w:r>
              <w:t>省财政厅《关于提前下达2022年度下派选调生到村工作中央财政补助资金预算的通知》（冀财行[2021]350号）</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3" w:name="_Toc_4_4_0000000006"/>
      <w:r>
        <w:rPr>
          <w:rFonts w:ascii="方正仿宋_GBK" w:hAnsi="方正仿宋_GBK" w:eastAsia="方正仿宋_GBK" w:cs="方正仿宋_GBK"/>
          <w:color w:val="000000"/>
          <w:sz w:val="28"/>
        </w:rPr>
        <w:t>3.“四清”借干维稳工作经费绩效目标表</w:t>
      </w:r>
      <w:bookmarkEnd w:id="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rPr>
                <w:lang w:val="uk-UA" w:eastAsia="zh-CN"/>
              </w:rPr>
            </w:pPr>
            <w:r>
              <w:t>1.扎实做好群众的思想宣传教育工作，稳定情况避免发生上访情况，不发生越级访和进京访。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开展宣传的次数</w:t>
            </w:r>
          </w:p>
        </w:tc>
        <w:tc>
          <w:tcPr>
            <w:tcW w:w="2891" w:type="dxa"/>
            <w:vAlign w:val="center"/>
          </w:tcPr>
          <w:p>
            <w:pPr>
              <w:pStyle w:val="23"/>
            </w:pPr>
            <w:r>
              <w:t>反映开展对外宣传形式的多样性</w:t>
            </w:r>
          </w:p>
        </w:tc>
        <w:tc>
          <w:tcPr>
            <w:tcW w:w="1276" w:type="dxa"/>
            <w:vAlign w:val="center"/>
          </w:tcPr>
          <w:p>
            <w:pPr>
              <w:pStyle w:val="23"/>
            </w:pPr>
            <w:r>
              <w:t>次数</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维稳工作完成率</w:t>
            </w:r>
          </w:p>
        </w:tc>
        <w:tc>
          <w:tcPr>
            <w:tcW w:w="2891" w:type="dxa"/>
            <w:vAlign w:val="center"/>
          </w:tcPr>
          <w:p>
            <w:pPr>
              <w:pStyle w:val="23"/>
            </w:pPr>
            <w:r>
              <w:t>维持我国社会稳定、经济的持续发展完成率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核心区不稳定因素降率（%）</w:t>
            </w:r>
          </w:p>
        </w:tc>
        <w:tc>
          <w:tcPr>
            <w:tcW w:w="2891" w:type="dxa"/>
            <w:vAlign w:val="center"/>
          </w:tcPr>
          <w:p>
            <w:pPr>
              <w:pStyle w:val="23"/>
            </w:pPr>
            <w:r>
              <w:t>核心区不稳定因素降率（%）</w:t>
            </w:r>
          </w:p>
        </w:tc>
        <w:tc>
          <w:tcPr>
            <w:tcW w:w="1276" w:type="dxa"/>
            <w:vAlign w:val="center"/>
          </w:tcPr>
          <w:p>
            <w:pPr>
              <w:pStyle w:val="23"/>
            </w:pPr>
            <w:r>
              <w:t>&gt;80百分比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≤4万元</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社会稳定水平</w:t>
            </w:r>
          </w:p>
        </w:tc>
        <w:tc>
          <w:tcPr>
            <w:tcW w:w="2891" w:type="dxa"/>
            <w:vAlign w:val="center"/>
          </w:tcPr>
          <w:p>
            <w:pPr>
              <w:pStyle w:val="23"/>
            </w:pPr>
            <w:r>
              <w:t>反映群众对当代社会稳定和谐的提高程度</w:t>
            </w:r>
          </w:p>
        </w:tc>
        <w:tc>
          <w:tcPr>
            <w:tcW w:w="1276" w:type="dxa"/>
            <w:vAlign w:val="center"/>
          </w:tcPr>
          <w:p>
            <w:pPr>
              <w:pStyle w:val="23"/>
            </w:pPr>
            <w:r>
              <w:t>明显提高</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群众满意度</w:t>
            </w:r>
          </w:p>
        </w:tc>
        <w:tc>
          <w:tcPr>
            <w:tcW w:w="2891" w:type="dxa"/>
            <w:vAlign w:val="center"/>
          </w:tcPr>
          <w:p>
            <w:pPr>
              <w:pStyle w:val="23"/>
            </w:pPr>
            <w:r>
              <w:t>通过问卷调查,满意和较满意的受益对象占全部调研对象的比率.</w:t>
            </w:r>
          </w:p>
        </w:tc>
        <w:tc>
          <w:tcPr>
            <w:tcW w:w="1276" w:type="dxa"/>
            <w:vAlign w:val="center"/>
          </w:tcPr>
          <w:p>
            <w:pPr>
              <w:pStyle w:val="23"/>
            </w:pPr>
            <w:r>
              <w:t>≥90百分比</w:t>
            </w:r>
          </w:p>
        </w:tc>
        <w:tc>
          <w:tcPr>
            <w:tcW w:w="1843"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4" w:name="_Toc_4_4_0000000007"/>
      <w:r>
        <w:rPr>
          <w:rFonts w:ascii="方正仿宋_GBK" w:hAnsi="方正仿宋_GBK" w:eastAsia="方正仿宋_GBK" w:cs="方正仿宋_GBK"/>
          <w:color w:val="000000"/>
          <w:sz w:val="28"/>
        </w:rPr>
        <w:t>4.村级组织运转经费 村级其他必要支出绩效目标表</w:t>
      </w:r>
      <w:bookmarkEnd w:id="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1.以党组织为核心村级组织建设中，村党组织活动经费是服务群众专项经费、正常离任村干部生活补贴，村民小组长务工补贴等， 保障村级组织正常运行的费用。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农村党组织换届工作完成率</w:t>
            </w:r>
          </w:p>
        </w:tc>
        <w:tc>
          <w:tcPr>
            <w:tcW w:w="2891" w:type="dxa"/>
            <w:vAlign w:val="center"/>
          </w:tcPr>
          <w:p>
            <w:pPr>
              <w:pStyle w:val="23"/>
            </w:pPr>
            <w:r>
              <w:t>完成换届的农村党组织数量占应换届农村党组织数量的比例</w:t>
            </w:r>
          </w:p>
        </w:tc>
        <w:tc>
          <w:tcPr>
            <w:tcW w:w="1276" w:type="dxa"/>
            <w:vAlign w:val="center"/>
          </w:tcPr>
          <w:p>
            <w:pPr>
              <w:pStyle w:val="23"/>
            </w:pPr>
            <w:r>
              <w:t>≥95百分比</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补助金发放率(%)</w:t>
            </w:r>
          </w:p>
        </w:tc>
        <w:tc>
          <w:tcPr>
            <w:tcW w:w="2891" w:type="dxa"/>
            <w:vAlign w:val="center"/>
          </w:tcPr>
          <w:p>
            <w:pPr>
              <w:pStyle w:val="23"/>
            </w:pPr>
            <w:r>
              <w:t>实际发放的补助金金额占计划发放金额的比率</w:t>
            </w:r>
          </w:p>
        </w:tc>
        <w:tc>
          <w:tcPr>
            <w:tcW w:w="1276" w:type="dxa"/>
            <w:vAlign w:val="center"/>
          </w:tcPr>
          <w:p>
            <w:pPr>
              <w:pStyle w:val="23"/>
            </w:pPr>
            <w:r>
              <w:t>≥95百分比</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补助资金发放完成率（%）</w:t>
            </w:r>
          </w:p>
        </w:tc>
        <w:tc>
          <w:tcPr>
            <w:tcW w:w="2891" w:type="dxa"/>
            <w:vAlign w:val="center"/>
          </w:tcPr>
          <w:p>
            <w:pPr>
              <w:pStyle w:val="23"/>
            </w:pPr>
            <w:r>
              <w:t>补助资金发放完成率（%）</w:t>
            </w:r>
          </w:p>
        </w:tc>
        <w:tc>
          <w:tcPr>
            <w:tcW w:w="1276" w:type="dxa"/>
            <w:vAlign w:val="center"/>
          </w:tcPr>
          <w:p>
            <w:pPr>
              <w:pStyle w:val="23"/>
            </w:pPr>
            <w:r>
              <w:t>≥95百分比</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≤1985.26万元</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资金发放到位率</w:t>
            </w:r>
          </w:p>
        </w:tc>
        <w:tc>
          <w:tcPr>
            <w:tcW w:w="2891" w:type="dxa"/>
            <w:vAlign w:val="center"/>
          </w:tcPr>
          <w:p>
            <w:pPr>
              <w:pStyle w:val="23"/>
            </w:pPr>
            <w:r>
              <w:t>资金发放到位率占全部资金的比率</w:t>
            </w:r>
          </w:p>
        </w:tc>
        <w:tc>
          <w:tcPr>
            <w:tcW w:w="1276" w:type="dxa"/>
            <w:vAlign w:val="center"/>
          </w:tcPr>
          <w:p>
            <w:pPr>
              <w:pStyle w:val="23"/>
            </w:pPr>
            <w:r>
              <w:t>≥95百分比</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受益对象满意度(%)</w:t>
            </w:r>
          </w:p>
        </w:tc>
        <w:tc>
          <w:tcPr>
            <w:tcW w:w="2891" w:type="dxa"/>
            <w:vAlign w:val="center"/>
          </w:tcPr>
          <w:p>
            <w:pPr>
              <w:pStyle w:val="23"/>
            </w:pPr>
            <w:r>
              <w:t>通过问卷调查，满意和较满意的受益对象占全部调研对象的比例</w:t>
            </w:r>
          </w:p>
        </w:tc>
        <w:tc>
          <w:tcPr>
            <w:tcW w:w="1276" w:type="dxa"/>
            <w:vAlign w:val="center"/>
          </w:tcPr>
          <w:p>
            <w:pPr>
              <w:pStyle w:val="23"/>
            </w:pPr>
            <w:r>
              <w:t>≥95百分比</w:t>
            </w:r>
          </w:p>
        </w:tc>
        <w:tc>
          <w:tcPr>
            <w:tcW w:w="1843" w:type="dxa"/>
            <w:vAlign w:val="center"/>
          </w:tcPr>
          <w:p>
            <w:pPr>
              <w:pStyle w:val="23"/>
            </w:pPr>
            <w:r>
              <w:t>省委组织部、省财政厅冀组字[2020]18号文件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5" w:name="_Toc_4_4_0000000008"/>
      <w:r>
        <w:rPr>
          <w:rFonts w:ascii="方正仿宋_GBK" w:hAnsi="方正仿宋_GBK" w:eastAsia="方正仿宋_GBK" w:cs="方正仿宋_GBK"/>
          <w:color w:val="000000"/>
          <w:sz w:val="28"/>
        </w:rPr>
        <w:t>5.村级组织运转经费 村级重点项目保障支出绩效目标表</w:t>
      </w:r>
      <w:bookmarkEnd w:id="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1.以村党组织为核心的村级组织建设中，保障村干部基本报酬和村级组织办公经费按时足额发放。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发放资金人数</w:t>
            </w:r>
          </w:p>
        </w:tc>
        <w:tc>
          <w:tcPr>
            <w:tcW w:w="2891" w:type="dxa"/>
            <w:vAlign w:val="center"/>
          </w:tcPr>
          <w:p>
            <w:pPr>
              <w:pStyle w:val="23"/>
            </w:pPr>
            <w:r>
              <w:t>发放资金人数</w:t>
            </w:r>
          </w:p>
        </w:tc>
        <w:tc>
          <w:tcPr>
            <w:tcW w:w="1276" w:type="dxa"/>
            <w:vAlign w:val="center"/>
          </w:tcPr>
          <w:p>
            <w:pPr>
              <w:pStyle w:val="23"/>
            </w:pPr>
            <w:r>
              <w:t>≥1500人数</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农村党组织换届工作完成率</w:t>
            </w:r>
          </w:p>
        </w:tc>
        <w:tc>
          <w:tcPr>
            <w:tcW w:w="2891" w:type="dxa"/>
            <w:vAlign w:val="center"/>
          </w:tcPr>
          <w:p>
            <w:pPr>
              <w:pStyle w:val="23"/>
            </w:pPr>
            <w:r>
              <w:t>农村党组织换届工作完成率</w:t>
            </w:r>
          </w:p>
        </w:tc>
        <w:tc>
          <w:tcPr>
            <w:tcW w:w="1276" w:type="dxa"/>
            <w:vAlign w:val="center"/>
          </w:tcPr>
          <w:p>
            <w:pPr>
              <w:pStyle w:val="23"/>
            </w:pPr>
            <w:r>
              <w:t>≥95完成率</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支付时效</w:t>
            </w:r>
          </w:p>
        </w:tc>
        <w:tc>
          <w:tcPr>
            <w:tcW w:w="2891" w:type="dxa"/>
            <w:vAlign w:val="center"/>
          </w:tcPr>
          <w:p>
            <w:pPr>
              <w:pStyle w:val="23"/>
            </w:pPr>
            <w:r>
              <w:t>资金按时支出</w:t>
            </w:r>
          </w:p>
        </w:tc>
        <w:tc>
          <w:tcPr>
            <w:tcW w:w="1276" w:type="dxa"/>
            <w:vAlign w:val="center"/>
          </w:tcPr>
          <w:p>
            <w:pPr>
              <w:pStyle w:val="23"/>
            </w:pPr>
            <w:r>
              <w:t>是否及时</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≤3408万元</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提高村干业务素质和强化村干技能培训率</w:t>
            </w:r>
          </w:p>
        </w:tc>
        <w:tc>
          <w:tcPr>
            <w:tcW w:w="2891" w:type="dxa"/>
            <w:vAlign w:val="center"/>
          </w:tcPr>
          <w:p>
            <w:pPr>
              <w:pStyle w:val="23"/>
            </w:pPr>
            <w:r>
              <w:t>提高村干业务素质和强化村干技能培训率</w:t>
            </w:r>
          </w:p>
        </w:tc>
        <w:tc>
          <w:tcPr>
            <w:tcW w:w="1276" w:type="dxa"/>
            <w:vAlign w:val="center"/>
          </w:tcPr>
          <w:p>
            <w:pPr>
              <w:pStyle w:val="23"/>
            </w:pPr>
            <w:r>
              <w:t>≥95社会效益</w:t>
            </w:r>
          </w:p>
        </w:tc>
        <w:tc>
          <w:tcPr>
            <w:tcW w:w="1843" w:type="dxa"/>
            <w:vAlign w:val="center"/>
          </w:tcPr>
          <w:p>
            <w:pPr>
              <w:pStyle w:val="23"/>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≥95发放群体满意度</w:t>
            </w:r>
          </w:p>
        </w:tc>
        <w:tc>
          <w:tcPr>
            <w:tcW w:w="1843" w:type="dxa"/>
            <w:vAlign w:val="center"/>
          </w:tcPr>
          <w:p>
            <w:pPr>
              <w:pStyle w:val="23"/>
            </w:pPr>
            <w:r>
              <w:t>省委组织部、省财政厅冀组字〔2020〕18号文件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6" w:name="_Toc_4_4_0000000009"/>
      <w:r>
        <w:rPr>
          <w:rFonts w:ascii="方正仿宋_GBK" w:hAnsi="方正仿宋_GBK" w:eastAsia="方正仿宋_GBK" w:cs="方正仿宋_GBK"/>
          <w:color w:val="000000"/>
          <w:sz w:val="28"/>
        </w:rPr>
        <w:t>6.党内关爱资金绩效目标表</w:t>
      </w:r>
      <w:bookmarkEnd w:id="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1.为建立健全党内激励、关怀和帮扶机制，增强党组织凝聚力和党员荣誉感、归属感，把党内关爱资金纳入财政预算，帮扶生活困难党员，关爱为党和人民事业作出牺牲奉献的优秀党员。</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帮扶补助覆盖率(%)</w:t>
            </w:r>
          </w:p>
        </w:tc>
        <w:tc>
          <w:tcPr>
            <w:tcW w:w="2891" w:type="dxa"/>
            <w:vAlign w:val="center"/>
          </w:tcPr>
          <w:p>
            <w:pPr>
              <w:pStyle w:val="23"/>
            </w:pPr>
            <w:r>
              <w:t>已补助人数占应补助人群的比率</w:t>
            </w:r>
          </w:p>
        </w:tc>
        <w:tc>
          <w:tcPr>
            <w:tcW w:w="1276" w:type="dxa"/>
            <w:vAlign w:val="center"/>
          </w:tcPr>
          <w:p>
            <w:pPr>
              <w:pStyle w:val="23"/>
            </w:pPr>
            <w:r>
              <w:t>≥90百分比</w:t>
            </w:r>
          </w:p>
        </w:tc>
        <w:tc>
          <w:tcPr>
            <w:tcW w:w="1843" w:type="dxa"/>
            <w:vAlign w:val="center"/>
          </w:tcPr>
          <w:p>
            <w:pPr>
              <w:pStyle w:val="23"/>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帮扶补助金发放率(%)</w:t>
            </w:r>
          </w:p>
        </w:tc>
        <w:tc>
          <w:tcPr>
            <w:tcW w:w="2891" w:type="dxa"/>
            <w:vAlign w:val="center"/>
          </w:tcPr>
          <w:p>
            <w:pPr>
              <w:pStyle w:val="23"/>
            </w:pPr>
            <w:r>
              <w:t>实际发放的补助金金额占计划发放金额的比率</w:t>
            </w:r>
          </w:p>
        </w:tc>
        <w:tc>
          <w:tcPr>
            <w:tcW w:w="1276" w:type="dxa"/>
            <w:vAlign w:val="center"/>
          </w:tcPr>
          <w:p>
            <w:pPr>
              <w:pStyle w:val="23"/>
            </w:pPr>
            <w:r>
              <w:t>≥90百分比</w:t>
            </w:r>
          </w:p>
        </w:tc>
        <w:tc>
          <w:tcPr>
            <w:tcW w:w="1843" w:type="dxa"/>
            <w:vAlign w:val="center"/>
          </w:tcPr>
          <w:p>
            <w:pPr>
              <w:pStyle w:val="23"/>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补助发放</w:t>
            </w:r>
          </w:p>
        </w:tc>
        <w:tc>
          <w:tcPr>
            <w:tcW w:w="2891" w:type="dxa"/>
            <w:vAlign w:val="center"/>
          </w:tcPr>
          <w:p>
            <w:pPr>
              <w:pStyle w:val="23"/>
            </w:pPr>
            <w:r>
              <w:t>补助发放及时性</w:t>
            </w:r>
          </w:p>
        </w:tc>
        <w:tc>
          <w:tcPr>
            <w:tcW w:w="1276" w:type="dxa"/>
            <w:vAlign w:val="center"/>
          </w:tcPr>
          <w:p>
            <w:pPr>
              <w:pStyle w:val="23"/>
            </w:pPr>
            <w:r>
              <w:t>是否及时</w:t>
            </w:r>
          </w:p>
        </w:tc>
        <w:tc>
          <w:tcPr>
            <w:tcW w:w="1843" w:type="dxa"/>
            <w:vAlign w:val="center"/>
          </w:tcPr>
          <w:p>
            <w:pPr>
              <w:pStyle w:val="23"/>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≤10万元</w:t>
            </w:r>
          </w:p>
        </w:tc>
        <w:tc>
          <w:tcPr>
            <w:tcW w:w="1843" w:type="dxa"/>
            <w:vAlign w:val="center"/>
          </w:tcPr>
          <w:p>
            <w:pPr>
              <w:pStyle w:val="23"/>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关爱生活困难老党员的比率(%)</w:t>
            </w:r>
          </w:p>
        </w:tc>
        <w:tc>
          <w:tcPr>
            <w:tcW w:w="2891" w:type="dxa"/>
            <w:vAlign w:val="center"/>
          </w:tcPr>
          <w:p>
            <w:pPr>
              <w:pStyle w:val="23"/>
            </w:pPr>
            <w:r>
              <w:t>关爱生活困难老党员的比率占全部老党员的比率</w:t>
            </w:r>
          </w:p>
        </w:tc>
        <w:tc>
          <w:tcPr>
            <w:tcW w:w="1276" w:type="dxa"/>
            <w:vAlign w:val="center"/>
          </w:tcPr>
          <w:p>
            <w:pPr>
              <w:pStyle w:val="23"/>
            </w:pPr>
            <w:r>
              <w:t>≥90百分比</w:t>
            </w:r>
          </w:p>
        </w:tc>
        <w:tc>
          <w:tcPr>
            <w:tcW w:w="1843" w:type="dxa"/>
            <w:vAlign w:val="center"/>
          </w:tcPr>
          <w:p>
            <w:pPr>
              <w:pStyle w:val="23"/>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受益对象的满意度</w:t>
            </w:r>
          </w:p>
        </w:tc>
        <w:tc>
          <w:tcPr>
            <w:tcW w:w="2891" w:type="dxa"/>
            <w:vAlign w:val="center"/>
          </w:tcPr>
          <w:p>
            <w:pPr>
              <w:pStyle w:val="23"/>
            </w:pPr>
            <w:r>
              <w:t>通过问卷调查，满意和较满意的受益对象占全部调研对象的比例</w:t>
            </w:r>
          </w:p>
        </w:tc>
        <w:tc>
          <w:tcPr>
            <w:tcW w:w="1276" w:type="dxa"/>
            <w:vAlign w:val="center"/>
          </w:tcPr>
          <w:p>
            <w:pPr>
              <w:pStyle w:val="23"/>
            </w:pPr>
            <w:r>
              <w:t>≥90百分比</w:t>
            </w:r>
          </w:p>
        </w:tc>
        <w:tc>
          <w:tcPr>
            <w:tcW w:w="1843" w:type="dxa"/>
            <w:vAlign w:val="center"/>
          </w:tcPr>
          <w:p>
            <w:pPr>
              <w:pStyle w:val="23"/>
            </w:pPr>
            <w:r>
              <w:t>县委涞字〔2017〕50号文件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7" w:name="_Toc_4_4_0000000010"/>
      <w:r>
        <w:rPr>
          <w:rFonts w:ascii="方正仿宋_GBK" w:hAnsi="方正仿宋_GBK" w:eastAsia="方正仿宋_GBK" w:cs="方正仿宋_GBK"/>
          <w:color w:val="000000"/>
          <w:sz w:val="28"/>
        </w:rPr>
        <w:t>7.电教经费绩效目标表</w:t>
      </w:r>
      <w:bookmarkEnd w:id="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5"/>
        <w:gridCol w:w="6775"/>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640"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42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5" w:type="dxa"/>
            <w:vAlign w:val="center"/>
          </w:tcPr>
          <w:p>
            <w:pPr>
              <w:pStyle w:val="21"/>
            </w:pPr>
            <w:r>
              <w:t>绩效目标</w:t>
            </w:r>
          </w:p>
        </w:tc>
        <w:tc>
          <w:tcPr>
            <w:tcW w:w="9200" w:type="dxa"/>
            <w:gridSpan w:val="2"/>
            <w:vAlign w:val="center"/>
          </w:tcPr>
          <w:p>
            <w:pPr>
              <w:pStyle w:val="23"/>
              <w:rPr>
                <w:lang w:val="uk-UA" w:eastAsia="zh-CN"/>
              </w:rPr>
            </w:pPr>
            <w:r>
              <w:t>进一步开阔视野，创新思路，推进远程教学工作深入开展。</w:t>
            </w:r>
          </w:p>
        </w:tc>
      </w:tr>
    </w:tbl>
    <w:p>
      <w:pPr>
        <w:spacing w:line="2" w:lineRule="exact"/>
        <w:jc w:val="center"/>
      </w:pPr>
    </w:p>
    <w:tbl>
      <w:tblPr>
        <w:tblStyle w:val="13"/>
        <w:tblW w:w="11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701"/>
        <w:gridCol w:w="3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804" w:type="dxa"/>
            <w:vAlign w:val="center"/>
          </w:tcPr>
          <w:p>
            <w:pPr>
              <w:pStyle w:val="21"/>
            </w:pPr>
            <w:r>
              <w:t>绩效指标描述</w:t>
            </w:r>
          </w:p>
        </w:tc>
        <w:tc>
          <w:tcPr>
            <w:tcW w:w="1701" w:type="dxa"/>
            <w:vAlign w:val="center"/>
          </w:tcPr>
          <w:p>
            <w:pPr>
              <w:pStyle w:val="21"/>
            </w:pPr>
            <w:r>
              <w:t>指标值</w:t>
            </w:r>
          </w:p>
        </w:tc>
        <w:tc>
          <w:tcPr>
            <w:tcW w:w="368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平均日维护数(次／日)</w:t>
            </w:r>
          </w:p>
        </w:tc>
        <w:tc>
          <w:tcPr>
            <w:tcW w:w="1804" w:type="dxa"/>
            <w:vAlign w:val="center"/>
          </w:tcPr>
          <w:p>
            <w:pPr>
              <w:pStyle w:val="23"/>
            </w:pPr>
            <w:r>
              <w:t>系统维护次数</w:t>
            </w:r>
          </w:p>
        </w:tc>
        <w:tc>
          <w:tcPr>
            <w:tcW w:w="1701" w:type="dxa"/>
            <w:vAlign w:val="center"/>
          </w:tcPr>
          <w:p>
            <w:pPr>
              <w:pStyle w:val="23"/>
            </w:pPr>
            <w:r>
              <w:t>半年一次，共计两次</w:t>
            </w:r>
          </w:p>
        </w:tc>
        <w:tc>
          <w:tcPr>
            <w:tcW w:w="3689" w:type="dxa"/>
            <w:vAlign w:val="center"/>
          </w:tcPr>
          <w:p>
            <w:pPr>
              <w:pStyle w:val="23"/>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电教片拍摄合格率</w:t>
            </w:r>
          </w:p>
        </w:tc>
        <w:tc>
          <w:tcPr>
            <w:tcW w:w="1804" w:type="dxa"/>
            <w:vAlign w:val="center"/>
          </w:tcPr>
          <w:p>
            <w:pPr>
              <w:pStyle w:val="23"/>
            </w:pPr>
            <w:r>
              <w:t>电教片拍摄成品合格率占全部电教片的比率</w:t>
            </w:r>
          </w:p>
        </w:tc>
        <w:tc>
          <w:tcPr>
            <w:tcW w:w="1701" w:type="dxa"/>
            <w:vAlign w:val="center"/>
          </w:tcPr>
          <w:p>
            <w:pPr>
              <w:pStyle w:val="23"/>
            </w:pPr>
            <w:r>
              <w:t>≥90百分比</w:t>
            </w:r>
          </w:p>
        </w:tc>
        <w:tc>
          <w:tcPr>
            <w:tcW w:w="3689" w:type="dxa"/>
            <w:vAlign w:val="center"/>
          </w:tcPr>
          <w:p>
            <w:pPr>
              <w:pStyle w:val="23"/>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工作完成的时效</w:t>
            </w:r>
          </w:p>
          <w:p>
            <w:pPr>
              <w:pStyle w:val="23"/>
            </w:pPr>
          </w:p>
          <w:p>
            <w:pPr>
              <w:pStyle w:val="23"/>
            </w:pPr>
          </w:p>
        </w:tc>
        <w:tc>
          <w:tcPr>
            <w:tcW w:w="1804" w:type="dxa"/>
            <w:vAlign w:val="center"/>
          </w:tcPr>
          <w:p>
            <w:pPr>
              <w:pStyle w:val="23"/>
            </w:pPr>
            <w:r>
              <w:t>工作完成的时效</w:t>
            </w:r>
          </w:p>
          <w:p>
            <w:pPr>
              <w:pStyle w:val="23"/>
            </w:pPr>
          </w:p>
          <w:p>
            <w:pPr>
              <w:pStyle w:val="23"/>
            </w:pPr>
          </w:p>
        </w:tc>
        <w:tc>
          <w:tcPr>
            <w:tcW w:w="1701" w:type="dxa"/>
            <w:vAlign w:val="center"/>
          </w:tcPr>
          <w:p>
            <w:pPr>
              <w:pStyle w:val="23"/>
            </w:pPr>
            <w:r>
              <w:t>是否及时</w:t>
            </w:r>
          </w:p>
        </w:tc>
        <w:tc>
          <w:tcPr>
            <w:tcW w:w="3689" w:type="dxa"/>
            <w:vAlign w:val="center"/>
          </w:tcPr>
          <w:p>
            <w:pPr>
              <w:pStyle w:val="23"/>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1804" w:type="dxa"/>
            <w:vAlign w:val="center"/>
          </w:tcPr>
          <w:p>
            <w:pPr>
              <w:pStyle w:val="23"/>
            </w:pPr>
            <w:r>
              <w:t>预算控制数</w:t>
            </w:r>
          </w:p>
        </w:tc>
        <w:tc>
          <w:tcPr>
            <w:tcW w:w="1701" w:type="dxa"/>
            <w:vAlign w:val="center"/>
          </w:tcPr>
          <w:p>
            <w:pPr>
              <w:pStyle w:val="23"/>
            </w:pPr>
            <w:r>
              <w:t>≤5万元</w:t>
            </w:r>
          </w:p>
        </w:tc>
        <w:tc>
          <w:tcPr>
            <w:tcW w:w="3689" w:type="dxa"/>
            <w:vAlign w:val="center"/>
          </w:tcPr>
          <w:p>
            <w:pPr>
              <w:pStyle w:val="23"/>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拍摄完成率</w:t>
            </w:r>
          </w:p>
        </w:tc>
        <w:tc>
          <w:tcPr>
            <w:tcW w:w="1804" w:type="dxa"/>
            <w:vAlign w:val="center"/>
          </w:tcPr>
          <w:p>
            <w:pPr>
              <w:pStyle w:val="23"/>
            </w:pPr>
            <w:r>
              <w:t>反映电教片拍摄的完成程度</w:t>
            </w:r>
          </w:p>
        </w:tc>
        <w:tc>
          <w:tcPr>
            <w:tcW w:w="1701" w:type="dxa"/>
            <w:vAlign w:val="center"/>
          </w:tcPr>
          <w:p>
            <w:pPr>
              <w:pStyle w:val="23"/>
            </w:pPr>
            <w:r>
              <w:t>≥90百分比</w:t>
            </w:r>
          </w:p>
        </w:tc>
        <w:tc>
          <w:tcPr>
            <w:tcW w:w="3689" w:type="dxa"/>
            <w:vAlign w:val="center"/>
          </w:tcPr>
          <w:p>
            <w:pPr>
              <w:pStyle w:val="23"/>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受益对象的满意度</w:t>
            </w:r>
          </w:p>
        </w:tc>
        <w:tc>
          <w:tcPr>
            <w:tcW w:w="1804" w:type="dxa"/>
            <w:vAlign w:val="center"/>
          </w:tcPr>
          <w:p>
            <w:pPr>
              <w:pStyle w:val="23"/>
            </w:pPr>
            <w:r>
              <w:t>通过调查问卷,满意和较满意的受益对象占全部调查对象的比率.</w:t>
            </w:r>
          </w:p>
        </w:tc>
        <w:tc>
          <w:tcPr>
            <w:tcW w:w="1701" w:type="dxa"/>
            <w:vAlign w:val="center"/>
          </w:tcPr>
          <w:p>
            <w:pPr>
              <w:pStyle w:val="23"/>
            </w:pPr>
            <w:r>
              <w:t>≥90百分比</w:t>
            </w:r>
          </w:p>
        </w:tc>
        <w:tc>
          <w:tcPr>
            <w:tcW w:w="3689" w:type="dxa"/>
            <w:vAlign w:val="center"/>
          </w:tcPr>
          <w:p>
            <w:pPr>
              <w:pStyle w:val="23"/>
            </w:pPr>
            <w:r>
              <w:t>2020年中共河北省委组织部关于印发《关于省级和扩展省远程教育系统的通知》、保组字〔2020〕15号文件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8" w:name="_Toc_4_4_0000000011"/>
      <w:r>
        <w:rPr>
          <w:rFonts w:ascii="方正仿宋_GBK" w:hAnsi="方正仿宋_GBK" w:eastAsia="方正仿宋_GBK" w:cs="方正仿宋_GBK"/>
          <w:color w:val="000000"/>
          <w:sz w:val="28"/>
        </w:rPr>
        <w:t>8.法律顾问费绩效目标表</w:t>
      </w:r>
      <w:bookmarkEnd w:id="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rPr>
                <w:lang w:eastAsia="zh-CN"/>
              </w:rPr>
            </w:pPr>
            <w:r>
              <w:t>1.维护我单位合法权益</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聘请专业律师数量</w:t>
            </w:r>
          </w:p>
        </w:tc>
        <w:tc>
          <w:tcPr>
            <w:tcW w:w="2891" w:type="dxa"/>
            <w:vAlign w:val="center"/>
          </w:tcPr>
          <w:p>
            <w:pPr>
              <w:pStyle w:val="23"/>
            </w:pPr>
            <w:r>
              <w:t>聘请律师数量</w:t>
            </w:r>
          </w:p>
        </w:tc>
        <w:tc>
          <w:tcPr>
            <w:tcW w:w="1276" w:type="dxa"/>
            <w:vAlign w:val="center"/>
          </w:tcPr>
          <w:p>
            <w:pPr>
              <w:pStyle w:val="23"/>
            </w:pPr>
            <w:r>
              <w:t>1人数</w:t>
            </w:r>
          </w:p>
        </w:tc>
        <w:tc>
          <w:tcPr>
            <w:tcW w:w="1843" w:type="dxa"/>
            <w:vAlign w:val="center"/>
          </w:tcPr>
          <w:p>
            <w:pPr>
              <w:pStyle w:val="23"/>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立案办结率</w:t>
            </w:r>
          </w:p>
        </w:tc>
        <w:tc>
          <w:tcPr>
            <w:tcW w:w="2891" w:type="dxa"/>
            <w:vAlign w:val="center"/>
          </w:tcPr>
          <w:p>
            <w:pPr>
              <w:pStyle w:val="23"/>
            </w:pPr>
            <w:r>
              <w:t>案件、纠纷立案办结数量占全部案件的比率</w:t>
            </w:r>
          </w:p>
        </w:tc>
        <w:tc>
          <w:tcPr>
            <w:tcW w:w="1276" w:type="dxa"/>
            <w:vAlign w:val="center"/>
          </w:tcPr>
          <w:p>
            <w:pPr>
              <w:pStyle w:val="23"/>
            </w:pPr>
            <w:r>
              <w:t>≥90百分比</w:t>
            </w:r>
          </w:p>
        </w:tc>
        <w:tc>
          <w:tcPr>
            <w:tcW w:w="1843" w:type="dxa"/>
            <w:vAlign w:val="center"/>
          </w:tcPr>
          <w:p>
            <w:pPr>
              <w:pStyle w:val="23"/>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案件、纠纷发现后处理是否及时</w:t>
            </w:r>
          </w:p>
        </w:tc>
        <w:tc>
          <w:tcPr>
            <w:tcW w:w="2891" w:type="dxa"/>
            <w:vAlign w:val="center"/>
          </w:tcPr>
          <w:p>
            <w:pPr>
              <w:pStyle w:val="23"/>
            </w:pPr>
            <w:r>
              <w:t>案件、纠纷发现后处理是否及时</w:t>
            </w:r>
          </w:p>
        </w:tc>
        <w:tc>
          <w:tcPr>
            <w:tcW w:w="1276" w:type="dxa"/>
            <w:vAlign w:val="center"/>
          </w:tcPr>
          <w:p>
            <w:pPr>
              <w:pStyle w:val="23"/>
            </w:pPr>
            <w:r>
              <w:t>是否及时</w:t>
            </w:r>
          </w:p>
        </w:tc>
        <w:tc>
          <w:tcPr>
            <w:tcW w:w="1843" w:type="dxa"/>
            <w:vAlign w:val="center"/>
          </w:tcPr>
          <w:p>
            <w:pPr>
              <w:pStyle w:val="23"/>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≤2万元</w:t>
            </w:r>
          </w:p>
        </w:tc>
        <w:tc>
          <w:tcPr>
            <w:tcW w:w="1843" w:type="dxa"/>
            <w:vAlign w:val="center"/>
          </w:tcPr>
          <w:p>
            <w:pPr>
              <w:pStyle w:val="23"/>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受益对象满意</w:t>
            </w:r>
          </w:p>
        </w:tc>
        <w:tc>
          <w:tcPr>
            <w:tcW w:w="2891" w:type="dxa"/>
            <w:vAlign w:val="center"/>
          </w:tcPr>
          <w:p>
            <w:pPr>
              <w:pStyle w:val="23"/>
            </w:pPr>
            <w:r>
              <w:t>通过问卷调查确定满意度</w:t>
            </w:r>
          </w:p>
        </w:tc>
        <w:tc>
          <w:tcPr>
            <w:tcW w:w="1276" w:type="dxa"/>
            <w:vAlign w:val="center"/>
          </w:tcPr>
          <w:p>
            <w:pPr>
              <w:pStyle w:val="23"/>
            </w:pPr>
            <w:r>
              <w:t>≥90百分比</w:t>
            </w:r>
          </w:p>
        </w:tc>
        <w:tc>
          <w:tcPr>
            <w:tcW w:w="1843" w:type="dxa"/>
            <w:vAlign w:val="center"/>
          </w:tcPr>
          <w:p>
            <w:pPr>
              <w:pStyle w:val="23"/>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满意和较满意的受益对象占调研对象比例</w:t>
            </w:r>
          </w:p>
        </w:tc>
        <w:tc>
          <w:tcPr>
            <w:tcW w:w="1276" w:type="dxa"/>
            <w:vAlign w:val="center"/>
          </w:tcPr>
          <w:p>
            <w:pPr>
              <w:pStyle w:val="23"/>
            </w:pPr>
            <w:r>
              <w:t>≥90百分比</w:t>
            </w:r>
          </w:p>
        </w:tc>
        <w:tc>
          <w:tcPr>
            <w:tcW w:w="1843" w:type="dxa"/>
            <w:vAlign w:val="center"/>
          </w:tcPr>
          <w:p>
            <w:pPr>
              <w:pStyle w:val="23"/>
            </w:pPr>
            <w:r>
              <w:t>依据（保办发〔2017〕28号文件）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9" w:name="_Toc_4_4_0000000012"/>
      <w:r>
        <w:rPr>
          <w:rFonts w:ascii="方正仿宋_GBK" w:hAnsi="方正仿宋_GBK" w:eastAsia="方正仿宋_GBK" w:cs="方正仿宋_GBK"/>
          <w:color w:val="000000"/>
          <w:sz w:val="28"/>
        </w:rPr>
        <w:t>9.非公经济和社会组织党建经费绩效目标表</w:t>
      </w:r>
      <w:bookmarkEnd w:id="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05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830" w:type="dxa"/>
            <w:gridSpan w:val="2"/>
            <w:vAlign w:val="center"/>
          </w:tcPr>
          <w:p>
            <w:pPr>
              <w:pStyle w:val="23"/>
              <w:rPr>
                <w:lang w:val="uk-UA" w:eastAsia="zh-CN"/>
              </w:rPr>
            </w:pPr>
            <w:r>
              <w:t>1.为了更好的启动非公有制经济组织和社会组织党建工作，保障非公企业和社会组织党建各项工作基本运转，加强党组织自身建设。</w:t>
            </w:r>
          </w:p>
        </w:tc>
      </w:tr>
    </w:tbl>
    <w:p>
      <w:pPr>
        <w:spacing w:line="2" w:lineRule="exact"/>
        <w:jc w:val="center"/>
      </w:pPr>
    </w:p>
    <w:tbl>
      <w:tblPr>
        <w:tblStyle w:val="13"/>
        <w:tblW w:w="110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97"/>
        <w:gridCol w:w="1909"/>
        <w:gridCol w:w="1331"/>
        <w:gridCol w:w="3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597" w:type="dxa"/>
            <w:vAlign w:val="center"/>
          </w:tcPr>
          <w:p>
            <w:pPr>
              <w:pStyle w:val="21"/>
            </w:pPr>
            <w:r>
              <w:t>三级指标</w:t>
            </w:r>
          </w:p>
        </w:tc>
        <w:tc>
          <w:tcPr>
            <w:tcW w:w="1909" w:type="dxa"/>
            <w:vAlign w:val="center"/>
          </w:tcPr>
          <w:p>
            <w:pPr>
              <w:pStyle w:val="21"/>
            </w:pPr>
            <w:r>
              <w:t>绩效指标描述</w:t>
            </w:r>
          </w:p>
        </w:tc>
        <w:tc>
          <w:tcPr>
            <w:tcW w:w="1331" w:type="dxa"/>
            <w:vAlign w:val="center"/>
          </w:tcPr>
          <w:p>
            <w:pPr>
              <w:pStyle w:val="21"/>
            </w:pPr>
            <w:r>
              <w:t>指标值</w:t>
            </w:r>
          </w:p>
        </w:tc>
        <w:tc>
          <w:tcPr>
            <w:tcW w:w="3706"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597" w:type="dxa"/>
            <w:vAlign w:val="center"/>
          </w:tcPr>
          <w:p>
            <w:pPr>
              <w:pStyle w:val="23"/>
            </w:pPr>
            <w:r>
              <w:t>制作宣传品数量（份）</w:t>
            </w:r>
          </w:p>
        </w:tc>
        <w:tc>
          <w:tcPr>
            <w:tcW w:w="1909" w:type="dxa"/>
            <w:vAlign w:val="center"/>
          </w:tcPr>
          <w:p>
            <w:pPr>
              <w:pStyle w:val="23"/>
            </w:pPr>
            <w:r>
              <w:t>制作宣传品的数量</w:t>
            </w:r>
          </w:p>
        </w:tc>
        <w:tc>
          <w:tcPr>
            <w:tcW w:w="1331" w:type="dxa"/>
            <w:vAlign w:val="center"/>
          </w:tcPr>
          <w:p>
            <w:pPr>
              <w:pStyle w:val="23"/>
            </w:pPr>
            <w:r>
              <w:t>制作宣传品的数量/份</w:t>
            </w:r>
          </w:p>
        </w:tc>
        <w:tc>
          <w:tcPr>
            <w:tcW w:w="3706" w:type="dxa"/>
            <w:vAlign w:val="center"/>
          </w:tcPr>
          <w:p>
            <w:pPr>
              <w:pStyle w:val="23"/>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597" w:type="dxa"/>
            <w:vAlign w:val="center"/>
          </w:tcPr>
          <w:p>
            <w:pPr>
              <w:pStyle w:val="23"/>
            </w:pPr>
            <w:r>
              <w:t>社会组织党建培训天数（天）</w:t>
            </w:r>
          </w:p>
        </w:tc>
        <w:tc>
          <w:tcPr>
            <w:tcW w:w="1909" w:type="dxa"/>
            <w:vAlign w:val="center"/>
          </w:tcPr>
          <w:p>
            <w:pPr>
              <w:pStyle w:val="23"/>
            </w:pPr>
            <w:r>
              <w:t>培训持续的天数</w:t>
            </w:r>
          </w:p>
        </w:tc>
        <w:tc>
          <w:tcPr>
            <w:tcW w:w="1331" w:type="dxa"/>
            <w:vAlign w:val="center"/>
          </w:tcPr>
          <w:p>
            <w:pPr>
              <w:pStyle w:val="23"/>
            </w:pPr>
            <w:r>
              <w:t>培训天数</w:t>
            </w:r>
          </w:p>
        </w:tc>
        <w:tc>
          <w:tcPr>
            <w:tcW w:w="3706" w:type="dxa"/>
            <w:vAlign w:val="center"/>
          </w:tcPr>
          <w:p>
            <w:pPr>
              <w:pStyle w:val="23"/>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597" w:type="dxa"/>
            <w:vAlign w:val="center"/>
          </w:tcPr>
          <w:p>
            <w:pPr>
              <w:pStyle w:val="23"/>
            </w:pPr>
            <w:r>
              <w:t>开展培训、组织党员活动占年度工作计划比例</w:t>
            </w:r>
          </w:p>
        </w:tc>
        <w:tc>
          <w:tcPr>
            <w:tcW w:w="1909" w:type="dxa"/>
            <w:vAlign w:val="center"/>
          </w:tcPr>
          <w:p>
            <w:pPr>
              <w:pStyle w:val="23"/>
            </w:pPr>
            <w:r>
              <w:t>开展培训、组织党员活动占年度工作计划比例</w:t>
            </w:r>
          </w:p>
        </w:tc>
        <w:tc>
          <w:tcPr>
            <w:tcW w:w="1331" w:type="dxa"/>
            <w:vAlign w:val="center"/>
          </w:tcPr>
          <w:p>
            <w:pPr>
              <w:pStyle w:val="23"/>
            </w:pPr>
            <w:r>
              <w:t>≥90百分比</w:t>
            </w:r>
          </w:p>
        </w:tc>
        <w:tc>
          <w:tcPr>
            <w:tcW w:w="3706" w:type="dxa"/>
            <w:vAlign w:val="center"/>
          </w:tcPr>
          <w:p>
            <w:pPr>
              <w:pStyle w:val="23"/>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597" w:type="dxa"/>
            <w:vAlign w:val="center"/>
          </w:tcPr>
          <w:p>
            <w:pPr>
              <w:pStyle w:val="23"/>
            </w:pPr>
            <w:r>
              <w:t>预算控制数</w:t>
            </w:r>
          </w:p>
        </w:tc>
        <w:tc>
          <w:tcPr>
            <w:tcW w:w="1909" w:type="dxa"/>
            <w:vAlign w:val="center"/>
          </w:tcPr>
          <w:p>
            <w:pPr>
              <w:pStyle w:val="23"/>
            </w:pPr>
            <w:r>
              <w:t>预算控制数</w:t>
            </w:r>
          </w:p>
        </w:tc>
        <w:tc>
          <w:tcPr>
            <w:tcW w:w="1331" w:type="dxa"/>
            <w:vAlign w:val="center"/>
          </w:tcPr>
          <w:p>
            <w:pPr>
              <w:pStyle w:val="23"/>
            </w:pPr>
            <w:r>
              <w:t>≤15万元</w:t>
            </w:r>
          </w:p>
        </w:tc>
        <w:tc>
          <w:tcPr>
            <w:tcW w:w="3706" w:type="dxa"/>
            <w:vAlign w:val="center"/>
          </w:tcPr>
          <w:p>
            <w:pPr>
              <w:pStyle w:val="23"/>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597" w:type="dxa"/>
            <w:vAlign w:val="center"/>
          </w:tcPr>
          <w:p>
            <w:pPr>
              <w:pStyle w:val="23"/>
            </w:pPr>
            <w:r>
              <w:t>非公有制经济和社会组织党建达标率</w:t>
            </w:r>
          </w:p>
        </w:tc>
        <w:tc>
          <w:tcPr>
            <w:tcW w:w="1909" w:type="dxa"/>
            <w:vAlign w:val="center"/>
          </w:tcPr>
          <w:p>
            <w:pPr>
              <w:pStyle w:val="23"/>
            </w:pPr>
            <w:r>
              <w:t>为更好的启动非公企业和社会组织党建各项工作基本运转，使非公有制经济和社会组织党建实现全覆盖、全部达标率</w:t>
            </w:r>
          </w:p>
        </w:tc>
        <w:tc>
          <w:tcPr>
            <w:tcW w:w="1331" w:type="dxa"/>
            <w:vAlign w:val="center"/>
          </w:tcPr>
          <w:p>
            <w:pPr>
              <w:pStyle w:val="23"/>
            </w:pPr>
            <w:r>
              <w:t>≥90百分比</w:t>
            </w:r>
          </w:p>
        </w:tc>
        <w:tc>
          <w:tcPr>
            <w:tcW w:w="3706" w:type="dxa"/>
            <w:vAlign w:val="center"/>
          </w:tcPr>
          <w:p>
            <w:pPr>
              <w:pStyle w:val="23"/>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597" w:type="dxa"/>
            <w:vAlign w:val="center"/>
          </w:tcPr>
          <w:p>
            <w:pPr>
              <w:pStyle w:val="23"/>
            </w:pPr>
            <w:r>
              <w:t>受益对象的满意度</w:t>
            </w:r>
          </w:p>
        </w:tc>
        <w:tc>
          <w:tcPr>
            <w:tcW w:w="1909" w:type="dxa"/>
            <w:vAlign w:val="center"/>
          </w:tcPr>
          <w:p>
            <w:pPr>
              <w:pStyle w:val="23"/>
            </w:pPr>
            <w:r>
              <w:t>通过调查问卷,满意和较满意的受益对象占全部调研对象的比率</w:t>
            </w:r>
          </w:p>
        </w:tc>
        <w:tc>
          <w:tcPr>
            <w:tcW w:w="1331" w:type="dxa"/>
            <w:vAlign w:val="center"/>
          </w:tcPr>
          <w:p>
            <w:pPr>
              <w:pStyle w:val="23"/>
            </w:pPr>
            <w:r>
              <w:t>≥90百分比</w:t>
            </w:r>
          </w:p>
        </w:tc>
        <w:tc>
          <w:tcPr>
            <w:tcW w:w="3706" w:type="dxa"/>
            <w:vAlign w:val="center"/>
          </w:tcPr>
          <w:p>
            <w:pPr>
              <w:pStyle w:val="23"/>
            </w:pPr>
            <w:r>
              <w:t>涞非公通字〔2021〕8号《印发&lt;在全县非公企业和社会组织中继续开展党建示范创建工程的实施方案&gt;的通知》</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0" w:name="_Toc_4_4_0000000013"/>
      <w:r>
        <w:rPr>
          <w:rFonts w:ascii="方正仿宋_GBK" w:hAnsi="方正仿宋_GBK" w:eastAsia="方正仿宋_GBK" w:cs="方正仿宋_GBK"/>
          <w:color w:val="000000"/>
          <w:sz w:val="28"/>
        </w:rPr>
        <w:t>10.干部档案管理经费绩效目标表</w:t>
      </w:r>
      <w:bookmarkEnd w:id="1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368"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143" w:type="dxa"/>
            <w:gridSpan w:val="2"/>
            <w:vAlign w:val="center"/>
          </w:tcPr>
          <w:p>
            <w:pPr>
              <w:pStyle w:val="23"/>
            </w:pPr>
            <w:r>
              <w:t>1.做到收集整理经常化，不拖延、不挤压；确保人事档案材料完整，与实际情况同步。</w:t>
            </w:r>
          </w:p>
          <w:p>
            <w:pPr>
              <w:pStyle w:val="23"/>
            </w:pP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276"/>
        <w:gridCol w:w="3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804" w:type="dxa"/>
            <w:vAlign w:val="center"/>
          </w:tcPr>
          <w:p>
            <w:pPr>
              <w:pStyle w:val="21"/>
            </w:pPr>
            <w:r>
              <w:t>绩效指标描述</w:t>
            </w:r>
          </w:p>
        </w:tc>
        <w:tc>
          <w:tcPr>
            <w:tcW w:w="1276" w:type="dxa"/>
            <w:vAlign w:val="center"/>
          </w:tcPr>
          <w:p>
            <w:pPr>
              <w:pStyle w:val="21"/>
            </w:pPr>
            <w:r>
              <w:t>指标值</w:t>
            </w:r>
          </w:p>
        </w:tc>
        <w:tc>
          <w:tcPr>
            <w:tcW w:w="345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成本指标</w:t>
            </w:r>
          </w:p>
        </w:tc>
        <w:tc>
          <w:tcPr>
            <w:tcW w:w="1332" w:type="dxa"/>
            <w:vAlign w:val="center"/>
          </w:tcPr>
          <w:p>
            <w:pPr>
              <w:pStyle w:val="23"/>
            </w:pPr>
            <w:r>
              <w:t>预算控制数</w:t>
            </w:r>
          </w:p>
        </w:tc>
        <w:tc>
          <w:tcPr>
            <w:tcW w:w="1804" w:type="dxa"/>
            <w:vAlign w:val="center"/>
          </w:tcPr>
          <w:p>
            <w:pPr>
              <w:pStyle w:val="23"/>
            </w:pPr>
            <w:r>
              <w:t>预算控制数</w:t>
            </w:r>
          </w:p>
        </w:tc>
        <w:tc>
          <w:tcPr>
            <w:tcW w:w="1276" w:type="dxa"/>
            <w:vAlign w:val="center"/>
          </w:tcPr>
          <w:p>
            <w:pPr>
              <w:pStyle w:val="23"/>
            </w:pPr>
            <w:r>
              <w:t>≤1万元</w:t>
            </w:r>
          </w:p>
        </w:tc>
        <w:tc>
          <w:tcPr>
            <w:tcW w:w="3455" w:type="dxa"/>
            <w:vAlign w:val="center"/>
          </w:tcPr>
          <w:p>
            <w:pPr>
              <w:pStyle w:val="23"/>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档案整理、移交、接收、管理、保存工作完成率（%）</w:t>
            </w:r>
          </w:p>
        </w:tc>
        <w:tc>
          <w:tcPr>
            <w:tcW w:w="1804" w:type="dxa"/>
            <w:vAlign w:val="center"/>
          </w:tcPr>
          <w:p>
            <w:pPr>
              <w:pStyle w:val="23"/>
            </w:pPr>
            <w:r>
              <w:t>年度内已完成的档案整理、移交、接收、管理、保存工作量占计划量的比率</w:t>
            </w:r>
          </w:p>
        </w:tc>
        <w:tc>
          <w:tcPr>
            <w:tcW w:w="1276" w:type="dxa"/>
            <w:vAlign w:val="center"/>
          </w:tcPr>
          <w:p>
            <w:pPr>
              <w:pStyle w:val="23"/>
            </w:pPr>
            <w:r>
              <w:t>≥90百分比</w:t>
            </w:r>
          </w:p>
        </w:tc>
        <w:tc>
          <w:tcPr>
            <w:tcW w:w="3455" w:type="dxa"/>
            <w:vAlign w:val="center"/>
          </w:tcPr>
          <w:p>
            <w:pPr>
              <w:pStyle w:val="23"/>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数量指标</w:t>
            </w:r>
          </w:p>
        </w:tc>
        <w:tc>
          <w:tcPr>
            <w:tcW w:w="1332" w:type="dxa"/>
            <w:vAlign w:val="center"/>
          </w:tcPr>
          <w:p>
            <w:pPr>
              <w:pStyle w:val="23"/>
            </w:pPr>
            <w:r>
              <w:t>人员调配档案审核率</w:t>
            </w:r>
          </w:p>
        </w:tc>
        <w:tc>
          <w:tcPr>
            <w:tcW w:w="1804" w:type="dxa"/>
            <w:vAlign w:val="center"/>
          </w:tcPr>
          <w:p>
            <w:pPr>
              <w:pStyle w:val="23"/>
            </w:pPr>
            <w:r>
              <w:t>人员调配档案审核率</w:t>
            </w:r>
          </w:p>
        </w:tc>
        <w:tc>
          <w:tcPr>
            <w:tcW w:w="1276" w:type="dxa"/>
            <w:vAlign w:val="center"/>
          </w:tcPr>
          <w:p>
            <w:pPr>
              <w:pStyle w:val="23"/>
            </w:pPr>
            <w:r>
              <w:t>≥90百分比</w:t>
            </w:r>
          </w:p>
        </w:tc>
        <w:tc>
          <w:tcPr>
            <w:tcW w:w="3455" w:type="dxa"/>
            <w:vAlign w:val="center"/>
          </w:tcPr>
          <w:p>
            <w:pPr>
              <w:pStyle w:val="23"/>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工作完成的时效</w:t>
            </w:r>
          </w:p>
        </w:tc>
        <w:tc>
          <w:tcPr>
            <w:tcW w:w="1804" w:type="dxa"/>
            <w:vAlign w:val="center"/>
          </w:tcPr>
          <w:p>
            <w:pPr>
              <w:pStyle w:val="23"/>
            </w:pPr>
            <w:r>
              <w:t>工作完成时效</w:t>
            </w:r>
          </w:p>
        </w:tc>
        <w:tc>
          <w:tcPr>
            <w:tcW w:w="1276" w:type="dxa"/>
            <w:vAlign w:val="center"/>
          </w:tcPr>
          <w:p>
            <w:pPr>
              <w:pStyle w:val="23"/>
            </w:pPr>
            <w:r>
              <w:t>是否及时</w:t>
            </w:r>
          </w:p>
        </w:tc>
        <w:tc>
          <w:tcPr>
            <w:tcW w:w="3455" w:type="dxa"/>
            <w:vAlign w:val="center"/>
          </w:tcPr>
          <w:p>
            <w:pPr>
              <w:pStyle w:val="23"/>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档案资料完好率（%）</w:t>
            </w:r>
          </w:p>
        </w:tc>
        <w:tc>
          <w:tcPr>
            <w:tcW w:w="1804" w:type="dxa"/>
            <w:vAlign w:val="center"/>
          </w:tcPr>
          <w:p>
            <w:pPr>
              <w:pStyle w:val="23"/>
            </w:pPr>
            <w:r>
              <w:t>年度内已修复完好的档案资料数量占计划量的比率</w:t>
            </w:r>
          </w:p>
        </w:tc>
        <w:tc>
          <w:tcPr>
            <w:tcW w:w="1276" w:type="dxa"/>
            <w:vAlign w:val="center"/>
          </w:tcPr>
          <w:p>
            <w:pPr>
              <w:pStyle w:val="23"/>
            </w:pPr>
            <w:r>
              <w:t>≥90百分比</w:t>
            </w:r>
          </w:p>
        </w:tc>
        <w:tc>
          <w:tcPr>
            <w:tcW w:w="3455" w:type="dxa"/>
            <w:vAlign w:val="center"/>
          </w:tcPr>
          <w:p>
            <w:pPr>
              <w:pStyle w:val="23"/>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满意和较满意的对象占全部调研对象的比例</w:t>
            </w:r>
          </w:p>
        </w:tc>
        <w:tc>
          <w:tcPr>
            <w:tcW w:w="1804" w:type="dxa"/>
            <w:vAlign w:val="center"/>
          </w:tcPr>
          <w:p>
            <w:pPr>
              <w:pStyle w:val="23"/>
            </w:pPr>
            <w:r>
              <w:t>通过问卷调查，满意和较满意的受益对象占全部调研对象的比例</w:t>
            </w:r>
          </w:p>
        </w:tc>
        <w:tc>
          <w:tcPr>
            <w:tcW w:w="1276" w:type="dxa"/>
            <w:vAlign w:val="center"/>
          </w:tcPr>
          <w:p>
            <w:pPr>
              <w:pStyle w:val="23"/>
            </w:pPr>
            <w:r>
              <w:t>≥90百分比</w:t>
            </w:r>
          </w:p>
        </w:tc>
        <w:tc>
          <w:tcPr>
            <w:tcW w:w="3455" w:type="dxa"/>
            <w:vAlign w:val="center"/>
          </w:tcPr>
          <w:p>
            <w:pPr>
              <w:pStyle w:val="23"/>
            </w:pPr>
            <w:r>
              <w:t>保组发〔2014〕7号、保组字〔2017〕38号、市委组织部《关于做好干部人事档案专项审核遗留问题解决和全覆盖有关工作的通知》</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1" w:name="_Toc_4_4_0000000014"/>
      <w:r>
        <w:rPr>
          <w:rFonts w:ascii="方正仿宋_GBK" w:hAnsi="方正仿宋_GBK" w:eastAsia="方正仿宋_GBK" w:cs="方正仿宋_GBK"/>
          <w:color w:val="000000"/>
          <w:sz w:val="28"/>
        </w:rPr>
        <w:t>11.公务员管理经费绩效目标表</w:t>
      </w:r>
      <w:bookmarkEnd w:id="1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1.负责全县公务员队伍建设、录用计划申报、职责定级、挂职锻炼、辞职、辞退、职位聘任、公开选调、调任等工作。</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公务员管理工作完成率</w:t>
            </w:r>
          </w:p>
        </w:tc>
        <w:tc>
          <w:tcPr>
            <w:tcW w:w="2891" w:type="dxa"/>
            <w:vAlign w:val="center"/>
          </w:tcPr>
          <w:p>
            <w:pPr>
              <w:pStyle w:val="23"/>
            </w:pPr>
            <w:r>
              <w:t>公务员管理工作完成率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公务员整体队伍建设成效</w:t>
            </w:r>
          </w:p>
        </w:tc>
        <w:tc>
          <w:tcPr>
            <w:tcW w:w="2891" w:type="dxa"/>
            <w:vAlign w:val="center"/>
          </w:tcPr>
          <w:p>
            <w:pPr>
              <w:pStyle w:val="23"/>
            </w:pPr>
            <w:r>
              <w:t>优化整体结构、提高工作能力和业务化水平</w:t>
            </w:r>
          </w:p>
        </w:tc>
        <w:tc>
          <w:tcPr>
            <w:tcW w:w="1276" w:type="dxa"/>
            <w:vAlign w:val="center"/>
          </w:tcPr>
          <w:p>
            <w:pPr>
              <w:pStyle w:val="23"/>
            </w:pPr>
            <w:r>
              <w:t>公务员管理整体建设情况</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综合事务管理工作完成率</w:t>
            </w:r>
          </w:p>
        </w:tc>
        <w:tc>
          <w:tcPr>
            <w:tcW w:w="2891" w:type="dxa"/>
            <w:vAlign w:val="center"/>
          </w:tcPr>
          <w:p>
            <w:pPr>
              <w:pStyle w:val="23"/>
            </w:pPr>
            <w:r>
              <w:t>综合事务管理工作完成率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≤0.8万元</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公务员职级晋升工作实际完成量占全年计划量的比例</w:t>
            </w:r>
          </w:p>
        </w:tc>
        <w:tc>
          <w:tcPr>
            <w:tcW w:w="2891" w:type="dxa"/>
            <w:vAlign w:val="center"/>
          </w:tcPr>
          <w:p>
            <w:pPr>
              <w:pStyle w:val="23"/>
            </w:pPr>
            <w:r>
              <w:t>公务员职级晋升工作实际完成量占全年计划量的比例</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通过调查问卷,满意和较满意的人数占全部人数的比率.</w:t>
            </w:r>
          </w:p>
        </w:tc>
        <w:tc>
          <w:tcPr>
            <w:tcW w:w="1276" w:type="dxa"/>
            <w:vAlign w:val="center"/>
          </w:tcPr>
          <w:p>
            <w:pPr>
              <w:pStyle w:val="23"/>
            </w:pPr>
            <w:r>
              <w:t>≥90百分比</w:t>
            </w:r>
          </w:p>
        </w:tc>
        <w:tc>
          <w:tcPr>
            <w:tcW w:w="1843"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2" w:name="_Toc_4_4_0000000015"/>
      <w:r>
        <w:rPr>
          <w:rFonts w:ascii="方正仿宋_GBK" w:hAnsi="方正仿宋_GBK" w:eastAsia="方正仿宋_GBK" w:cs="方正仿宋_GBK"/>
          <w:color w:val="000000"/>
          <w:sz w:val="28"/>
        </w:rPr>
        <w:t>12.基层党建先进村评比表彰经费绩效目标表</w:t>
      </w:r>
      <w:bookmarkEnd w:id="1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1.对基层党建优秀的村进行表彰奖励，激励党建工作更好完成</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发展党建指导员、联络员数量</w:t>
            </w:r>
          </w:p>
        </w:tc>
        <w:tc>
          <w:tcPr>
            <w:tcW w:w="2891" w:type="dxa"/>
            <w:vAlign w:val="center"/>
          </w:tcPr>
          <w:p>
            <w:pPr>
              <w:pStyle w:val="23"/>
            </w:pPr>
            <w:r>
              <w:t>发展党建指导员、联络员数量</w:t>
            </w:r>
          </w:p>
        </w:tc>
        <w:tc>
          <w:tcPr>
            <w:tcW w:w="1276" w:type="dxa"/>
            <w:vAlign w:val="center"/>
          </w:tcPr>
          <w:p>
            <w:pPr>
              <w:pStyle w:val="23"/>
            </w:pPr>
            <w:r>
              <w:t>数量/人</w:t>
            </w:r>
          </w:p>
        </w:tc>
        <w:tc>
          <w:tcPr>
            <w:tcW w:w="1843" w:type="dxa"/>
            <w:vAlign w:val="center"/>
          </w:tcPr>
          <w:p>
            <w:pPr>
              <w:pStyle w:val="23"/>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受表彰党组织及党员数</w:t>
            </w:r>
          </w:p>
        </w:tc>
        <w:tc>
          <w:tcPr>
            <w:tcW w:w="2891" w:type="dxa"/>
            <w:vAlign w:val="center"/>
          </w:tcPr>
          <w:p>
            <w:pPr>
              <w:pStyle w:val="23"/>
            </w:pPr>
            <w:r>
              <w:t>受表彰党组织及党员数</w:t>
            </w:r>
          </w:p>
        </w:tc>
        <w:tc>
          <w:tcPr>
            <w:tcW w:w="1276" w:type="dxa"/>
            <w:vAlign w:val="center"/>
          </w:tcPr>
          <w:p>
            <w:pPr>
              <w:pStyle w:val="23"/>
            </w:pPr>
            <w:r>
              <w:t>数量村/人</w:t>
            </w:r>
          </w:p>
        </w:tc>
        <w:tc>
          <w:tcPr>
            <w:tcW w:w="1843" w:type="dxa"/>
            <w:vAlign w:val="center"/>
          </w:tcPr>
          <w:p>
            <w:pPr>
              <w:pStyle w:val="23"/>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开展培训、组织党员活动占年度工作计划比例</w:t>
            </w:r>
          </w:p>
        </w:tc>
        <w:tc>
          <w:tcPr>
            <w:tcW w:w="2891" w:type="dxa"/>
            <w:vAlign w:val="center"/>
          </w:tcPr>
          <w:p>
            <w:pPr>
              <w:pStyle w:val="23"/>
            </w:pPr>
            <w:r>
              <w:t>开展培训、组织党员活动占年度工作计划比例</w:t>
            </w:r>
          </w:p>
        </w:tc>
        <w:tc>
          <w:tcPr>
            <w:tcW w:w="1276" w:type="dxa"/>
            <w:vAlign w:val="center"/>
          </w:tcPr>
          <w:p>
            <w:pPr>
              <w:pStyle w:val="23"/>
            </w:pPr>
            <w:r>
              <w:t>≥90百分比</w:t>
            </w:r>
          </w:p>
        </w:tc>
        <w:tc>
          <w:tcPr>
            <w:tcW w:w="1843" w:type="dxa"/>
            <w:vAlign w:val="center"/>
          </w:tcPr>
          <w:p>
            <w:pPr>
              <w:pStyle w:val="23"/>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≤90万元</w:t>
            </w:r>
          </w:p>
        </w:tc>
        <w:tc>
          <w:tcPr>
            <w:tcW w:w="1843" w:type="dxa"/>
            <w:vAlign w:val="center"/>
          </w:tcPr>
          <w:p>
            <w:pPr>
              <w:pStyle w:val="23"/>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社会组织党建工作覆盖率</w:t>
            </w:r>
          </w:p>
        </w:tc>
        <w:tc>
          <w:tcPr>
            <w:tcW w:w="2891" w:type="dxa"/>
            <w:vAlign w:val="center"/>
          </w:tcPr>
          <w:p>
            <w:pPr>
              <w:pStyle w:val="23"/>
            </w:pPr>
            <w:r>
              <w:t>社会组织党建工作覆盖率</w:t>
            </w:r>
          </w:p>
        </w:tc>
        <w:tc>
          <w:tcPr>
            <w:tcW w:w="1276" w:type="dxa"/>
            <w:vAlign w:val="center"/>
          </w:tcPr>
          <w:p>
            <w:pPr>
              <w:pStyle w:val="23"/>
            </w:pPr>
            <w:r>
              <w:t>≥90百分比</w:t>
            </w:r>
          </w:p>
        </w:tc>
        <w:tc>
          <w:tcPr>
            <w:tcW w:w="1843" w:type="dxa"/>
            <w:vAlign w:val="center"/>
          </w:tcPr>
          <w:p>
            <w:pPr>
              <w:pStyle w:val="23"/>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社会公众或服务对象的满意程度</w:t>
            </w:r>
          </w:p>
        </w:tc>
        <w:tc>
          <w:tcPr>
            <w:tcW w:w="2891" w:type="dxa"/>
            <w:vAlign w:val="center"/>
          </w:tcPr>
          <w:p>
            <w:pPr>
              <w:pStyle w:val="23"/>
            </w:pPr>
            <w:r>
              <w:t>社会公众或服务对象的满意程度</w:t>
            </w:r>
          </w:p>
        </w:tc>
        <w:tc>
          <w:tcPr>
            <w:tcW w:w="1276" w:type="dxa"/>
            <w:vAlign w:val="center"/>
          </w:tcPr>
          <w:p>
            <w:pPr>
              <w:pStyle w:val="23"/>
            </w:pPr>
            <w:r>
              <w:t>≥90百分比</w:t>
            </w:r>
          </w:p>
        </w:tc>
        <w:tc>
          <w:tcPr>
            <w:tcW w:w="1843" w:type="dxa"/>
            <w:vAlign w:val="center"/>
          </w:tcPr>
          <w:p>
            <w:pPr>
              <w:pStyle w:val="23"/>
            </w:pPr>
            <w:r>
              <w:t>涞字〔2020〕6号文件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3" w:name="_Toc_4_4_0000000016"/>
      <w:r>
        <w:rPr>
          <w:rFonts w:ascii="方正仿宋_GBK" w:hAnsi="方正仿宋_GBK" w:eastAsia="方正仿宋_GBK" w:cs="方正仿宋_GBK"/>
          <w:color w:val="000000"/>
          <w:sz w:val="28"/>
        </w:rPr>
        <w:t>13.基层组织建设经费绩效目标表</w:t>
      </w:r>
      <w:bookmarkEnd w:id="1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1.制定具体支出计划，严格按规定支出，对全年党建工作重点和电教工作进行全面覆盖，确保该工作规范、有序开展。</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制作宣传展板数量（个）</w:t>
            </w:r>
          </w:p>
        </w:tc>
        <w:tc>
          <w:tcPr>
            <w:tcW w:w="2891" w:type="dxa"/>
            <w:vAlign w:val="center"/>
          </w:tcPr>
          <w:p>
            <w:pPr>
              <w:pStyle w:val="23"/>
            </w:pPr>
            <w:r>
              <w:t>制作宣传展板的数量</w:t>
            </w:r>
          </w:p>
        </w:tc>
        <w:tc>
          <w:tcPr>
            <w:tcW w:w="1276" w:type="dxa"/>
            <w:vAlign w:val="center"/>
          </w:tcPr>
          <w:p>
            <w:pPr>
              <w:pStyle w:val="23"/>
            </w:pPr>
            <w:r>
              <w:t>数量/个</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党建和电教工作覆盖率</w:t>
            </w:r>
          </w:p>
        </w:tc>
        <w:tc>
          <w:tcPr>
            <w:tcW w:w="2891" w:type="dxa"/>
            <w:vAlign w:val="center"/>
          </w:tcPr>
          <w:p>
            <w:pPr>
              <w:pStyle w:val="23"/>
            </w:pPr>
            <w:r>
              <w:t>全年党建工作重点提升率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党组织书记培训班和党务工作者培训班出勤率</w:t>
            </w:r>
          </w:p>
          <w:p>
            <w:pPr>
              <w:pStyle w:val="23"/>
            </w:pPr>
          </w:p>
          <w:p>
            <w:pPr>
              <w:pStyle w:val="23"/>
            </w:pPr>
          </w:p>
        </w:tc>
        <w:tc>
          <w:tcPr>
            <w:tcW w:w="2891" w:type="dxa"/>
            <w:vAlign w:val="center"/>
          </w:tcPr>
          <w:p>
            <w:pPr>
              <w:pStyle w:val="23"/>
            </w:pPr>
            <w:r>
              <w:t>党组织书记培训班和党务工作者培训班出勤率</w:t>
            </w:r>
          </w:p>
          <w:p>
            <w:pPr>
              <w:pStyle w:val="23"/>
            </w:pPr>
          </w:p>
          <w:p>
            <w:pPr>
              <w:pStyle w:val="23"/>
            </w:pP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≤5万元</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党建工作提高率</w:t>
            </w:r>
          </w:p>
        </w:tc>
        <w:tc>
          <w:tcPr>
            <w:tcW w:w="2891" w:type="dxa"/>
            <w:vAlign w:val="center"/>
          </w:tcPr>
          <w:p>
            <w:pPr>
              <w:pStyle w:val="23"/>
            </w:pPr>
            <w:r>
              <w:t>反映党建工作相比之前年度的提高率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受益对象满意率</w:t>
            </w:r>
          </w:p>
        </w:tc>
        <w:tc>
          <w:tcPr>
            <w:tcW w:w="2891" w:type="dxa"/>
            <w:vAlign w:val="center"/>
          </w:tcPr>
          <w:p>
            <w:pPr>
              <w:pStyle w:val="23"/>
            </w:pPr>
            <w:r>
              <w:t>通过问卷调查,满意和较满意的受益对象占全部调研对象的比率.</w:t>
            </w:r>
          </w:p>
        </w:tc>
        <w:tc>
          <w:tcPr>
            <w:tcW w:w="1276" w:type="dxa"/>
            <w:vAlign w:val="center"/>
          </w:tcPr>
          <w:p>
            <w:pPr>
              <w:pStyle w:val="23"/>
            </w:pPr>
            <w:r>
              <w:t>≥90百分比</w:t>
            </w:r>
          </w:p>
        </w:tc>
        <w:tc>
          <w:tcPr>
            <w:tcW w:w="1843"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4" w:name="_Toc_4_4_0000000017"/>
      <w:r>
        <w:rPr>
          <w:rFonts w:ascii="方正仿宋_GBK" w:hAnsi="方正仿宋_GBK" w:eastAsia="方正仿宋_GBK" w:cs="方正仿宋_GBK"/>
          <w:color w:val="000000"/>
          <w:sz w:val="28"/>
        </w:rPr>
        <w:t>14.</w:t>
      </w:r>
      <w:r>
        <w:rPr>
          <w:rFonts w:hint="eastAsia" w:ascii="方正仿宋_GBK" w:hAnsi="方正仿宋_GBK" w:eastAsia="方正仿宋_GBK" w:cs="方正仿宋_GBK"/>
          <w:color w:val="000000"/>
          <w:sz w:val="28"/>
          <w:lang w:eastAsia="zh-CN"/>
        </w:rPr>
        <w:t>中华人民共和国成立前</w:t>
      </w:r>
      <w:r>
        <w:rPr>
          <w:rFonts w:ascii="方正仿宋_GBK" w:hAnsi="方正仿宋_GBK" w:eastAsia="方正仿宋_GBK" w:cs="方正仿宋_GBK"/>
          <w:color w:val="000000"/>
          <w:sz w:val="28"/>
        </w:rPr>
        <w:t>老党员补贴绩效目标表</w:t>
      </w:r>
      <w:bookmarkEnd w:id="1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7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521" w:type="dxa"/>
            <w:gridSpan w:val="2"/>
            <w:vAlign w:val="center"/>
          </w:tcPr>
          <w:p>
            <w:pPr>
              <w:pStyle w:val="23"/>
            </w:pPr>
            <w:r>
              <w:t>1.不断加大对</w:t>
            </w:r>
            <w:r>
              <w:rPr>
                <w:rFonts w:hint="eastAsia"/>
                <w:lang w:eastAsia="zh-CN"/>
              </w:rPr>
              <w:t>中华人民共和国成立前</w:t>
            </w:r>
            <w:r>
              <w:t>老党员生活补助力度，提高</w:t>
            </w:r>
            <w:r>
              <w:rPr>
                <w:rFonts w:hint="eastAsia"/>
                <w:lang w:eastAsia="zh-CN"/>
              </w:rPr>
              <w:t>中华人民共和国成立前</w:t>
            </w:r>
            <w:r>
              <w:t>老党员生活水平。</w:t>
            </w:r>
          </w:p>
        </w:tc>
      </w:tr>
    </w:tbl>
    <w:p>
      <w:pPr>
        <w:spacing w:line="2" w:lineRule="exact"/>
        <w:jc w:val="center"/>
      </w:pPr>
    </w:p>
    <w:tbl>
      <w:tblPr>
        <w:tblStyle w:val="13"/>
        <w:tblW w:w="12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893"/>
        <w:gridCol w:w="1843"/>
        <w:gridCol w:w="2444"/>
        <w:gridCol w:w="1443"/>
        <w:gridCol w:w="3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893" w:type="dxa"/>
            <w:vAlign w:val="center"/>
          </w:tcPr>
          <w:p>
            <w:pPr>
              <w:pStyle w:val="21"/>
            </w:pPr>
            <w:r>
              <w:t>二级指标</w:t>
            </w:r>
          </w:p>
        </w:tc>
        <w:tc>
          <w:tcPr>
            <w:tcW w:w="1843" w:type="dxa"/>
            <w:vAlign w:val="center"/>
          </w:tcPr>
          <w:p>
            <w:pPr>
              <w:pStyle w:val="21"/>
            </w:pPr>
            <w:r>
              <w:t>三级指标</w:t>
            </w:r>
          </w:p>
        </w:tc>
        <w:tc>
          <w:tcPr>
            <w:tcW w:w="2444" w:type="dxa"/>
            <w:vAlign w:val="center"/>
          </w:tcPr>
          <w:p>
            <w:pPr>
              <w:pStyle w:val="21"/>
            </w:pPr>
            <w:r>
              <w:t>绩效指标描述</w:t>
            </w:r>
          </w:p>
        </w:tc>
        <w:tc>
          <w:tcPr>
            <w:tcW w:w="1443" w:type="dxa"/>
            <w:vAlign w:val="center"/>
          </w:tcPr>
          <w:p>
            <w:pPr>
              <w:pStyle w:val="21"/>
            </w:pPr>
            <w:r>
              <w:t>指标值</w:t>
            </w:r>
          </w:p>
        </w:tc>
        <w:tc>
          <w:tcPr>
            <w:tcW w:w="39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893" w:type="dxa"/>
            <w:vAlign w:val="center"/>
          </w:tcPr>
          <w:p>
            <w:pPr>
              <w:pStyle w:val="23"/>
            </w:pPr>
            <w:r>
              <w:t>数量指标</w:t>
            </w:r>
          </w:p>
        </w:tc>
        <w:tc>
          <w:tcPr>
            <w:tcW w:w="1843" w:type="dxa"/>
            <w:vAlign w:val="center"/>
          </w:tcPr>
          <w:p>
            <w:pPr>
              <w:pStyle w:val="23"/>
            </w:pPr>
            <w:r>
              <w:t>补助覆盖率(%)</w:t>
            </w:r>
          </w:p>
        </w:tc>
        <w:tc>
          <w:tcPr>
            <w:tcW w:w="2444" w:type="dxa"/>
            <w:vAlign w:val="center"/>
          </w:tcPr>
          <w:p>
            <w:pPr>
              <w:pStyle w:val="23"/>
            </w:pPr>
            <w:r>
              <w:t>已补助人数占应补助人群的比率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质量指标</w:t>
            </w:r>
          </w:p>
        </w:tc>
        <w:tc>
          <w:tcPr>
            <w:tcW w:w="1843" w:type="dxa"/>
            <w:vAlign w:val="center"/>
          </w:tcPr>
          <w:p>
            <w:pPr>
              <w:pStyle w:val="23"/>
            </w:pPr>
            <w:r>
              <w:t>补助金发放率(%)</w:t>
            </w:r>
          </w:p>
        </w:tc>
        <w:tc>
          <w:tcPr>
            <w:tcW w:w="2444" w:type="dxa"/>
            <w:vAlign w:val="center"/>
          </w:tcPr>
          <w:p>
            <w:pPr>
              <w:pStyle w:val="23"/>
            </w:pPr>
            <w:r>
              <w:t>实际发放的补助金金额占计划发放金额的比率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时效指标</w:t>
            </w:r>
          </w:p>
        </w:tc>
        <w:tc>
          <w:tcPr>
            <w:tcW w:w="1843" w:type="dxa"/>
            <w:vAlign w:val="center"/>
          </w:tcPr>
          <w:p>
            <w:pPr>
              <w:pStyle w:val="23"/>
            </w:pPr>
            <w:r>
              <w:t>补助资金下达时限</w:t>
            </w:r>
          </w:p>
        </w:tc>
        <w:tc>
          <w:tcPr>
            <w:tcW w:w="2444" w:type="dxa"/>
            <w:vAlign w:val="center"/>
          </w:tcPr>
          <w:p>
            <w:pPr>
              <w:pStyle w:val="23"/>
            </w:pPr>
            <w:r>
              <w:t>补助资金下达时限</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成本指标</w:t>
            </w:r>
          </w:p>
        </w:tc>
        <w:tc>
          <w:tcPr>
            <w:tcW w:w="1843" w:type="dxa"/>
            <w:vAlign w:val="center"/>
          </w:tcPr>
          <w:p>
            <w:pPr>
              <w:pStyle w:val="23"/>
            </w:pPr>
            <w:r>
              <w:t>补助成本</w:t>
            </w:r>
          </w:p>
        </w:tc>
        <w:tc>
          <w:tcPr>
            <w:tcW w:w="2444" w:type="dxa"/>
            <w:vAlign w:val="center"/>
          </w:tcPr>
          <w:p>
            <w:pPr>
              <w:pStyle w:val="23"/>
            </w:pPr>
            <w:r>
              <w:t>预算控制数</w:t>
            </w:r>
          </w:p>
        </w:tc>
        <w:tc>
          <w:tcPr>
            <w:tcW w:w="1443" w:type="dxa"/>
            <w:vAlign w:val="center"/>
          </w:tcPr>
          <w:p>
            <w:pPr>
              <w:pStyle w:val="23"/>
            </w:pPr>
            <w:r>
              <w:t>≤12.7万元</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893" w:type="dxa"/>
            <w:vAlign w:val="center"/>
          </w:tcPr>
          <w:p>
            <w:pPr>
              <w:pStyle w:val="23"/>
            </w:pPr>
            <w:r>
              <w:t>社会效益指标</w:t>
            </w:r>
          </w:p>
        </w:tc>
        <w:tc>
          <w:tcPr>
            <w:tcW w:w="1843" w:type="dxa"/>
            <w:vAlign w:val="center"/>
          </w:tcPr>
          <w:p>
            <w:pPr>
              <w:pStyle w:val="23"/>
            </w:pPr>
            <w:r>
              <w:t>服务对象满意度</w:t>
            </w:r>
          </w:p>
        </w:tc>
        <w:tc>
          <w:tcPr>
            <w:tcW w:w="2444" w:type="dxa"/>
            <w:vAlign w:val="center"/>
          </w:tcPr>
          <w:p>
            <w:pPr>
              <w:pStyle w:val="23"/>
            </w:pPr>
            <w:r>
              <w:t>加强对</w:t>
            </w:r>
            <w:r>
              <w:rPr>
                <w:rFonts w:hint="eastAsia"/>
                <w:lang w:eastAsia="zh-CN"/>
              </w:rPr>
              <w:t>中华人民共和国成立前</w:t>
            </w:r>
            <w:r>
              <w:t>老党员和各类困难党员的关爱和服务，切实帮助他们解决实际困难。</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经济效益指标</w:t>
            </w:r>
          </w:p>
        </w:tc>
        <w:tc>
          <w:tcPr>
            <w:tcW w:w="1843" w:type="dxa"/>
            <w:vAlign w:val="center"/>
          </w:tcPr>
          <w:p>
            <w:pPr>
              <w:pStyle w:val="23"/>
            </w:pPr>
            <w:r>
              <w:t>补助人群生活改善提高的比例</w:t>
            </w:r>
          </w:p>
        </w:tc>
        <w:tc>
          <w:tcPr>
            <w:tcW w:w="2444" w:type="dxa"/>
            <w:vAlign w:val="center"/>
          </w:tcPr>
          <w:p>
            <w:pPr>
              <w:pStyle w:val="23"/>
            </w:pPr>
            <w:r>
              <w:t>补助人群在生活、医疗、护理、教育等方面的改善情况</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可持续影响指标</w:t>
            </w:r>
          </w:p>
        </w:tc>
        <w:tc>
          <w:tcPr>
            <w:tcW w:w="1843" w:type="dxa"/>
            <w:vAlign w:val="center"/>
          </w:tcPr>
          <w:p>
            <w:pPr>
              <w:pStyle w:val="23"/>
            </w:pPr>
            <w:r>
              <w:t>可持续性服务</w:t>
            </w:r>
          </w:p>
        </w:tc>
        <w:tc>
          <w:tcPr>
            <w:tcW w:w="2444" w:type="dxa"/>
            <w:vAlign w:val="center"/>
          </w:tcPr>
          <w:p>
            <w:pPr>
              <w:pStyle w:val="23"/>
            </w:pPr>
            <w:r>
              <w:t>可持续性服务</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社会效益指标</w:t>
            </w:r>
          </w:p>
        </w:tc>
        <w:tc>
          <w:tcPr>
            <w:tcW w:w="1843" w:type="dxa"/>
            <w:vAlign w:val="center"/>
          </w:tcPr>
          <w:p>
            <w:pPr>
              <w:pStyle w:val="23"/>
            </w:pPr>
            <w:r>
              <w:t>社会积极评价率</w:t>
            </w:r>
          </w:p>
        </w:tc>
        <w:tc>
          <w:tcPr>
            <w:tcW w:w="2444" w:type="dxa"/>
            <w:vAlign w:val="center"/>
          </w:tcPr>
          <w:p>
            <w:pPr>
              <w:pStyle w:val="23"/>
            </w:pPr>
            <w:r>
              <w:t>社会积极评价率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893" w:type="dxa"/>
            <w:vAlign w:val="center"/>
          </w:tcPr>
          <w:p>
            <w:pPr>
              <w:pStyle w:val="23"/>
            </w:pPr>
            <w:r>
              <w:t>服务对象满意度指标</w:t>
            </w:r>
          </w:p>
        </w:tc>
        <w:tc>
          <w:tcPr>
            <w:tcW w:w="1843" w:type="dxa"/>
            <w:vAlign w:val="center"/>
          </w:tcPr>
          <w:p>
            <w:pPr>
              <w:pStyle w:val="23"/>
            </w:pPr>
            <w:r>
              <w:t>受益对象满意率</w:t>
            </w:r>
          </w:p>
        </w:tc>
        <w:tc>
          <w:tcPr>
            <w:tcW w:w="2444" w:type="dxa"/>
            <w:vAlign w:val="center"/>
          </w:tcPr>
          <w:p>
            <w:pPr>
              <w:pStyle w:val="23"/>
            </w:pPr>
            <w:r>
              <w:t>通过调查问卷,满意和较满意的受益对象占全部调研对象的比例.</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5" w:name="_Toc_4_4_0000000018"/>
      <w:r>
        <w:rPr>
          <w:rFonts w:ascii="方正仿宋_GBK" w:hAnsi="方正仿宋_GBK" w:eastAsia="方正仿宋_GBK" w:cs="方正仿宋_GBK"/>
          <w:color w:val="000000"/>
          <w:sz w:val="28"/>
        </w:rPr>
        <w:t>15.考核办工作经费绩效目标表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05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830" w:type="dxa"/>
            <w:gridSpan w:val="2"/>
            <w:vAlign w:val="center"/>
          </w:tcPr>
          <w:p>
            <w:pPr>
              <w:pStyle w:val="23"/>
              <w:rPr>
                <w:lang w:eastAsia="zh-CN"/>
              </w:rPr>
            </w:pPr>
            <w:r>
              <w:t>1.对目标绩效考核，坚持全面考核与重点考核相结合，定量考核与定性考核相结合，共性统一考核与分类差异考核相结合，平时考核、目标绩效考核与年度考核相结合、根据不同层级和岗位实行分类考核。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111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1134"/>
        <w:gridCol w:w="3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229" w:type="dxa"/>
            <w:vAlign w:val="center"/>
          </w:tcPr>
          <w:p>
            <w:pPr>
              <w:pStyle w:val="21"/>
            </w:pPr>
            <w:r>
              <w:t>绩效指标描述</w:t>
            </w:r>
          </w:p>
        </w:tc>
        <w:tc>
          <w:tcPr>
            <w:tcW w:w="1134" w:type="dxa"/>
            <w:vAlign w:val="center"/>
          </w:tcPr>
          <w:p>
            <w:pPr>
              <w:pStyle w:val="21"/>
            </w:pPr>
            <w:r>
              <w:t>指标值</w:t>
            </w:r>
          </w:p>
        </w:tc>
        <w:tc>
          <w:tcPr>
            <w:tcW w:w="385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质量指标</w:t>
            </w:r>
          </w:p>
        </w:tc>
        <w:tc>
          <w:tcPr>
            <w:tcW w:w="1332" w:type="dxa"/>
            <w:vAlign w:val="center"/>
          </w:tcPr>
          <w:p>
            <w:pPr>
              <w:pStyle w:val="23"/>
            </w:pPr>
            <w:r>
              <w:t>相关单位人员对人事管理工作的满意度</w:t>
            </w:r>
          </w:p>
        </w:tc>
        <w:tc>
          <w:tcPr>
            <w:tcW w:w="2229" w:type="dxa"/>
            <w:vAlign w:val="center"/>
          </w:tcPr>
          <w:p>
            <w:pPr>
              <w:pStyle w:val="23"/>
            </w:pPr>
            <w:r>
              <w:t>相关单位人员对人事管理工作的满意度</w:t>
            </w:r>
          </w:p>
        </w:tc>
        <w:tc>
          <w:tcPr>
            <w:tcW w:w="1134" w:type="dxa"/>
            <w:vAlign w:val="center"/>
          </w:tcPr>
          <w:p>
            <w:pPr>
              <w:pStyle w:val="23"/>
            </w:pPr>
            <w:r>
              <w:t>≥90百分比</w:t>
            </w:r>
          </w:p>
        </w:tc>
        <w:tc>
          <w:tcPr>
            <w:tcW w:w="3859" w:type="dxa"/>
            <w:vAlign w:val="center"/>
          </w:tcPr>
          <w:p>
            <w:pPr>
              <w:pStyle w:val="23"/>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数量指标</w:t>
            </w:r>
          </w:p>
        </w:tc>
        <w:tc>
          <w:tcPr>
            <w:tcW w:w="1332" w:type="dxa"/>
            <w:vAlign w:val="center"/>
          </w:tcPr>
          <w:p>
            <w:pPr>
              <w:pStyle w:val="23"/>
            </w:pPr>
            <w:r>
              <w:t>机关公务员选拔、考核、培训完成率</w:t>
            </w:r>
          </w:p>
        </w:tc>
        <w:tc>
          <w:tcPr>
            <w:tcW w:w="2229" w:type="dxa"/>
            <w:vAlign w:val="center"/>
          </w:tcPr>
          <w:p>
            <w:pPr>
              <w:pStyle w:val="23"/>
            </w:pPr>
            <w:r>
              <w:t>机关公务员选拔、考核及培训工作完成期数及人数占计划完成期数与人数的比例</w:t>
            </w:r>
          </w:p>
        </w:tc>
        <w:tc>
          <w:tcPr>
            <w:tcW w:w="1134" w:type="dxa"/>
            <w:vAlign w:val="center"/>
          </w:tcPr>
          <w:p>
            <w:pPr>
              <w:pStyle w:val="23"/>
            </w:pPr>
            <w:r>
              <w:t>≥90百分比</w:t>
            </w:r>
          </w:p>
        </w:tc>
        <w:tc>
          <w:tcPr>
            <w:tcW w:w="3859" w:type="dxa"/>
            <w:vAlign w:val="center"/>
          </w:tcPr>
          <w:p>
            <w:pPr>
              <w:pStyle w:val="23"/>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考核工作完成时效</w:t>
            </w:r>
          </w:p>
        </w:tc>
        <w:tc>
          <w:tcPr>
            <w:tcW w:w="2229" w:type="dxa"/>
            <w:vAlign w:val="center"/>
          </w:tcPr>
          <w:p>
            <w:pPr>
              <w:pStyle w:val="23"/>
            </w:pPr>
            <w:r>
              <w:t>考核工作完成时效</w:t>
            </w:r>
          </w:p>
        </w:tc>
        <w:tc>
          <w:tcPr>
            <w:tcW w:w="1134" w:type="dxa"/>
            <w:vAlign w:val="center"/>
          </w:tcPr>
          <w:p>
            <w:pPr>
              <w:pStyle w:val="23"/>
            </w:pPr>
            <w:r>
              <w:t>是否及时</w:t>
            </w:r>
          </w:p>
        </w:tc>
        <w:tc>
          <w:tcPr>
            <w:tcW w:w="3859" w:type="dxa"/>
            <w:vAlign w:val="center"/>
          </w:tcPr>
          <w:p>
            <w:pPr>
              <w:pStyle w:val="23"/>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229" w:type="dxa"/>
            <w:vAlign w:val="center"/>
          </w:tcPr>
          <w:p>
            <w:pPr>
              <w:pStyle w:val="23"/>
            </w:pPr>
            <w:r>
              <w:t>预算控制数</w:t>
            </w:r>
          </w:p>
        </w:tc>
        <w:tc>
          <w:tcPr>
            <w:tcW w:w="1134" w:type="dxa"/>
            <w:vAlign w:val="center"/>
          </w:tcPr>
          <w:p>
            <w:pPr>
              <w:pStyle w:val="23"/>
            </w:pPr>
            <w:r>
              <w:t>≤70万元</w:t>
            </w:r>
          </w:p>
        </w:tc>
        <w:tc>
          <w:tcPr>
            <w:tcW w:w="3859" w:type="dxa"/>
            <w:vAlign w:val="center"/>
          </w:tcPr>
          <w:p>
            <w:pPr>
              <w:pStyle w:val="23"/>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考核干部合格达标率</w:t>
            </w:r>
          </w:p>
        </w:tc>
        <w:tc>
          <w:tcPr>
            <w:tcW w:w="2229" w:type="dxa"/>
            <w:vAlign w:val="center"/>
          </w:tcPr>
          <w:p>
            <w:pPr>
              <w:pStyle w:val="23"/>
            </w:pPr>
            <w:r>
              <w:t>优秀党员干部占全部党员干部的比率</w:t>
            </w:r>
          </w:p>
        </w:tc>
        <w:tc>
          <w:tcPr>
            <w:tcW w:w="1134" w:type="dxa"/>
            <w:vAlign w:val="center"/>
          </w:tcPr>
          <w:p>
            <w:pPr>
              <w:pStyle w:val="23"/>
            </w:pPr>
            <w:r>
              <w:t>≥85百分比</w:t>
            </w:r>
          </w:p>
        </w:tc>
        <w:tc>
          <w:tcPr>
            <w:tcW w:w="3859" w:type="dxa"/>
            <w:vAlign w:val="center"/>
          </w:tcPr>
          <w:p>
            <w:pPr>
              <w:pStyle w:val="23"/>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受益对象满意率</w:t>
            </w:r>
          </w:p>
        </w:tc>
        <w:tc>
          <w:tcPr>
            <w:tcW w:w="2229" w:type="dxa"/>
            <w:vAlign w:val="center"/>
          </w:tcPr>
          <w:p>
            <w:pPr>
              <w:pStyle w:val="23"/>
            </w:pPr>
            <w:r>
              <w:t>通过调查问卷,满意和较满意的受益对象占全部调研对象的比率.</w:t>
            </w:r>
          </w:p>
        </w:tc>
        <w:tc>
          <w:tcPr>
            <w:tcW w:w="1134" w:type="dxa"/>
            <w:vAlign w:val="center"/>
          </w:tcPr>
          <w:p>
            <w:pPr>
              <w:pStyle w:val="23"/>
            </w:pPr>
            <w:r>
              <w:t>≥90百分比</w:t>
            </w:r>
          </w:p>
        </w:tc>
        <w:tc>
          <w:tcPr>
            <w:tcW w:w="3859" w:type="dxa"/>
            <w:vAlign w:val="center"/>
          </w:tcPr>
          <w:p>
            <w:pPr>
              <w:pStyle w:val="23"/>
            </w:pPr>
            <w:r>
              <w:t>省市考核相关文件及《涞水县2021年度（乡）科级领导班子和领导干部考核办法》（涞字〔2021〕19号）</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r>
        <w:rPr>
          <w:rFonts w:ascii="方正仿宋_GBK" w:hAnsi="方正仿宋_GBK" w:eastAsia="方正仿宋_GBK" w:cs="方正仿宋_GBK"/>
          <w:color w:val="000000"/>
          <w:sz w:val="28"/>
        </w:rPr>
        <w:t>16.农村干部培训经费绩效目标表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1.促进社会和谐 加强干部培训强化农村基层组织建设。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培训合格率（%）</w:t>
            </w:r>
          </w:p>
        </w:tc>
        <w:tc>
          <w:tcPr>
            <w:tcW w:w="2891" w:type="dxa"/>
            <w:vAlign w:val="center"/>
          </w:tcPr>
          <w:p>
            <w:pPr>
              <w:pStyle w:val="23"/>
            </w:pPr>
            <w:r>
              <w:t>培训合格的学员数量占培训总学员数量的比率</w:t>
            </w:r>
          </w:p>
        </w:tc>
        <w:tc>
          <w:tcPr>
            <w:tcW w:w="1276" w:type="dxa"/>
            <w:vAlign w:val="center"/>
          </w:tcPr>
          <w:p>
            <w:pPr>
              <w:pStyle w:val="23"/>
            </w:pPr>
            <w:r>
              <w:t>≥90百分比</w:t>
            </w:r>
          </w:p>
        </w:tc>
        <w:tc>
          <w:tcPr>
            <w:tcW w:w="1843" w:type="dxa"/>
            <w:vAlign w:val="center"/>
          </w:tcPr>
          <w:p>
            <w:pPr>
              <w:pStyle w:val="23"/>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培训覆盖率（%）</w:t>
            </w:r>
          </w:p>
        </w:tc>
        <w:tc>
          <w:tcPr>
            <w:tcW w:w="2891" w:type="dxa"/>
            <w:vAlign w:val="center"/>
          </w:tcPr>
          <w:p>
            <w:pPr>
              <w:pStyle w:val="23"/>
            </w:pPr>
            <w:r>
              <w:t>培训对象数量占应覆盖对象数量的比率</w:t>
            </w:r>
          </w:p>
        </w:tc>
        <w:tc>
          <w:tcPr>
            <w:tcW w:w="1276" w:type="dxa"/>
            <w:vAlign w:val="center"/>
          </w:tcPr>
          <w:p>
            <w:pPr>
              <w:pStyle w:val="23"/>
            </w:pPr>
            <w:r>
              <w:t>≥90百分比</w:t>
            </w:r>
          </w:p>
        </w:tc>
        <w:tc>
          <w:tcPr>
            <w:tcW w:w="1843" w:type="dxa"/>
            <w:vAlign w:val="center"/>
          </w:tcPr>
          <w:p>
            <w:pPr>
              <w:pStyle w:val="23"/>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培训按期完成率</w:t>
            </w:r>
          </w:p>
        </w:tc>
        <w:tc>
          <w:tcPr>
            <w:tcW w:w="2891" w:type="dxa"/>
            <w:vAlign w:val="center"/>
          </w:tcPr>
          <w:p>
            <w:pPr>
              <w:pStyle w:val="23"/>
            </w:pPr>
            <w:r>
              <w:t>培训按期完成率</w:t>
            </w:r>
          </w:p>
        </w:tc>
        <w:tc>
          <w:tcPr>
            <w:tcW w:w="1276" w:type="dxa"/>
            <w:vAlign w:val="center"/>
          </w:tcPr>
          <w:p>
            <w:pPr>
              <w:pStyle w:val="23"/>
            </w:pPr>
            <w:r>
              <w:t>≥90百分比</w:t>
            </w:r>
          </w:p>
        </w:tc>
        <w:tc>
          <w:tcPr>
            <w:tcW w:w="1843" w:type="dxa"/>
            <w:vAlign w:val="center"/>
          </w:tcPr>
          <w:p>
            <w:pPr>
              <w:pStyle w:val="23"/>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≤10万元</w:t>
            </w:r>
          </w:p>
        </w:tc>
        <w:tc>
          <w:tcPr>
            <w:tcW w:w="1843" w:type="dxa"/>
            <w:vAlign w:val="center"/>
          </w:tcPr>
          <w:p>
            <w:pPr>
              <w:pStyle w:val="23"/>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农村干部素质提高率</w:t>
            </w:r>
          </w:p>
        </w:tc>
        <w:tc>
          <w:tcPr>
            <w:tcW w:w="2891" w:type="dxa"/>
            <w:vAlign w:val="center"/>
          </w:tcPr>
          <w:p>
            <w:pPr>
              <w:pStyle w:val="23"/>
            </w:pPr>
            <w:r>
              <w:t>提高农村干部各项综合素质的比率</w:t>
            </w:r>
          </w:p>
        </w:tc>
        <w:tc>
          <w:tcPr>
            <w:tcW w:w="1276" w:type="dxa"/>
            <w:vAlign w:val="center"/>
          </w:tcPr>
          <w:p>
            <w:pPr>
              <w:pStyle w:val="23"/>
            </w:pPr>
            <w:r>
              <w:t>≥90百分比</w:t>
            </w:r>
          </w:p>
        </w:tc>
        <w:tc>
          <w:tcPr>
            <w:tcW w:w="1843" w:type="dxa"/>
            <w:vAlign w:val="center"/>
          </w:tcPr>
          <w:p>
            <w:pPr>
              <w:pStyle w:val="23"/>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受训学员满意度（%）</w:t>
            </w:r>
          </w:p>
        </w:tc>
        <w:tc>
          <w:tcPr>
            <w:tcW w:w="2891" w:type="dxa"/>
            <w:vAlign w:val="center"/>
          </w:tcPr>
          <w:p>
            <w:pPr>
              <w:pStyle w:val="23"/>
            </w:pPr>
            <w:r>
              <w:t>调查中满意和较满意的受训学员数量占调查总人数的比率</w:t>
            </w:r>
          </w:p>
        </w:tc>
        <w:tc>
          <w:tcPr>
            <w:tcW w:w="1276" w:type="dxa"/>
            <w:vAlign w:val="center"/>
          </w:tcPr>
          <w:p>
            <w:pPr>
              <w:pStyle w:val="23"/>
            </w:pPr>
            <w:r>
              <w:t>≥90百分比</w:t>
            </w:r>
          </w:p>
        </w:tc>
        <w:tc>
          <w:tcPr>
            <w:tcW w:w="1843" w:type="dxa"/>
            <w:vAlign w:val="center"/>
          </w:tcPr>
          <w:p>
            <w:pPr>
              <w:pStyle w:val="23"/>
            </w:pPr>
            <w:r>
              <w:t>涞发〔2008〕2号文件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6" w:name="_Toc_4_4_0000000020"/>
      <w:r>
        <w:rPr>
          <w:rFonts w:ascii="方正仿宋_GBK" w:hAnsi="方正仿宋_GBK" w:eastAsia="方正仿宋_GBK" w:cs="方正仿宋_GBK"/>
          <w:color w:val="000000"/>
          <w:sz w:val="28"/>
        </w:rPr>
        <w:t>17.农村干部养老保险绩效目标表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1.加快建立新型农村社会养老保险制度，保障农村居民年老后的基本生活。</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质量指标</w:t>
            </w:r>
          </w:p>
        </w:tc>
        <w:tc>
          <w:tcPr>
            <w:tcW w:w="1332" w:type="dxa"/>
            <w:vAlign w:val="center"/>
          </w:tcPr>
          <w:p>
            <w:pPr>
              <w:pStyle w:val="23"/>
            </w:pPr>
            <w:r>
              <w:t>农村干部养老保险参保比率</w:t>
            </w:r>
          </w:p>
        </w:tc>
        <w:tc>
          <w:tcPr>
            <w:tcW w:w="2891" w:type="dxa"/>
            <w:vAlign w:val="center"/>
          </w:tcPr>
          <w:p>
            <w:pPr>
              <w:pStyle w:val="23"/>
            </w:pPr>
            <w:r>
              <w:t>农村干部养老保险参保比率</w:t>
            </w:r>
          </w:p>
        </w:tc>
        <w:tc>
          <w:tcPr>
            <w:tcW w:w="1276" w:type="dxa"/>
            <w:vAlign w:val="center"/>
          </w:tcPr>
          <w:p>
            <w:pPr>
              <w:pStyle w:val="23"/>
            </w:pPr>
            <w:r>
              <w:t>≥90百分比</w:t>
            </w:r>
          </w:p>
        </w:tc>
        <w:tc>
          <w:tcPr>
            <w:tcW w:w="1843" w:type="dxa"/>
            <w:vAlign w:val="center"/>
          </w:tcPr>
          <w:p>
            <w:pPr>
              <w:pStyle w:val="23"/>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数量指标</w:t>
            </w:r>
          </w:p>
        </w:tc>
        <w:tc>
          <w:tcPr>
            <w:tcW w:w="1332" w:type="dxa"/>
            <w:vAlign w:val="center"/>
          </w:tcPr>
          <w:p>
            <w:pPr>
              <w:pStyle w:val="23"/>
            </w:pPr>
            <w:r>
              <w:t>资金支付率</w:t>
            </w:r>
          </w:p>
        </w:tc>
        <w:tc>
          <w:tcPr>
            <w:tcW w:w="2891" w:type="dxa"/>
            <w:vAlign w:val="center"/>
          </w:tcPr>
          <w:p>
            <w:pPr>
              <w:pStyle w:val="23"/>
            </w:pPr>
            <w:r>
              <w:t>及时、足额发放率</w:t>
            </w:r>
          </w:p>
        </w:tc>
        <w:tc>
          <w:tcPr>
            <w:tcW w:w="1276" w:type="dxa"/>
            <w:vAlign w:val="center"/>
          </w:tcPr>
          <w:p>
            <w:pPr>
              <w:pStyle w:val="23"/>
            </w:pPr>
            <w:r>
              <w:t>≥90百分比</w:t>
            </w:r>
          </w:p>
        </w:tc>
        <w:tc>
          <w:tcPr>
            <w:tcW w:w="1843" w:type="dxa"/>
            <w:vAlign w:val="center"/>
          </w:tcPr>
          <w:p>
            <w:pPr>
              <w:pStyle w:val="23"/>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按规定时限发放工资、缴纳保险</w:t>
            </w:r>
          </w:p>
        </w:tc>
        <w:tc>
          <w:tcPr>
            <w:tcW w:w="2891" w:type="dxa"/>
            <w:vAlign w:val="center"/>
          </w:tcPr>
          <w:p>
            <w:pPr>
              <w:pStyle w:val="23"/>
            </w:pPr>
            <w:r>
              <w:t>按规定时限发放工资、缴纳保险</w:t>
            </w:r>
          </w:p>
        </w:tc>
        <w:tc>
          <w:tcPr>
            <w:tcW w:w="1276" w:type="dxa"/>
            <w:vAlign w:val="center"/>
          </w:tcPr>
          <w:p>
            <w:pPr>
              <w:pStyle w:val="23"/>
            </w:pPr>
            <w:r>
              <w:t>是否及时</w:t>
            </w:r>
          </w:p>
        </w:tc>
        <w:tc>
          <w:tcPr>
            <w:tcW w:w="1843" w:type="dxa"/>
            <w:vAlign w:val="center"/>
          </w:tcPr>
          <w:p>
            <w:pPr>
              <w:pStyle w:val="23"/>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≤10万元</w:t>
            </w:r>
          </w:p>
        </w:tc>
        <w:tc>
          <w:tcPr>
            <w:tcW w:w="1843" w:type="dxa"/>
            <w:vAlign w:val="center"/>
          </w:tcPr>
          <w:p>
            <w:pPr>
              <w:pStyle w:val="23"/>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村干部享受养老保险条件达标率</w:t>
            </w:r>
          </w:p>
        </w:tc>
        <w:tc>
          <w:tcPr>
            <w:tcW w:w="2891" w:type="dxa"/>
            <w:vAlign w:val="center"/>
          </w:tcPr>
          <w:p>
            <w:pPr>
              <w:pStyle w:val="23"/>
            </w:pPr>
            <w:r>
              <w:t>确保村干部队伍稳定，符合养老条件占总人数的比率</w:t>
            </w:r>
          </w:p>
        </w:tc>
        <w:tc>
          <w:tcPr>
            <w:tcW w:w="1276" w:type="dxa"/>
            <w:vAlign w:val="center"/>
          </w:tcPr>
          <w:p>
            <w:pPr>
              <w:pStyle w:val="23"/>
            </w:pPr>
            <w:r>
              <w:t>≥90百分比</w:t>
            </w:r>
          </w:p>
        </w:tc>
        <w:tc>
          <w:tcPr>
            <w:tcW w:w="1843" w:type="dxa"/>
            <w:vAlign w:val="center"/>
          </w:tcPr>
          <w:p>
            <w:pPr>
              <w:pStyle w:val="23"/>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受益人员满意率</w:t>
            </w:r>
          </w:p>
        </w:tc>
        <w:tc>
          <w:tcPr>
            <w:tcW w:w="2891" w:type="dxa"/>
            <w:vAlign w:val="center"/>
          </w:tcPr>
          <w:p>
            <w:pPr>
              <w:pStyle w:val="23"/>
            </w:pPr>
            <w:r>
              <w:t>通过调查问卷,满意和较满意的受益对象占全部调研对象的比率.</w:t>
            </w:r>
          </w:p>
        </w:tc>
        <w:tc>
          <w:tcPr>
            <w:tcW w:w="1276" w:type="dxa"/>
            <w:vAlign w:val="center"/>
          </w:tcPr>
          <w:p>
            <w:pPr>
              <w:pStyle w:val="23"/>
            </w:pPr>
            <w:r>
              <w:t>≥90百分比</w:t>
            </w:r>
          </w:p>
        </w:tc>
        <w:tc>
          <w:tcPr>
            <w:tcW w:w="1843" w:type="dxa"/>
            <w:vAlign w:val="center"/>
          </w:tcPr>
          <w:p>
            <w:pPr>
              <w:pStyle w:val="23"/>
            </w:pPr>
            <w:r>
              <w:t>涞办发〔2008〕9号文件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7" w:name="_Toc_4_4_0000000021"/>
      <w:r>
        <w:rPr>
          <w:rFonts w:ascii="方正仿宋_GBK" w:hAnsi="方正仿宋_GBK" w:eastAsia="方正仿宋_GBK" w:cs="方正仿宋_GBK"/>
          <w:color w:val="000000"/>
          <w:sz w:val="28"/>
        </w:rPr>
        <w:t>18.人才工作经费绩效目标表</w:t>
      </w:r>
      <w:bookmarkEnd w:id="1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8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80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578" w:type="dxa"/>
            <w:gridSpan w:val="2"/>
            <w:vAlign w:val="center"/>
          </w:tcPr>
          <w:p>
            <w:pPr>
              <w:pStyle w:val="23"/>
            </w:pPr>
            <w:r>
              <w:t>1.进一步增强我县干部人才教育培训工作提高业务素质。</w:t>
            </w:r>
          </w:p>
        </w:tc>
      </w:tr>
    </w:tbl>
    <w:p>
      <w:pPr>
        <w:spacing w:line="2" w:lineRule="exact"/>
        <w:jc w:val="center"/>
      </w:pPr>
    </w:p>
    <w:tbl>
      <w:tblPr>
        <w:tblStyle w:val="13"/>
        <w:tblW w:w="10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087"/>
        <w:gridCol w:w="1276"/>
        <w:gridCol w:w="3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087" w:type="dxa"/>
            <w:vAlign w:val="center"/>
          </w:tcPr>
          <w:p>
            <w:pPr>
              <w:pStyle w:val="21"/>
            </w:pPr>
            <w:r>
              <w:t>绩效指标描述</w:t>
            </w:r>
          </w:p>
        </w:tc>
        <w:tc>
          <w:tcPr>
            <w:tcW w:w="1276" w:type="dxa"/>
            <w:vAlign w:val="center"/>
          </w:tcPr>
          <w:p>
            <w:pPr>
              <w:pStyle w:val="21"/>
            </w:pPr>
            <w:r>
              <w:t>指标值</w:t>
            </w:r>
          </w:p>
        </w:tc>
        <w:tc>
          <w:tcPr>
            <w:tcW w:w="360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培养或引进高水平人才数量（人）</w:t>
            </w:r>
          </w:p>
        </w:tc>
        <w:tc>
          <w:tcPr>
            <w:tcW w:w="2087" w:type="dxa"/>
            <w:vAlign w:val="center"/>
          </w:tcPr>
          <w:p>
            <w:pPr>
              <w:pStyle w:val="23"/>
            </w:pPr>
            <w:r>
              <w:t>培养或引进高水平人才数量（人）</w:t>
            </w:r>
          </w:p>
        </w:tc>
        <w:tc>
          <w:tcPr>
            <w:tcW w:w="1276" w:type="dxa"/>
            <w:vAlign w:val="center"/>
          </w:tcPr>
          <w:p>
            <w:pPr>
              <w:pStyle w:val="23"/>
            </w:pPr>
            <w:r>
              <w:t>≥50人</w:t>
            </w:r>
          </w:p>
        </w:tc>
        <w:tc>
          <w:tcPr>
            <w:tcW w:w="3609" w:type="dxa"/>
            <w:vAlign w:val="center"/>
          </w:tcPr>
          <w:p>
            <w:pPr>
              <w:pStyle w:val="23"/>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人才增长率（%）</w:t>
            </w:r>
          </w:p>
        </w:tc>
        <w:tc>
          <w:tcPr>
            <w:tcW w:w="2087" w:type="dxa"/>
            <w:vAlign w:val="center"/>
          </w:tcPr>
          <w:p>
            <w:pPr>
              <w:pStyle w:val="23"/>
            </w:pPr>
            <w:r>
              <w:t>人才增长率（%）</w:t>
            </w:r>
          </w:p>
        </w:tc>
        <w:tc>
          <w:tcPr>
            <w:tcW w:w="1276" w:type="dxa"/>
            <w:vAlign w:val="center"/>
          </w:tcPr>
          <w:p>
            <w:pPr>
              <w:pStyle w:val="23"/>
            </w:pPr>
            <w:r>
              <w:t>≥90百分比</w:t>
            </w:r>
          </w:p>
        </w:tc>
        <w:tc>
          <w:tcPr>
            <w:tcW w:w="3609" w:type="dxa"/>
            <w:vAlign w:val="center"/>
          </w:tcPr>
          <w:p>
            <w:pPr>
              <w:pStyle w:val="23"/>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培训按期完成率</w:t>
            </w:r>
          </w:p>
        </w:tc>
        <w:tc>
          <w:tcPr>
            <w:tcW w:w="2087" w:type="dxa"/>
            <w:vAlign w:val="center"/>
          </w:tcPr>
          <w:p>
            <w:pPr>
              <w:pStyle w:val="23"/>
            </w:pPr>
            <w:r>
              <w:t>培训按期完成率</w:t>
            </w:r>
          </w:p>
        </w:tc>
        <w:tc>
          <w:tcPr>
            <w:tcW w:w="1276" w:type="dxa"/>
            <w:vAlign w:val="center"/>
          </w:tcPr>
          <w:p>
            <w:pPr>
              <w:pStyle w:val="23"/>
            </w:pPr>
            <w:r>
              <w:t>≥90百分比</w:t>
            </w:r>
          </w:p>
        </w:tc>
        <w:tc>
          <w:tcPr>
            <w:tcW w:w="3609" w:type="dxa"/>
            <w:vAlign w:val="center"/>
          </w:tcPr>
          <w:p>
            <w:pPr>
              <w:pStyle w:val="23"/>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087" w:type="dxa"/>
            <w:vAlign w:val="center"/>
          </w:tcPr>
          <w:p>
            <w:pPr>
              <w:pStyle w:val="23"/>
            </w:pPr>
            <w:r>
              <w:t>预算控制数</w:t>
            </w:r>
          </w:p>
        </w:tc>
        <w:tc>
          <w:tcPr>
            <w:tcW w:w="1276" w:type="dxa"/>
            <w:vAlign w:val="center"/>
          </w:tcPr>
          <w:p>
            <w:pPr>
              <w:pStyle w:val="23"/>
            </w:pPr>
            <w:r>
              <w:t>≤10万元</w:t>
            </w:r>
          </w:p>
        </w:tc>
        <w:tc>
          <w:tcPr>
            <w:tcW w:w="3609" w:type="dxa"/>
            <w:vAlign w:val="center"/>
          </w:tcPr>
          <w:p>
            <w:pPr>
              <w:pStyle w:val="23"/>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重点人才工程年度目标完成率</w:t>
            </w:r>
          </w:p>
        </w:tc>
        <w:tc>
          <w:tcPr>
            <w:tcW w:w="2087" w:type="dxa"/>
            <w:vAlign w:val="center"/>
          </w:tcPr>
          <w:p>
            <w:pPr>
              <w:pStyle w:val="23"/>
            </w:pPr>
            <w:r>
              <w:t>已完成重点人才工程年度目标任务完成量占计划任务量的比例</w:t>
            </w:r>
          </w:p>
        </w:tc>
        <w:tc>
          <w:tcPr>
            <w:tcW w:w="1276" w:type="dxa"/>
            <w:vAlign w:val="center"/>
          </w:tcPr>
          <w:p>
            <w:pPr>
              <w:pStyle w:val="23"/>
            </w:pPr>
            <w:r>
              <w:t>≥90百分比</w:t>
            </w:r>
          </w:p>
        </w:tc>
        <w:tc>
          <w:tcPr>
            <w:tcW w:w="3609" w:type="dxa"/>
            <w:vAlign w:val="center"/>
          </w:tcPr>
          <w:p>
            <w:pPr>
              <w:pStyle w:val="23"/>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087"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3609" w:type="dxa"/>
            <w:vAlign w:val="center"/>
          </w:tcPr>
          <w:p>
            <w:pPr>
              <w:pStyle w:val="23"/>
            </w:pPr>
            <w:r>
              <w:t>冀发〔2013〕7号、市委保发〔2013〕9号及县委涞发〔2013〕16号《关于进一步加强党管人才工作的实施意见》</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8" w:name="_Toc_4_4_0000000022"/>
      <w:r>
        <w:rPr>
          <w:rFonts w:ascii="方正仿宋_GBK" w:hAnsi="方正仿宋_GBK" w:eastAsia="方正仿宋_GBK" w:cs="方正仿宋_GBK"/>
          <w:color w:val="000000"/>
          <w:sz w:val="28"/>
        </w:rPr>
        <w:t>19.市级重点人才资金（保财行[2021]24号）绩效目标表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1.进一步增强我县干部人才教育培训工作提高业务素质。</w:t>
            </w:r>
            <w:r>
              <w:tab/>
            </w:r>
            <w:r>
              <w:tab/>
            </w:r>
            <w:r>
              <w:tab/>
            </w:r>
            <w:r>
              <w:tab/>
            </w:r>
            <w:r>
              <w:tab/>
            </w:r>
            <w:r>
              <w:tab/>
            </w:r>
          </w:p>
          <w:p>
            <w:pPr>
              <w:pStyle w:val="23"/>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培养或引进高水平人才数量（人）</w:t>
            </w:r>
          </w:p>
        </w:tc>
        <w:tc>
          <w:tcPr>
            <w:tcW w:w="2891" w:type="dxa"/>
            <w:vAlign w:val="center"/>
          </w:tcPr>
          <w:p>
            <w:pPr>
              <w:pStyle w:val="23"/>
            </w:pPr>
            <w:r>
              <w:t>培养或引进高水平人才数量（人）</w:t>
            </w:r>
          </w:p>
        </w:tc>
        <w:tc>
          <w:tcPr>
            <w:tcW w:w="1276" w:type="dxa"/>
            <w:vAlign w:val="center"/>
          </w:tcPr>
          <w:p>
            <w:pPr>
              <w:pStyle w:val="23"/>
            </w:pPr>
            <w:r>
              <w:t>≥50人</w:t>
            </w:r>
          </w:p>
        </w:tc>
        <w:tc>
          <w:tcPr>
            <w:tcW w:w="1843" w:type="dxa"/>
            <w:vAlign w:val="center"/>
          </w:tcPr>
          <w:p>
            <w:pPr>
              <w:pStyle w:val="23"/>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人才增长率（%）</w:t>
            </w:r>
          </w:p>
        </w:tc>
        <w:tc>
          <w:tcPr>
            <w:tcW w:w="2891" w:type="dxa"/>
            <w:vAlign w:val="center"/>
          </w:tcPr>
          <w:p>
            <w:pPr>
              <w:pStyle w:val="23"/>
            </w:pPr>
            <w:r>
              <w:t>培养人才增长率（%）</w:t>
            </w:r>
          </w:p>
        </w:tc>
        <w:tc>
          <w:tcPr>
            <w:tcW w:w="1276" w:type="dxa"/>
            <w:vAlign w:val="center"/>
          </w:tcPr>
          <w:p>
            <w:pPr>
              <w:pStyle w:val="23"/>
            </w:pPr>
            <w:r>
              <w:t>≥90百分比</w:t>
            </w:r>
          </w:p>
        </w:tc>
        <w:tc>
          <w:tcPr>
            <w:tcW w:w="1843" w:type="dxa"/>
            <w:vAlign w:val="center"/>
          </w:tcPr>
          <w:p>
            <w:pPr>
              <w:pStyle w:val="23"/>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培训按期完成率</w:t>
            </w:r>
          </w:p>
        </w:tc>
        <w:tc>
          <w:tcPr>
            <w:tcW w:w="2891" w:type="dxa"/>
            <w:vAlign w:val="center"/>
          </w:tcPr>
          <w:p>
            <w:pPr>
              <w:pStyle w:val="23"/>
            </w:pPr>
            <w:r>
              <w:t>培训按期完成率</w:t>
            </w:r>
          </w:p>
        </w:tc>
        <w:tc>
          <w:tcPr>
            <w:tcW w:w="1276" w:type="dxa"/>
            <w:vAlign w:val="center"/>
          </w:tcPr>
          <w:p>
            <w:pPr>
              <w:pStyle w:val="23"/>
            </w:pPr>
            <w:r>
              <w:t>≥90百分比</w:t>
            </w:r>
          </w:p>
        </w:tc>
        <w:tc>
          <w:tcPr>
            <w:tcW w:w="1843" w:type="dxa"/>
            <w:vAlign w:val="center"/>
          </w:tcPr>
          <w:p>
            <w:pPr>
              <w:pStyle w:val="23"/>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≤6.41万元</w:t>
            </w:r>
          </w:p>
        </w:tc>
        <w:tc>
          <w:tcPr>
            <w:tcW w:w="1843" w:type="dxa"/>
            <w:vAlign w:val="center"/>
          </w:tcPr>
          <w:p>
            <w:pPr>
              <w:pStyle w:val="23"/>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重点人才工程年度目标完成率</w:t>
            </w:r>
          </w:p>
        </w:tc>
        <w:tc>
          <w:tcPr>
            <w:tcW w:w="2891" w:type="dxa"/>
            <w:vAlign w:val="center"/>
          </w:tcPr>
          <w:p>
            <w:pPr>
              <w:pStyle w:val="23"/>
            </w:pPr>
            <w:r>
              <w:t>已完成重点人才工程年度目标任务完成量占计划任务量的比例</w:t>
            </w:r>
          </w:p>
        </w:tc>
        <w:tc>
          <w:tcPr>
            <w:tcW w:w="1276" w:type="dxa"/>
            <w:vAlign w:val="center"/>
          </w:tcPr>
          <w:p>
            <w:pPr>
              <w:pStyle w:val="23"/>
            </w:pPr>
            <w:r>
              <w:t>≥90百分比</w:t>
            </w:r>
          </w:p>
        </w:tc>
        <w:tc>
          <w:tcPr>
            <w:tcW w:w="1843" w:type="dxa"/>
            <w:vAlign w:val="center"/>
          </w:tcPr>
          <w:p>
            <w:pPr>
              <w:pStyle w:val="23"/>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1843" w:type="dxa"/>
            <w:vAlign w:val="center"/>
          </w:tcPr>
          <w:p>
            <w:pPr>
              <w:pStyle w:val="23"/>
            </w:pPr>
            <w:r>
              <w:t>保财行[2021]24号</w:t>
            </w:r>
          </w:p>
        </w:tc>
      </w:tr>
    </w:tbl>
    <w:p>
      <w:pPr>
        <w:sectPr>
          <w:pgSz w:w="16840" w:h="11900" w:orient="landscape"/>
          <w:pgMar w:top="1304" w:right="1984" w:bottom="1304" w:left="1134" w:header="720" w:footer="720" w:gutter="0"/>
          <w:cols w:space="720" w:num="1"/>
        </w:sectPr>
      </w:pPr>
    </w:p>
    <w:p>
      <w:pPr>
        <w:jc w:val="center"/>
      </w:pPr>
    </w:p>
    <w:p>
      <w:pPr>
        <w:outlineLvl w:val="3"/>
      </w:pPr>
      <w:bookmarkStart w:id="19" w:name="_Toc_4_4_0000000023"/>
      <w:r>
        <w:rPr>
          <w:rFonts w:ascii="方正仿宋_GBK" w:hAnsi="方正仿宋_GBK" w:eastAsia="方正仿宋_GBK" w:cs="方正仿宋_GBK"/>
          <w:color w:val="000000"/>
          <w:sz w:val="28"/>
        </w:rPr>
        <w:t>20.网络版工资系统技术运维服务费绩效目标表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7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734"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509" w:type="dxa"/>
            <w:gridSpan w:val="2"/>
            <w:vAlign w:val="center"/>
          </w:tcPr>
          <w:p>
            <w:pPr>
              <w:pStyle w:val="23"/>
            </w:pPr>
            <w:r>
              <w:t>1.进一步提高公务员工资管理工作的科学化、规范化和信息化水平，好全县公务员工资管理信息化建设。</w:t>
            </w:r>
          </w:p>
        </w:tc>
      </w:tr>
    </w:tbl>
    <w:p>
      <w:pPr>
        <w:spacing w:line="2" w:lineRule="exact"/>
        <w:jc w:val="center"/>
      </w:pPr>
    </w:p>
    <w:tbl>
      <w:tblPr>
        <w:tblStyle w:val="13"/>
        <w:tblW w:w="10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62"/>
        <w:gridCol w:w="1134"/>
        <w:gridCol w:w="4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662" w:type="dxa"/>
            <w:vAlign w:val="center"/>
          </w:tcPr>
          <w:p>
            <w:pPr>
              <w:pStyle w:val="21"/>
            </w:pPr>
            <w:r>
              <w:t>绩效指标描述</w:t>
            </w:r>
          </w:p>
        </w:tc>
        <w:tc>
          <w:tcPr>
            <w:tcW w:w="1134" w:type="dxa"/>
            <w:vAlign w:val="center"/>
          </w:tcPr>
          <w:p>
            <w:pPr>
              <w:pStyle w:val="21"/>
            </w:pPr>
            <w:r>
              <w:t>指标值</w:t>
            </w:r>
          </w:p>
        </w:tc>
        <w:tc>
          <w:tcPr>
            <w:tcW w:w="414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网络和线路租赁数量</w:t>
            </w:r>
          </w:p>
        </w:tc>
        <w:tc>
          <w:tcPr>
            <w:tcW w:w="1662" w:type="dxa"/>
            <w:vAlign w:val="center"/>
          </w:tcPr>
          <w:p>
            <w:pPr>
              <w:pStyle w:val="23"/>
            </w:pPr>
            <w:r>
              <w:t>租赁联通运营商网络和线路数量</w:t>
            </w:r>
          </w:p>
        </w:tc>
        <w:tc>
          <w:tcPr>
            <w:tcW w:w="1134" w:type="dxa"/>
            <w:vAlign w:val="center"/>
          </w:tcPr>
          <w:p>
            <w:pPr>
              <w:pStyle w:val="23"/>
            </w:pPr>
            <w:r>
              <w:t>数量</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网络信息服务质量情况</w:t>
            </w:r>
          </w:p>
        </w:tc>
        <w:tc>
          <w:tcPr>
            <w:tcW w:w="1662" w:type="dxa"/>
            <w:vAlign w:val="center"/>
          </w:tcPr>
          <w:p>
            <w:pPr>
              <w:pStyle w:val="23"/>
            </w:pPr>
            <w:r>
              <w:t>网络信息服务质量情况</w:t>
            </w:r>
          </w:p>
        </w:tc>
        <w:tc>
          <w:tcPr>
            <w:tcW w:w="1134" w:type="dxa"/>
            <w:vAlign w:val="center"/>
          </w:tcPr>
          <w:p>
            <w:pPr>
              <w:pStyle w:val="23"/>
            </w:pPr>
            <w:r>
              <w:t>良好</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光纤网络等维护是否及时</w:t>
            </w:r>
          </w:p>
        </w:tc>
        <w:tc>
          <w:tcPr>
            <w:tcW w:w="1662" w:type="dxa"/>
            <w:vAlign w:val="center"/>
          </w:tcPr>
          <w:p>
            <w:pPr>
              <w:pStyle w:val="23"/>
            </w:pPr>
            <w:r>
              <w:t>光纤网络等维护是否及时</w:t>
            </w:r>
          </w:p>
        </w:tc>
        <w:tc>
          <w:tcPr>
            <w:tcW w:w="1134" w:type="dxa"/>
            <w:vAlign w:val="center"/>
          </w:tcPr>
          <w:p>
            <w:pPr>
              <w:pStyle w:val="23"/>
            </w:pPr>
            <w:r>
              <w:t>是否及时</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1662" w:type="dxa"/>
            <w:vAlign w:val="center"/>
          </w:tcPr>
          <w:p>
            <w:pPr>
              <w:pStyle w:val="23"/>
            </w:pPr>
            <w:r>
              <w:t>预算控制数</w:t>
            </w:r>
          </w:p>
        </w:tc>
        <w:tc>
          <w:tcPr>
            <w:tcW w:w="1134" w:type="dxa"/>
            <w:vAlign w:val="center"/>
          </w:tcPr>
          <w:p>
            <w:pPr>
              <w:pStyle w:val="23"/>
            </w:pPr>
            <w:r>
              <w:t>≤2万元</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社会效益提升值%</w:t>
            </w:r>
          </w:p>
        </w:tc>
        <w:tc>
          <w:tcPr>
            <w:tcW w:w="1662" w:type="dxa"/>
            <w:vAlign w:val="center"/>
          </w:tcPr>
          <w:p>
            <w:pPr>
              <w:pStyle w:val="23"/>
            </w:pPr>
            <w:r>
              <w:t>网络版工资系统提升社会效益比率%</w:t>
            </w:r>
          </w:p>
        </w:tc>
        <w:tc>
          <w:tcPr>
            <w:tcW w:w="1134" w:type="dxa"/>
            <w:vAlign w:val="center"/>
          </w:tcPr>
          <w:p>
            <w:pPr>
              <w:pStyle w:val="23"/>
            </w:pPr>
            <w:r>
              <w:t>≥90百分比</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1662" w:type="dxa"/>
            <w:vAlign w:val="center"/>
          </w:tcPr>
          <w:p>
            <w:pPr>
              <w:pStyle w:val="23"/>
            </w:pPr>
            <w:r>
              <w:t>满意率</w:t>
            </w:r>
          </w:p>
        </w:tc>
        <w:tc>
          <w:tcPr>
            <w:tcW w:w="1134" w:type="dxa"/>
            <w:vAlign w:val="center"/>
          </w:tcPr>
          <w:p>
            <w:pPr>
              <w:pStyle w:val="23"/>
            </w:pPr>
            <w:r>
              <w:t>≥90百分比</w:t>
            </w:r>
          </w:p>
        </w:tc>
        <w:tc>
          <w:tcPr>
            <w:tcW w:w="4140" w:type="dxa"/>
            <w:vAlign w:val="center"/>
          </w:tcPr>
          <w:p>
            <w:pPr>
              <w:pStyle w:val="23"/>
            </w:pPr>
            <w:r>
              <w:t>省委组织部下发的《关于深入推进全省公务员工资管理信息化建设工作的通知》要求及市委组织部下发的《保定市县区工资系统部署实施方案》</w:t>
            </w:r>
          </w:p>
        </w:tc>
      </w:tr>
    </w:tbl>
    <w:p>
      <w:pPr>
        <w:sectPr>
          <w:pgSz w:w="16840" w:h="11900" w:orient="landscape"/>
          <w:pgMar w:top="1304" w:right="1984" w:bottom="1304" w:left="1134" w:header="720" w:footer="720" w:gutter="0"/>
          <w:cols w:space="720" w:num="1"/>
        </w:sectPr>
      </w:pPr>
    </w:p>
    <w:p>
      <w:pPr>
        <w:jc w:val="center"/>
      </w:pPr>
    </w:p>
    <w:p>
      <w:pPr>
        <w:outlineLvl w:val="3"/>
      </w:pPr>
      <w:bookmarkStart w:id="20" w:name="_Toc_4_4_0000000024"/>
      <w:r>
        <w:rPr>
          <w:rFonts w:ascii="方正仿宋_GBK" w:hAnsi="方正仿宋_GBK" w:eastAsia="方正仿宋_GBK" w:cs="方正仿宋_GBK"/>
          <w:color w:val="000000"/>
          <w:sz w:val="28"/>
        </w:rPr>
        <w:t>21.选聘高校毕业生到村任职中央补助资金  冀财行[2020]149号绩效目标表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1.选聘高校毕业生到村任职，提高村级工作能力和业务能力。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高校毕业生任职村庄数量</w:t>
            </w:r>
          </w:p>
        </w:tc>
        <w:tc>
          <w:tcPr>
            <w:tcW w:w="2891" w:type="dxa"/>
            <w:vAlign w:val="center"/>
          </w:tcPr>
          <w:p>
            <w:pPr>
              <w:pStyle w:val="23"/>
            </w:pPr>
            <w:r>
              <w:t>高校毕业生任职村庄数量</w:t>
            </w:r>
          </w:p>
        </w:tc>
        <w:tc>
          <w:tcPr>
            <w:tcW w:w="1276" w:type="dxa"/>
            <w:vAlign w:val="center"/>
          </w:tcPr>
          <w:p>
            <w:pPr>
              <w:pStyle w:val="23"/>
            </w:pPr>
            <w:r>
              <w:t>≥5个</w:t>
            </w:r>
          </w:p>
        </w:tc>
        <w:tc>
          <w:tcPr>
            <w:tcW w:w="1843" w:type="dxa"/>
            <w:vAlign w:val="center"/>
          </w:tcPr>
          <w:p>
            <w:pPr>
              <w:pStyle w:val="23"/>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工作质量考核优良率（≧**%）</w:t>
            </w:r>
          </w:p>
        </w:tc>
        <w:tc>
          <w:tcPr>
            <w:tcW w:w="2891" w:type="dxa"/>
            <w:vAlign w:val="center"/>
          </w:tcPr>
          <w:p>
            <w:pPr>
              <w:pStyle w:val="23"/>
            </w:pPr>
            <w:r>
              <w:t>高校毕业生到村工作质量考核优良率（≧**%）</w:t>
            </w:r>
          </w:p>
        </w:tc>
        <w:tc>
          <w:tcPr>
            <w:tcW w:w="1276" w:type="dxa"/>
            <w:vAlign w:val="center"/>
          </w:tcPr>
          <w:p>
            <w:pPr>
              <w:pStyle w:val="23"/>
            </w:pPr>
            <w:r>
              <w:t>≥85百分比</w:t>
            </w:r>
          </w:p>
        </w:tc>
        <w:tc>
          <w:tcPr>
            <w:tcW w:w="1843" w:type="dxa"/>
            <w:vAlign w:val="center"/>
          </w:tcPr>
          <w:p>
            <w:pPr>
              <w:pStyle w:val="23"/>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年度资金计划按时完成率</w:t>
            </w:r>
          </w:p>
        </w:tc>
        <w:tc>
          <w:tcPr>
            <w:tcW w:w="2891" w:type="dxa"/>
            <w:vAlign w:val="center"/>
          </w:tcPr>
          <w:p>
            <w:pPr>
              <w:pStyle w:val="23"/>
            </w:pPr>
            <w:r>
              <w:t>年度资金计划按时完成率</w:t>
            </w:r>
          </w:p>
        </w:tc>
        <w:tc>
          <w:tcPr>
            <w:tcW w:w="1276" w:type="dxa"/>
            <w:vAlign w:val="center"/>
          </w:tcPr>
          <w:p>
            <w:pPr>
              <w:pStyle w:val="23"/>
            </w:pPr>
            <w:r>
              <w:t>≥80百分比</w:t>
            </w:r>
          </w:p>
        </w:tc>
        <w:tc>
          <w:tcPr>
            <w:tcW w:w="1843" w:type="dxa"/>
            <w:vAlign w:val="center"/>
          </w:tcPr>
          <w:p>
            <w:pPr>
              <w:pStyle w:val="23"/>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≤23.6万元</w:t>
            </w:r>
          </w:p>
        </w:tc>
        <w:tc>
          <w:tcPr>
            <w:tcW w:w="1843" w:type="dxa"/>
            <w:vAlign w:val="center"/>
          </w:tcPr>
          <w:p>
            <w:pPr>
              <w:pStyle w:val="23"/>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高校毕业生到村人数工作年度目标完成率</w:t>
            </w:r>
          </w:p>
        </w:tc>
        <w:tc>
          <w:tcPr>
            <w:tcW w:w="2891" w:type="dxa"/>
            <w:vAlign w:val="center"/>
          </w:tcPr>
          <w:p>
            <w:pPr>
              <w:pStyle w:val="23"/>
            </w:pPr>
            <w:r>
              <w:t>高校毕业生到村任职工作年度目标任务完成量占计划任务量的比例</w:t>
            </w:r>
          </w:p>
        </w:tc>
        <w:tc>
          <w:tcPr>
            <w:tcW w:w="1276" w:type="dxa"/>
            <w:vAlign w:val="center"/>
          </w:tcPr>
          <w:p>
            <w:pPr>
              <w:pStyle w:val="23"/>
            </w:pPr>
            <w:r>
              <w:t>≥85百分比</w:t>
            </w:r>
          </w:p>
        </w:tc>
        <w:tc>
          <w:tcPr>
            <w:tcW w:w="1843" w:type="dxa"/>
            <w:vAlign w:val="center"/>
          </w:tcPr>
          <w:p>
            <w:pPr>
              <w:pStyle w:val="23"/>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1843" w:type="dxa"/>
            <w:vAlign w:val="center"/>
          </w:tcPr>
          <w:p>
            <w:pPr>
              <w:pStyle w:val="23"/>
            </w:pPr>
            <w:r>
              <w:t>冀财行[2020]149号</w:t>
            </w:r>
          </w:p>
        </w:tc>
      </w:tr>
    </w:tbl>
    <w:p>
      <w:pPr>
        <w:sectPr>
          <w:pgSz w:w="16840" w:h="11900" w:orient="landscape"/>
          <w:pgMar w:top="1304" w:right="1984" w:bottom="1304" w:left="1134" w:header="720" w:footer="720" w:gutter="0"/>
          <w:cols w:space="720" w:num="1"/>
        </w:sectPr>
      </w:pPr>
    </w:p>
    <w:p>
      <w:pPr>
        <w:jc w:val="center"/>
      </w:pPr>
    </w:p>
    <w:p>
      <w:pPr>
        <w:outlineLvl w:val="3"/>
      </w:pPr>
      <w:bookmarkStart w:id="21" w:name="_Toc_4_4_0000000025"/>
      <w:r>
        <w:rPr>
          <w:rFonts w:ascii="方正仿宋_GBK" w:hAnsi="方正仿宋_GBK" w:eastAsia="方正仿宋_GBK" w:cs="方正仿宋_GBK"/>
          <w:color w:val="000000"/>
          <w:sz w:val="28"/>
        </w:rPr>
        <w:t>22.优秀村干部奖金绩效目标表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1.为提高村干部的工作热情，充分调动村干部主动服务群众的积极性，最大限度的提高村干部干事业的动力和活力。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优秀村干部奖金发放人数占全体村干部比率</w:t>
            </w:r>
          </w:p>
        </w:tc>
        <w:tc>
          <w:tcPr>
            <w:tcW w:w="2891" w:type="dxa"/>
            <w:vAlign w:val="center"/>
          </w:tcPr>
          <w:p>
            <w:pPr>
              <w:pStyle w:val="23"/>
            </w:pPr>
            <w:r>
              <w:t>优秀村干部奖金发放人数占全体村干部比率</w:t>
            </w:r>
          </w:p>
        </w:tc>
        <w:tc>
          <w:tcPr>
            <w:tcW w:w="1276" w:type="dxa"/>
            <w:vAlign w:val="center"/>
          </w:tcPr>
          <w:p>
            <w:pPr>
              <w:pStyle w:val="23"/>
            </w:pPr>
            <w:r>
              <w:t>≥85百分比</w:t>
            </w:r>
          </w:p>
        </w:tc>
        <w:tc>
          <w:tcPr>
            <w:tcW w:w="1843" w:type="dxa"/>
            <w:vAlign w:val="center"/>
          </w:tcPr>
          <w:p>
            <w:pPr>
              <w:pStyle w:val="23"/>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补助金发放率(%)</w:t>
            </w:r>
          </w:p>
        </w:tc>
        <w:tc>
          <w:tcPr>
            <w:tcW w:w="2891" w:type="dxa"/>
            <w:vAlign w:val="center"/>
          </w:tcPr>
          <w:p>
            <w:pPr>
              <w:pStyle w:val="23"/>
            </w:pPr>
            <w:r>
              <w:t>实际发放的补助金金额占计划发放金额的比率</w:t>
            </w:r>
          </w:p>
        </w:tc>
        <w:tc>
          <w:tcPr>
            <w:tcW w:w="1276" w:type="dxa"/>
            <w:vAlign w:val="center"/>
          </w:tcPr>
          <w:p>
            <w:pPr>
              <w:pStyle w:val="23"/>
            </w:pPr>
            <w:r>
              <w:t>≥90百分比</w:t>
            </w:r>
          </w:p>
        </w:tc>
        <w:tc>
          <w:tcPr>
            <w:tcW w:w="1843" w:type="dxa"/>
            <w:vAlign w:val="center"/>
          </w:tcPr>
          <w:p>
            <w:pPr>
              <w:pStyle w:val="23"/>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奖金足额发放率</w:t>
            </w:r>
          </w:p>
        </w:tc>
        <w:tc>
          <w:tcPr>
            <w:tcW w:w="2891" w:type="dxa"/>
            <w:vAlign w:val="center"/>
          </w:tcPr>
          <w:p>
            <w:pPr>
              <w:pStyle w:val="23"/>
            </w:pPr>
            <w:r>
              <w:t>奖金足额发放率</w:t>
            </w:r>
          </w:p>
        </w:tc>
        <w:tc>
          <w:tcPr>
            <w:tcW w:w="1276" w:type="dxa"/>
            <w:vAlign w:val="center"/>
          </w:tcPr>
          <w:p>
            <w:pPr>
              <w:pStyle w:val="23"/>
            </w:pPr>
            <w:r>
              <w:t>≥90百分比</w:t>
            </w:r>
          </w:p>
        </w:tc>
        <w:tc>
          <w:tcPr>
            <w:tcW w:w="1843" w:type="dxa"/>
            <w:vAlign w:val="center"/>
          </w:tcPr>
          <w:p>
            <w:pPr>
              <w:pStyle w:val="23"/>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≤70万元</w:t>
            </w:r>
          </w:p>
        </w:tc>
        <w:tc>
          <w:tcPr>
            <w:tcW w:w="1843" w:type="dxa"/>
            <w:vAlign w:val="center"/>
          </w:tcPr>
          <w:p>
            <w:pPr>
              <w:pStyle w:val="23"/>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优秀干部满意率</w:t>
            </w:r>
          </w:p>
        </w:tc>
        <w:tc>
          <w:tcPr>
            <w:tcW w:w="2891" w:type="dxa"/>
            <w:vAlign w:val="center"/>
          </w:tcPr>
          <w:p>
            <w:pPr>
              <w:pStyle w:val="23"/>
            </w:pPr>
            <w:r>
              <w:t>优秀干部对提供各种政务等服务的满意程度</w:t>
            </w:r>
          </w:p>
        </w:tc>
        <w:tc>
          <w:tcPr>
            <w:tcW w:w="1276" w:type="dxa"/>
            <w:vAlign w:val="center"/>
          </w:tcPr>
          <w:p>
            <w:pPr>
              <w:pStyle w:val="23"/>
            </w:pPr>
            <w:r>
              <w:t>≥90百分比</w:t>
            </w:r>
          </w:p>
        </w:tc>
        <w:tc>
          <w:tcPr>
            <w:tcW w:w="1843" w:type="dxa"/>
            <w:vAlign w:val="center"/>
          </w:tcPr>
          <w:p>
            <w:pPr>
              <w:pStyle w:val="23"/>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受益对象满意度(%)</w:t>
            </w:r>
          </w:p>
        </w:tc>
        <w:tc>
          <w:tcPr>
            <w:tcW w:w="2891" w:type="dxa"/>
            <w:vAlign w:val="center"/>
          </w:tcPr>
          <w:p>
            <w:pPr>
              <w:pStyle w:val="23"/>
            </w:pPr>
            <w:r>
              <w:t>通过问卷调查，满意和较满意的受益对象占全部调研对象的比例</w:t>
            </w:r>
          </w:p>
        </w:tc>
        <w:tc>
          <w:tcPr>
            <w:tcW w:w="1276" w:type="dxa"/>
            <w:vAlign w:val="center"/>
          </w:tcPr>
          <w:p>
            <w:pPr>
              <w:pStyle w:val="23"/>
            </w:pPr>
            <w:r>
              <w:t>≥90百分比</w:t>
            </w:r>
          </w:p>
        </w:tc>
        <w:tc>
          <w:tcPr>
            <w:tcW w:w="1843" w:type="dxa"/>
            <w:vAlign w:val="center"/>
          </w:tcPr>
          <w:p>
            <w:pPr>
              <w:pStyle w:val="23"/>
            </w:pPr>
            <w:r>
              <w:t>涞办字〔2018〕74号文件</w:t>
            </w:r>
          </w:p>
        </w:tc>
      </w:tr>
    </w:tbl>
    <w:p>
      <w:pPr>
        <w:sectPr>
          <w:pgSz w:w="16840" w:h="11900" w:orient="landscape"/>
          <w:pgMar w:top="1304" w:right="1984" w:bottom="1304" w:left="1134" w:header="720" w:footer="720" w:gutter="0"/>
          <w:cols w:space="720" w:num="1"/>
        </w:sectPr>
      </w:pPr>
    </w:p>
    <w:p>
      <w:pPr>
        <w:jc w:val="center"/>
      </w:pPr>
    </w:p>
    <w:p>
      <w:pPr>
        <w:outlineLvl w:val="3"/>
      </w:pPr>
      <w:bookmarkStart w:id="22" w:name="_Toc_4_4_0000000026"/>
      <w:r>
        <w:rPr>
          <w:rFonts w:ascii="方正仿宋_GBK" w:hAnsi="方正仿宋_GBK" w:eastAsia="方正仿宋_GBK" w:cs="方正仿宋_GBK"/>
          <w:color w:val="000000"/>
          <w:sz w:val="28"/>
        </w:rPr>
        <w:t>23.云视频工作经费绩效目标表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1.提高办公效率，节约会议成本，高清视频会议系统运维服务</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临时会议保障率</w:t>
            </w:r>
          </w:p>
          <w:p>
            <w:pPr>
              <w:pStyle w:val="23"/>
            </w:pPr>
          </w:p>
          <w:p>
            <w:pPr>
              <w:pStyle w:val="23"/>
            </w:pPr>
          </w:p>
        </w:tc>
        <w:tc>
          <w:tcPr>
            <w:tcW w:w="2891" w:type="dxa"/>
            <w:vAlign w:val="center"/>
          </w:tcPr>
          <w:p>
            <w:pPr>
              <w:pStyle w:val="23"/>
            </w:pPr>
            <w:r>
              <w:t>临时会议保障率</w:t>
            </w:r>
          </w:p>
          <w:p>
            <w:pPr>
              <w:pStyle w:val="23"/>
            </w:pPr>
          </w:p>
          <w:p>
            <w:pPr>
              <w:pStyle w:val="23"/>
            </w:pPr>
          </w:p>
        </w:tc>
        <w:tc>
          <w:tcPr>
            <w:tcW w:w="1276" w:type="dxa"/>
            <w:vAlign w:val="center"/>
          </w:tcPr>
          <w:p>
            <w:pPr>
              <w:pStyle w:val="23"/>
            </w:pPr>
            <w:r>
              <w:t>≥80百分比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会议效果良好率</w:t>
            </w:r>
          </w:p>
        </w:tc>
        <w:tc>
          <w:tcPr>
            <w:tcW w:w="2891" w:type="dxa"/>
            <w:vAlign w:val="center"/>
          </w:tcPr>
          <w:p>
            <w:pPr>
              <w:pStyle w:val="23"/>
            </w:pPr>
            <w:r>
              <w:t>会议效果良好率</w:t>
            </w:r>
          </w:p>
        </w:tc>
        <w:tc>
          <w:tcPr>
            <w:tcW w:w="1276" w:type="dxa"/>
            <w:vAlign w:val="center"/>
          </w:tcPr>
          <w:p>
            <w:pPr>
              <w:pStyle w:val="23"/>
            </w:pPr>
            <w:r>
              <w:t>≥95百分比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电视电话会议召开时长</w:t>
            </w:r>
          </w:p>
        </w:tc>
        <w:tc>
          <w:tcPr>
            <w:tcW w:w="2891" w:type="dxa"/>
            <w:vAlign w:val="center"/>
          </w:tcPr>
          <w:p>
            <w:pPr>
              <w:pStyle w:val="23"/>
            </w:pPr>
            <w:r>
              <w:t>电视电话会议召开时长</w:t>
            </w:r>
          </w:p>
        </w:tc>
        <w:tc>
          <w:tcPr>
            <w:tcW w:w="1276" w:type="dxa"/>
            <w:vAlign w:val="center"/>
          </w:tcPr>
          <w:p>
            <w:pPr>
              <w:pStyle w:val="23"/>
            </w:pPr>
            <w:r>
              <w:t>小时/次</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≤0.84万元</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新闻传播力与社会影响力</w:t>
            </w:r>
          </w:p>
        </w:tc>
        <w:tc>
          <w:tcPr>
            <w:tcW w:w="2891" w:type="dxa"/>
            <w:vAlign w:val="center"/>
          </w:tcPr>
          <w:p>
            <w:pPr>
              <w:pStyle w:val="23"/>
            </w:pPr>
            <w:r>
              <w:t>新闻传播力与社会影响力</w:t>
            </w:r>
          </w:p>
        </w:tc>
        <w:tc>
          <w:tcPr>
            <w:tcW w:w="1276" w:type="dxa"/>
            <w:vAlign w:val="center"/>
          </w:tcPr>
          <w:p>
            <w:pPr>
              <w:pStyle w:val="23"/>
            </w:pPr>
            <w:r>
              <w:t>≥95百分比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社会公众或服务对象的满意程度</w:t>
            </w:r>
          </w:p>
          <w:p>
            <w:pPr>
              <w:pStyle w:val="23"/>
            </w:pPr>
          </w:p>
        </w:tc>
        <w:tc>
          <w:tcPr>
            <w:tcW w:w="2891" w:type="dxa"/>
            <w:vAlign w:val="center"/>
          </w:tcPr>
          <w:p>
            <w:pPr>
              <w:pStyle w:val="23"/>
            </w:pPr>
            <w:r>
              <w:t>社会公众或服务对象的满意程度</w:t>
            </w:r>
          </w:p>
          <w:p>
            <w:pPr>
              <w:pStyle w:val="23"/>
            </w:pPr>
          </w:p>
          <w:p>
            <w:pPr>
              <w:pStyle w:val="23"/>
            </w:pPr>
          </w:p>
        </w:tc>
        <w:tc>
          <w:tcPr>
            <w:tcW w:w="1276" w:type="dxa"/>
            <w:vAlign w:val="center"/>
          </w:tcPr>
          <w:p>
            <w:pPr>
              <w:pStyle w:val="23"/>
            </w:pPr>
            <w:r>
              <w:t>≥95百分比</w:t>
            </w:r>
          </w:p>
        </w:tc>
        <w:tc>
          <w:tcPr>
            <w:tcW w:w="1843" w:type="dxa"/>
            <w:vAlign w:val="center"/>
          </w:tcPr>
          <w:p>
            <w:pPr>
              <w:pStyle w:val="23"/>
            </w:pPr>
            <w: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23" w:name="_Toc_4_4_0000000027"/>
      <w:r>
        <w:rPr>
          <w:rFonts w:ascii="方正仿宋_GBK" w:hAnsi="方正仿宋_GBK" w:eastAsia="方正仿宋_GBK" w:cs="方正仿宋_GBK"/>
          <w:color w:val="000000"/>
          <w:sz w:val="28"/>
        </w:rPr>
        <w:t>24.重点工作大督查经费绩效目标表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pPr>
            <w:r>
              <w:t>1.建立督查调度指挥室，改善督查方法，加大督查工作力度，对发现问题一盯到底并督促解决到位，不断提高督查质量水平，在加强领导班子和干部队伍建设方面发挥积极作用，努力打造一支政治过硬、业务精通、作风优良的大督查队伍。</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完成信访督查工作的次数</w:t>
            </w:r>
          </w:p>
        </w:tc>
        <w:tc>
          <w:tcPr>
            <w:tcW w:w="2891" w:type="dxa"/>
            <w:vAlign w:val="center"/>
          </w:tcPr>
          <w:p>
            <w:pPr>
              <w:pStyle w:val="23"/>
            </w:pPr>
            <w:r>
              <w:t>完成信访督查工作的次数</w:t>
            </w:r>
          </w:p>
        </w:tc>
        <w:tc>
          <w:tcPr>
            <w:tcW w:w="1276" w:type="dxa"/>
            <w:vAlign w:val="center"/>
          </w:tcPr>
          <w:p>
            <w:pPr>
              <w:pStyle w:val="23"/>
            </w:pPr>
            <w:r>
              <w:t>≥10次数</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大督查工作完成的时效</w:t>
            </w:r>
          </w:p>
          <w:p>
            <w:pPr>
              <w:pStyle w:val="23"/>
            </w:pPr>
          </w:p>
          <w:p>
            <w:pPr>
              <w:pStyle w:val="23"/>
            </w:pPr>
          </w:p>
        </w:tc>
        <w:tc>
          <w:tcPr>
            <w:tcW w:w="2891" w:type="dxa"/>
            <w:vAlign w:val="center"/>
          </w:tcPr>
          <w:p>
            <w:pPr>
              <w:pStyle w:val="23"/>
            </w:pPr>
            <w:r>
              <w:t>大督查工作完成的时效</w:t>
            </w:r>
          </w:p>
          <w:p>
            <w:pPr>
              <w:pStyle w:val="23"/>
            </w:pPr>
          </w:p>
          <w:p>
            <w:pPr>
              <w:pStyle w:val="23"/>
            </w:pPr>
          </w:p>
        </w:tc>
        <w:tc>
          <w:tcPr>
            <w:tcW w:w="1276" w:type="dxa"/>
            <w:vAlign w:val="center"/>
          </w:tcPr>
          <w:p>
            <w:pPr>
              <w:pStyle w:val="23"/>
            </w:pPr>
            <w:r>
              <w:t>是否及时</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督查工作完成率</w:t>
            </w:r>
          </w:p>
        </w:tc>
        <w:tc>
          <w:tcPr>
            <w:tcW w:w="2891" w:type="dxa"/>
            <w:vAlign w:val="center"/>
          </w:tcPr>
          <w:p>
            <w:pPr>
              <w:pStyle w:val="23"/>
            </w:pPr>
            <w:r>
              <w:t>督查工作完成率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≤4万元</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任务完成率</w:t>
            </w:r>
          </w:p>
        </w:tc>
        <w:tc>
          <w:tcPr>
            <w:tcW w:w="2891" w:type="dxa"/>
            <w:vAlign w:val="center"/>
          </w:tcPr>
          <w:p>
            <w:pPr>
              <w:pStyle w:val="23"/>
            </w:pPr>
            <w:r>
              <w:t>有效推动整改工作开展，加大整改落实督查任务完成率</w:t>
            </w:r>
          </w:p>
        </w:tc>
        <w:tc>
          <w:tcPr>
            <w:tcW w:w="1276" w:type="dxa"/>
            <w:vAlign w:val="center"/>
          </w:tcPr>
          <w:p>
            <w:pPr>
              <w:pStyle w:val="23"/>
            </w:pPr>
            <w:r>
              <w:t>≥90百分比</w:t>
            </w:r>
          </w:p>
        </w:tc>
        <w:tc>
          <w:tcPr>
            <w:tcW w:w="1843"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群众满意率</w:t>
            </w:r>
          </w:p>
        </w:tc>
        <w:tc>
          <w:tcPr>
            <w:tcW w:w="2891" w:type="dxa"/>
            <w:vAlign w:val="center"/>
          </w:tcPr>
          <w:p>
            <w:pPr>
              <w:pStyle w:val="23"/>
            </w:pPr>
            <w:r>
              <w:t>群众对提供各种政务等服务的满意程度</w:t>
            </w:r>
          </w:p>
        </w:tc>
        <w:tc>
          <w:tcPr>
            <w:tcW w:w="1276" w:type="dxa"/>
            <w:vAlign w:val="center"/>
          </w:tcPr>
          <w:p>
            <w:pPr>
              <w:pStyle w:val="23"/>
            </w:pPr>
            <w:r>
              <w:t>≥90百分比</w:t>
            </w:r>
          </w:p>
        </w:tc>
        <w:tc>
          <w:tcPr>
            <w:tcW w:w="1843"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rPr>
          <w:rFonts w:ascii="方正仿宋_GBK" w:hAnsi="方正仿宋_GBK" w:eastAsia="方正仿宋_GBK" w:cs="方正仿宋_GBK"/>
          <w:color w:val="000000"/>
          <w:sz w:val="28"/>
        </w:rPr>
      </w:pPr>
      <w:bookmarkStart w:id="24" w:name="_Toc_4_4_0000000028"/>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hint="eastAsia" w:ascii="方正仿宋_GBK" w:hAnsi="方正仿宋_GBK" w:cs="方正仿宋_GBK" w:eastAsiaTheme="minorEastAsia"/>
          <w:color w:val="000000"/>
          <w:sz w:val="28"/>
          <w:lang w:eastAsia="zh-CN"/>
        </w:rPr>
      </w:pPr>
    </w:p>
    <w:p>
      <w:pPr>
        <w:outlineLvl w:val="3"/>
        <w:rPr>
          <w:rFonts w:hint="eastAsia" w:ascii="方正仿宋_GBK" w:hAnsi="方正仿宋_GBK" w:cs="方正仿宋_GBK" w:eastAsiaTheme="minorEastAsia"/>
          <w:color w:val="000000"/>
          <w:sz w:val="28"/>
          <w:lang w:eastAsia="zh-CN"/>
        </w:rPr>
      </w:pPr>
    </w:p>
    <w:p>
      <w:pPr>
        <w:outlineLvl w:val="3"/>
        <w:rPr>
          <w:rFonts w:hint="eastAsia" w:ascii="方正仿宋_GBK" w:hAnsi="方正仿宋_GBK" w:cs="方正仿宋_GBK" w:eastAsiaTheme="minorEastAsia"/>
          <w:color w:val="000000"/>
          <w:sz w:val="28"/>
          <w:lang w:eastAsia="zh-CN"/>
        </w:rPr>
      </w:pPr>
    </w:p>
    <w:p>
      <w:pPr>
        <w:outlineLvl w:val="3"/>
        <w:rPr>
          <w:rFonts w:hint="eastAsia" w:ascii="方正仿宋_GBK" w:hAnsi="方正仿宋_GBK" w:cs="方正仿宋_GBK" w:eastAsiaTheme="minorEastAsia"/>
          <w:color w:val="000000"/>
          <w:sz w:val="28"/>
          <w:lang w:eastAsia="zh-CN"/>
        </w:rPr>
      </w:pPr>
    </w:p>
    <w:p>
      <w:pPr>
        <w:outlineLvl w:val="3"/>
      </w:pPr>
      <w:r>
        <w:rPr>
          <w:rFonts w:ascii="方正仿宋_GBK" w:hAnsi="方正仿宋_GBK" w:eastAsia="方正仿宋_GBK" w:cs="方正仿宋_GBK"/>
          <w:color w:val="000000"/>
          <w:sz w:val="28"/>
        </w:rPr>
        <w:t>25.驻村工作经费绩效目标表</w:t>
      </w:r>
      <w:bookmarkEnd w:id="2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3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121" w:type="dxa"/>
            <w:gridSpan w:val="2"/>
            <w:vAlign w:val="center"/>
          </w:tcPr>
          <w:p>
            <w:pPr>
              <w:pStyle w:val="23"/>
            </w:pPr>
            <w:r>
              <w:t>1.改善驻村干部工作生活条件，使驻村干部更好的投入</w:t>
            </w:r>
            <w:r>
              <w:rPr>
                <w:rFonts w:hint="eastAsia"/>
                <w:lang w:val="en-US" w:eastAsia="zh-CN"/>
              </w:rPr>
              <w:t>脱贫攻坚</w:t>
            </w:r>
            <w:r>
              <w:t>任务工作中，加快脱贫攻坚步伐规范专项工作经费使用管理。</w:t>
            </w:r>
          </w:p>
          <w:p>
            <w:pPr>
              <w:pStyle w:val="23"/>
            </w:pPr>
          </w:p>
        </w:tc>
      </w:tr>
    </w:tbl>
    <w:p>
      <w:pPr>
        <w:spacing w:line="2" w:lineRule="exact"/>
        <w:jc w:val="center"/>
      </w:pPr>
    </w:p>
    <w:tbl>
      <w:tblPr>
        <w:tblStyle w:val="13"/>
        <w:tblW w:w="10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68"/>
        <w:gridCol w:w="1276"/>
        <w:gridCol w:w="2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368" w:type="dxa"/>
            <w:vAlign w:val="center"/>
          </w:tcPr>
          <w:p>
            <w:pPr>
              <w:pStyle w:val="21"/>
            </w:pPr>
            <w:r>
              <w:t>绩效指标描述</w:t>
            </w:r>
          </w:p>
        </w:tc>
        <w:tc>
          <w:tcPr>
            <w:tcW w:w="1276" w:type="dxa"/>
            <w:vAlign w:val="center"/>
          </w:tcPr>
          <w:p>
            <w:pPr>
              <w:pStyle w:val="21"/>
            </w:pPr>
            <w:r>
              <w:t>指标值</w:t>
            </w:r>
          </w:p>
        </w:tc>
        <w:tc>
          <w:tcPr>
            <w:tcW w:w="2842"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质量指标</w:t>
            </w:r>
          </w:p>
        </w:tc>
        <w:tc>
          <w:tcPr>
            <w:tcW w:w="1332" w:type="dxa"/>
            <w:vAlign w:val="center"/>
          </w:tcPr>
          <w:p>
            <w:pPr>
              <w:pStyle w:val="23"/>
            </w:pPr>
            <w:r>
              <w:t>驻村干部素质提高率</w:t>
            </w:r>
          </w:p>
        </w:tc>
        <w:tc>
          <w:tcPr>
            <w:tcW w:w="2368" w:type="dxa"/>
            <w:vAlign w:val="center"/>
          </w:tcPr>
          <w:p>
            <w:pPr>
              <w:pStyle w:val="23"/>
            </w:pPr>
            <w:r>
              <w:t>驻村干部</w:t>
            </w:r>
            <w:r>
              <w:rPr>
                <w:rFonts w:hint="eastAsia"/>
                <w:lang w:val="en-US" w:eastAsia="zh-CN"/>
              </w:rPr>
              <w:t>脱贫攻坚</w:t>
            </w:r>
            <w:r>
              <w:t>任务工作提高率</w:t>
            </w:r>
          </w:p>
        </w:tc>
        <w:tc>
          <w:tcPr>
            <w:tcW w:w="1276" w:type="dxa"/>
            <w:vAlign w:val="center"/>
          </w:tcPr>
          <w:p>
            <w:pPr>
              <w:pStyle w:val="23"/>
            </w:pPr>
            <w:r>
              <w:t>≥95百分比</w:t>
            </w:r>
          </w:p>
        </w:tc>
        <w:tc>
          <w:tcPr>
            <w:tcW w:w="2842" w:type="dxa"/>
            <w:vAlign w:val="center"/>
          </w:tcPr>
          <w:p>
            <w:pPr>
              <w:pStyle w:val="23"/>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数量指标</w:t>
            </w:r>
          </w:p>
        </w:tc>
        <w:tc>
          <w:tcPr>
            <w:tcW w:w="1332" w:type="dxa"/>
            <w:vAlign w:val="center"/>
          </w:tcPr>
          <w:p>
            <w:pPr>
              <w:pStyle w:val="23"/>
            </w:pPr>
            <w:r>
              <w:t>制作宣传展板的数量</w:t>
            </w:r>
          </w:p>
        </w:tc>
        <w:tc>
          <w:tcPr>
            <w:tcW w:w="2368" w:type="dxa"/>
            <w:vAlign w:val="center"/>
          </w:tcPr>
          <w:p>
            <w:pPr>
              <w:pStyle w:val="23"/>
            </w:pPr>
            <w:r>
              <w:t>驻村工作制作宣传工作展板的个数</w:t>
            </w:r>
          </w:p>
        </w:tc>
        <w:tc>
          <w:tcPr>
            <w:tcW w:w="1276" w:type="dxa"/>
            <w:vAlign w:val="center"/>
          </w:tcPr>
          <w:p>
            <w:pPr>
              <w:pStyle w:val="23"/>
            </w:pPr>
            <w:r>
              <w:t>≥30个</w:t>
            </w:r>
          </w:p>
        </w:tc>
        <w:tc>
          <w:tcPr>
            <w:tcW w:w="2842" w:type="dxa"/>
            <w:vAlign w:val="center"/>
          </w:tcPr>
          <w:p>
            <w:pPr>
              <w:pStyle w:val="23"/>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开展工作时效性</w:t>
            </w:r>
          </w:p>
          <w:p>
            <w:pPr>
              <w:pStyle w:val="23"/>
            </w:pPr>
          </w:p>
          <w:p>
            <w:pPr>
              <w:pStyle w:val="23"/>
            </w:pPr>
          </w:p>
        </w:tc>
        <w:tc>
          <w:tcPr>
            <w:tcW w:w="2368" w:type="dxa"/>
            <w:vAlign w:val="center"/>
          </w:tcPr>
          <w:p>
            <w:pPr>
              <w:pStyle w:val="23"/>
            </w:pPr>
            <w:r>
              <w:t>开展工作时效性</w:t>
            </w:r>
          </w:p>
          <w:p>
            <w:pPr>
              <w:pStyle w:val="23"/>
            </w:pPr>
          </w:p>
          <w:p>
            <w:pPr>
              <w:pStyle w:val="23"/>
            </w:pPr>
          </w:p>
        </w:tc>
        <w:tc>
          <w:tcPr>
            <w:tcW w:w="1276" w:type="dxa"/>
            <w:vAlign w:val="center"/>
          </w:tcPr>
          <w:p>
            <w:pPr>
              <w:pStyle w:val="23"/>
            </w:pPr>
            <w:r>
              <w:t>是否及时</w:t>
            </w:r>
          </w:p>
        </w:tc>
        <w:tc>
          <w:tcPr>
            <w:tcW w:w="2842" w:type="dxa"/>
            <w:vAlign w:val="center"/>
          </w:tcPr>
          <w:p>
            <w:pPr>
              <w:pStyle w:val="23"/>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368" w:type="dxa"/>
            <w:vAlign w:val="center"/>
          </w:tcPr>
          <w:p>
            <w:pPr>
              <w:pStyle w:val="23"/>
            </w:pPr>
            <w:r>
              <w:t>预算控制数</w:t>
            </w:r>
          </w:p>
        </w:tc>
        <w:tc>
          <w:tcPr>
            <w:tcW w:w="1276" w:type="dxa"/>
            <w:vAlign w:val="center"/>
          </w:tcPr>
          <w:p>
            <w:pPr>
              <w:pStyle w:val="23"/>
            </w:pPr>
            <w:r>
              <w:t>≤17万元</w:t>
            </w:r>
          </w:p>
        </w:tc>
        <w:tc>
          <w:tcPr>
            <w:tcW w:w="2842" w:type="dxa"/>
            <w:vAlign w:val="center"/>
          </w:tcPr>
          <w:p>
            <w:pPr>
              <w:pStyle w:val="23"/>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驻村工作效率提高率</w:t>
            </w:r>
          </w:p>
        </w:tc>
        <w:tc>
          <w:tcPr>
            <w:tcW w:w="2368" w:type="dxa"/>
            <w:vAlign w:val="center"/>
          </w:tcPr>
          <w:p>
            <w:pPr>
              <w:pStyle w:val="23"/>
            </w:pPr>
            <w:r>
              <w:t>驻村工作效率提高率</w:t>
            </w:r>
          </w:p>
        </w:tc>
        <w:tc>
          <w:tcPr>
            <w:tcW w:w="1276" w:type="dxa"/>
            <w:vAlign w:val="center"/>
          </w:tcPr>
          <w:p>
            <w:pPr>
              <w:pStyle w:val="23"/>
            </w:pPr>
            <w:r>
              <w:t>≥95百分比</w:t>
            </w:r>
          </w:p>
        </w:tc>
        <w:tc>
          <w:tcPr>
            <w:tcW w:w="2842" w:type="dxa"/>
            <w:vAlign w:val="center"/>
          </w:tcPr>
          <w:p>
            <w:pPr>
              <w:pStyle w:val="23"/>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群众满意度</w:t>
            </w:r>
          </w:p>
        </w:tc>
        <w:tc>
          <w:tcPr>
            <w:tcW w:w="2368" w:type="dxa"/>
            <w:vAlign w:val="center"/>
          </w:tcPr>
          <w:p>
            <w:pPr>
              <w:pStyle w:val="23"/>
            </w:pPr>
            <w:r>
              <w:t>通过问卷调查,满意和较满意的受益对象占全部调研对象的比率.</w:t>
            </w:r>
          </w:p>
        </w:tc>
        <w:tc>
          <w:tcPr>
            <w:tcW w:w="1276" w:type="dxa"/>
            <w:vAlign w:val="center"/>
          </w:tcPr>
          <w:p>
            <w:pPr>
              <w:pStyle w:val="23"/>
            </w:pPr>
            <w:r>
              <w:t>≥95百分比</w:t>
            </w:r>
          </w:p>
        </w:tc>
        <w:tc>
          <w:tcPr>
            <w:tcW w:w="2842" w:type="dxa"/>
            <w:vAlign w:val="center"/>
          </w:tcPr>
          <w:p>
            <w:pPr>
              <w:pStyle w:val="23"/>
            </w:pPr>
            <w:r>
              <w:t>省委办公厅《关于向重点乡村持续选派驻村第一书记和工作队的实施意见》</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rPr>
        <w:sectPr>
          <w:type w:val="continuous"/>
          <w:pgSz w:w="16840" w:h="11900" w:orient="landscape"/>
          <w:pgMar w:top="1134" w:right="1021" w:bottom="1361" w:left="1021" w:header="720" w:footer="720" w:gutter="0"/>
          <w:cols w:space="720" w:num="1"/>
          <w:docGrid w:linePitch="326" w:charSpace="0"/>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60" w:lineRule="exact"/>
        <w:ind w:firstLine="640" w:firstLineChars="200"/>
        <w:rPr>
          <w:rFonts w:ascii="仿宋" w:hAnsi="仿宋" w:eastAsia="仿宋" w:cs="仿宋"/>
          <w:bCs/>
          <w:sz w:val="32"/>
          <w:szCs w:val="32"/>
          <w:lang w:eastAsia="zh-CN"/>
        </w:rPr>
      </w:pPr>
      <w:r>
        <w:rPr>
          <w:rFonts w:hint="eastAsia" w:ascii="仿宋" w:hAnsi="仿宋" w:eastAsia="仿宋" w:cs="仿宋"/>
          <w:bCs/>
          <w:sz w:val="32"/>
          <w:szCs w:val="32"/>
        </w:rPr>
        <w:t>2022年我单位</w:t>
      </w:r>
      <w:r>
        <w:rPr>
          <w:rFonts w:hint="eastAsia" w:ascii="仿宋" w:hAnsi="仿宋" w:eastAsia="仿宋" w:cs="仿宋"/>
          <w:bCs/>
          <w:sz w:val="32"/>
          <w:szCs w:val="32"/>
          <w:lang w:eastAsia="zh-CN"/>
        </w:rPr>
        <w:t>没有安排</w:t>
      </w:r>
      <w:r>
        <w:rPr>
          <w:rFonts w:hint="eastAsia" w:ascii="仿宋" w:hAnsi="仿宋" w:eastAsia="仿宋" w:cs="仿宋"/>
          <w:bCs/>
          <w:sz w:val="32"/>
          <w:szCs w:val="32"/>
        </w:rPr>
        <w:t>政府采购预算，空表列示。</w:t>
      </w:r>
    </w:p>
    <w:p>
      <w:pPr>
        <w:jc w:val="center"/>
      </w:pPr>
      <w:r>
        <w:rPr>
          <w:rFonts w:hint="eastAsia" w:ascii="方正小标宋_GBK" w:hAnsi="方正小标宋_GBK" w:eastAsia="方正小标宋_GBK" w:cs="方正小标宋_GBK"/>
          <w:color w:val="000000"/>
          <w:sz w:val="36"/>
        </w:rPr>
        <w:t>单位政府采购预算</w:t>
      </w:r>
    </w:p>
    <w:tbl>
      <w:tblPr>
        <w:tblStyle w:val="13"/>
        <w:tblW w:w="14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888"/>
        <w:gridCol w:w="1044"/>
        <w:gridCol w:w="1044"/>
        <w:gridCol w:w="653"/>
        <w:gridCol w:w="783"/>
        <w:gridCol w:w="786"/>
        <w:gridCol w:w="888"/>
        <w:gridCol w:w="888"/>
        <w:gridCol w:w="888"/>
        <w:gridCol w:w="888"/>
        <w:gridCol w:w="888"/>
        <w:gridCol w:w="888"/>
        <w:gridCol w:w="888"/>
        <w:gridCol w:w="890"/>
        <w:gridCol w:w="8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5" w:hRule="atLeast"/>
          <w:tblHeader/>
          <w:jc w:val="center"/>
        </w:trPr>
        <w:tc>
          <w:tcPr>
            <w:tcW w:w="6765" w:type="dxa"/>
            <w:gridSpan w:val="7"/>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7994" w:type="dxa"/>
            <w:gridSpan w:val="9"/>
            <w:tcBorders>
              <w:top w:val="single" w:color="FFFFFF" w:sz="6" w:space="0"/>
              <w:left w:val="single" w:color="FFFFFF" w:sz="6" w:space="0"/>
              <w:right w:val="single" w:color="FFFFFF" w:sz="6" w:space="0"/>
            </w:tcBorders>
            <w:vAlign w:val="center"/>
          </w:tcPr>
          <w:p>
            <w:pPr>
              <w:pStyle w:val="35"/>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tblHeader/>
          <w:jc w:val="center"/>
        </w:trPr>
        <w:tc>
          <w:tcPr>
            <w:tcW w:w="2455" w:type="dxa"/>
            <w:gridSpan w:val="2"/>
            <w:vAlign w:val="center"/>
          </w:tcPr>
          <w:p>
            <w:pPr>
              <w:pStyle w:val="21"/>
            </w:pPr>
            <w:r>
              <w:rPr>
                <w:rFonts w:hint="eastAsia"/>
              </w:rPr>
              <w:t>政府采购项目来源</w:t>
            </w:r>
          </w:p>
        </w:tc>
        <w:tc>
          <w:tcPr>
            <w:tcW w:w="1044" w:type="dxa"/>
            <w:vMerge w:val="restart"/>
            <w:vAlign w:val="center"/>
          </w:tcPr>
          <w:p>
            <w:pPr>
              <w:pStyle w:val="21"/>
            </w:pPr>
            <w:r>
              <w:rPr>
                <w:rFonts w:hint="eastAsia"/>
              </w:rPr>
              <w:t>采购物品名称</w:t>
            </w:r>
          </w:p>
        </w:tc>
        <w:tc>
          <w:tcPr>
            <w:tcW w:w="1044" w:type="dxa"/>
            <w:vMerge w:val="restart"/>
            <w:vAlign w:val="center"/>
          </w:tcPr>
          <w:p>
            <w:pPr>
              <w:pStyle w:val="21"/>
            </w:pPr>
            <w:r>
              <w:rPr>
                <w:rFonts w:hint="eastAsia"/>
              </w:rPr>
              <w:t>政府采购目录序号</w:t>
            </w:r>
          </w:p>
        </w:tc>
        <w:tc>
          <w:tcPr>
            <w:tcW w:w="653" w:type="dxa"/>
            <w:vMerge w:val="restart"/>
            <w:vAlign w:val="center"/>
          </w:tcPr>
          <w:p>
            <w:pPr>
              <w:pStyle w:val="21"/>
            </w:pPr>
            <w:r>
              <w:rPr>
                <w:rFonts w:hint="eastAsia"/>
              </w:rPr>
              <w:t>计量单位</w:t>
            </w:r>
          </w:p>
        </w:tc>
        <w:tc>
          <w:tcPr>
            <w:tcW w:w="783" w:type="dxa"/>
            <w:vMerge w:val="restart"/>
            <w:vAlign w:val="center"/>
          </w:tcPr>
          <w:p>
            <w:pPr>
              <w:pStyle w:val="21"/>
            </w:pPr>
            <w:r>
              <w:rPr>
                <w:rFonts w:hint="eastAsia"/>
              </w:rPr>
              <w:t>数量</w:t>
            </w:r>
          </w:p>
        </w:tc>
        <w:tc>
          <w:tcPr>
            <w:tcW w:w="786" w:type="dxa"/>
            <w:vMerge w:val="restart"/>
            <w:vAlign w:val="center"/>
          </w:tcPr>
          <w:p>
            <w:pPr>
              <w:pStyle w:val="21"/>
            </w:pPr>
            <w:r>
              <w:rPr>
                <w:rFonts w:hint="eastAsia"/>
              </w:rPr>
              <w:t>单价</w:t>
            </w:r>
          </w:p>
        </w:tc>
        <w:tc>
          <w:tcPr>
            <w:tcW w:w="7106" w:type="dxa"/>
            <w:gridSpan w:val="8"/>
            <w:vAlign w:val="center"/>
          </w:tcPr>
          <w:p>
            <w:pPr>
              <w:pStyle w:val="21"/>
            </w:pPr>
            <w:r>
              <w:rPr>
                <w:rFonts w:hint="eastAsia"/>
              </w:rPr>
              <w:t>政府采购金额（当年部门预算安排资金）</w:t>
            </w:r>
          </w:p>
        </w:tc>
        <w:tc>
          <w:tcPr>
            <w:tcW w:w="888" w:type="dxa"/>
            <w:vMerge w:val="restart"/>
            <w:vAlign w:val="center"/>
          </w:tcPr>
          <w:p>
            <w:pPr>
              <w:pStyle w:val="21"/>
            </w:pPr>
            <w:r>
              <w:t>2022</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tblHeader/>
          <w:jc w:val="center"/>
        </w:trPr>
        <w:tc>
          <w:tcPr>
            <w:tcW w:w="1567" w:type="dxa"/>
            <w:vAlign w:val="center"/>
          </w:tcPr>
          <w:p>
            <w:pPr>
              <w:pStyle w:val="21"/>
            </w:pPr>
            <w:r>
              <w:rPr>
                <w:rFonts w:hint="eastAsia"/>
              </w:rPr>
              <w:t>项目名称</w:t>
            </w:r>
          </w:p>
        </w:tc>
        <w:tc>
          <w:tcPr>
            <w:tcW w:w="888" w:type="dxa"/>
            <w:vAlign w:val="center"/>
          </w:tcPr>
          <w:p>
            <w:pPr>
              <w:pStyle w:val="21"/>
            </w:pPr>
            <w:r>
              <w:rPr>
                <w:rFonts w:hint="eastAsia"/>
              </w:rPr>
              <w:t>预算资金</w:t>
            </w:r>
          </w:p>
        </w:tc>
        <w:tc>
          <w:tcPr>
            <w:tcW w:w="1044" w:type="dxa"/>
            <w:vMerge w:val="continue"/>
          </w:tcPr>
          <w:p/>
        </w:tc>
        <w:tc>
          <w:tcPr>
            <w:tcW w:w="1044" w:type="dxa"/>
            <w:vMerge w:val="continue"/>
          </w:tcPr>
          <w:p/>
        </w:tc>
        <w:tc>
          <w:tcPr>
            <w:tcW w:w="653" w:type="dxa"/>
            <w:vMerge w:val="continue"/>
          </w:tcPr>
          <w:p/>
        </w:tc>
        <w:tc>
          <w:tcPr>
            <w:tcW w:w="783" w:type="dxa"/>
            <w:vMerge w:val="continue"/>
          </w:tcPr>
          <w:p/>
        </w:tc>
        <w:tc>
          <w:tcPr>
            <w:tcW w:w="786" w:type="dxa"/>
            <w:vMerge w:val="continue"/>
          </w:tcPr>
          <w:p/>
        </w:tc>
        <w:tc>
          <w:tcPr>
            <w:tcW w:w="888" w:type="dxa"/>
            <w:vAlign w:val="center"/>
          </w:tcPr>
          <w:p>
            <w:pPr>
              <w:pStyle w:val="21"/>
            </w:pPr>
            <w:r>
              <w:rPr>
                <w:rFonts w:hint="eastAsia"/>
              </w:rPr>
              <w:t>合计</w:t>
            </w:r>
          </w:p>
        </w:tc>
        <w:tc>
          <w:tcPr>
            <w:tcW w:w="888" w:type="dxa"/>
            <w:vAlign w:val="center"/>
          </w:tcPr>
          <w:p>
            <w:pPr>
              <w:pStyle w:val="21"/>
            </w:pPr>
            <w:r>
              <w:rPr>
                <w:rFonts w:hint="eastAsia"/>
              </w:rPr>
              <w:t>一般公共预算拨款</w:t>
            </w:r>
          </w:p>
        </w:tc>
        <w:tc>
          <w:tcPr>
            <w:tcW w:w="888" w:type="dxa"/>
            <w:vAlign w:val="center"/>
          </w:tcPr>
          <w:p>
            <w:pPr>
              <w:pStyle w:val="21"/>
            </w:pPr>
            <w:r>
              <w:rPr>
                <w:rFonts w:hint="eastAsia"/>
              </w:rPr>
              <w:t>基金预算拨款</w:t>
            </w:r>
          </w:p>
        </w:tc>
        <w:tc>
          <w:tcPr>
            <w:tcW w:w="888" w:type="dxa"/>
            <w:vAlign w:val="center"/>
          </w:tcPr>
          <w:p>
            <w:pPr>
              <w:pStyle w:val="21"/>
            </w:pPr>
            <w:r>
              <w:rPr>
                <w:rFonts w:hint="eastAsia"/>
              </w:rPr>
              <w:t>国有资本经营预算拨款</w:t>
            </w:r>
          </w:p>
        </w:tc>
        <w:tc>
          <w:tcPr>
            <w:tcW w:w="888" w:type="dxa"/>
            <w:vAlign w:val="center"/>
          </w:tcPr>
          <w:p>
            <w:pPr>
              <w:pStyle w:val="21"/>
            </w:pPr>
            <w:r>
              <w:rPr>
                <w:rFonts w:hint="eastAsia"/>
              </w:rPr>
              <w:t>财政专户核拨</w:t>
            </w:r>
          </w:p>
        </w:tc>
        <w:tc>
          <w:tcPr>
            <w:tcW w:w="888" w:type="dxa"/>
            <w:vAlign w:val="center"/>
          </w:tcPr>
          <w:p>
            <w:pPr>
              <w:pStyle w:val="21"/>
            </w:pPr>
            <w:r>
              <w:rPr>
                <w:rFonts w:hint="eastAsia"/>
              </w:rPr>
              <w:t>单位资金</w:t>
            </w:r>
          </w:p>
        </w:tc>
        <w:tc>
          <w:tcPr>
            <w:tcW w:w="888" w:type="dxa"/>
            <w:vAlign w:val="center"/>
          </w:tcPr>
          <w:p>
            <w:pPr>
              <w:pStyle w:val="21"/>
            </w:pPr>
            <w:r>
              <w:rPr>
                <w:rFonts w:hint="eastAsia"/>
              </w:rPr>
              <w:t>财政拨款结转</w:t>
            </w:r>
          </w:p>
        </w:tc>
        <w:tc>
          <w:tcPr>
            <w:tcW w:w="890" w:type="dxa"/>
            <w:vAlign w:val="center"/>
          </w:tcPr>
          <w:p>
            <w:pPr>
              <w:pStyle w:val="21"/>
            </w:pPr>
            <w:r>
              <w:rPr>
                <w:rFonts w:hint="eastAsia"/>
              </w:rPr>
              <w:t>非财政拨款结转结余</w:t>
            </w:r>
          </w:p>
        </w:tc>
        <w:tc>
          <w:tcPr>
            <w:tcW w:w="88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567" w:type="dxa"/>
            <w:vAlign w:val="center"/>
          </w:tcPr>
          <w:p>
            <w:pPr>
              <w:pStyle w:val="23"/>
            </w:pPr>
          </w:p>
        </w:tc>
        <w:tc>
          <w:tcPr>
            <w:tcW w:w="888" w:type="dxa"/>
            <w:vAlign w:val="center"/>
          </w:tcPr>
          <w:p>
            <w:pPr>
              <w:pStyle w:val="22"/>
            </w:pPr>
          </w:p>
        </w:tc>
        <w:tc>
          <w:tcPr>
            <w:tcW w:w="1044" w:type="dxa"/>
            <w:vAlign w:val="center"/>
          </w:tcPr>
          <w:p>
            <w:pPr>
              <w:pStyle w:val="23"/>
            </w:pPr>
          </w:p>
        </w:tc>
        <w:tc>
          <w:tcPr>
            <w:tcW w:w="1044" w:type="dxa"/>
            <w:vAlign w:val="center"/>
          </w:tcPr>
          <w:p>
            <w:pPr>
              <w:pStyle w:val="23"/>
            </w:pPr>
          </w:p>
        </w:tc>
        <w:tc>
          <w:tcPr>
            <w:tcW w:w="653" w:type="dxa"/>
            <w:vAlign w:val="center"/>
          </w:tcPr>
          <w:p>
            <w:pPr>
              <w:pStyle w:val="24"/>
            </w:pPr>
          </w:p>
        </w:tc>
        <w:tc>
          <w:tcPr>
            <w:tcW w:w="783" w:type="dxa"/>
            <w:vAlign w:val="center"/>
          </w:tcPr>
          <w:p>
            <w:pPr>
              <w:pStyle w:val="22"/>
            </w:pPr>
          </w:p>
        </w:tc>
        <w:tc>
          <w:tcPr>
            <w:tcW w:w="786"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90" w:type="dxa"/>
            <w:vAlign w:val="center"/>
          </w:tcPr>
          <w:p>
            <w:pPr>
              <w:pStyle w:val="22"/>
            </w:pPr>
          </w:p>
        </w:tc>
        <w:tc>
          <w:tcPr>
            <w:tcW w:w="888" w:type="dxa"/>
            <w:vAlign w:val="center"/>
          </w:tcPr>
          <w:p>
            <w:pPr>
              <w:pStyle w:val="22"/>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ind w:firstLine="640"/>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641"/>
        <w:rPr>
          <w:rFonts w:ascii="仿宋" w:hAnsi="仿宋" w:eastAsia="仿宋"/>
          <w:sz w:val="32"/>
          <w:szCs w:val="32"/>
        </w:rPr>
      </w:pPr>
      <w:r>
        <w:rPr>
          <w:rFonts w:hint="eastAsia" w:ascii="仿宋" w:hAnsi="仿宋" w:eastAsia="仿宋" w:cs="仿宋"/>
          <w:sz w:val="32"/>
          <w:szCs w:val="32"/>
        </w:rPr>
        <w:t>固定资产总额为85.50万元，主要包括7.7</w:t>
      </w:r>
      <w:r>
        <w:rPr>
          <w:rFonts w:hint="eastAsia" w:ascii="仿宋" w:hAnsi="仿宋" w:eastAsia="仿宋" w:cs="仿宋"/>
          <w:sz w:val="32"/>
          <w:szCs w:val="32"/>
          <w:lang w:eastAsia="zh-CN"/>
        </w:rPr>
        <w:t>0</w:t>
      </w:r>
      <w:r>
        <w:rPr>
          <w:rFonts w:hint="eastAsia" w:ascii="仿宋" w:hAnsi="仿宋" w:eastAsia="仿宋" w:cs="仿宋"/>
          <w:sz w:val="32"/>
          <w:szCs w:val="32"/>
        </w:rPr>
        <w:t>万元车辆一部，30万元大组工网设备，其他固定资产</w:t>
      </w:r>
      <w:r>
        <w:rPr>
          <w:rFonts w:hint="eastAsia" w:ascii="仿宋" w:hAnsi="仿宋" w:eastAsia="仿宋" w:cs="仿宋"/>
          <w:sz w:val="32"/>
          <w:szCs w:val="32"/>
          <w:lang w:eastAsia="zh-CN"/>
        </w:rPr>
        <w:t>47.80</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2022年，我单位无购置固定资产情况。</w:t>
      </w:r>
    </w:p>
    <w:p>
      <w:pPr>
        <w:spacing w:line="560" w:lineRule="exact"/>
        <w:ind w:firstLine="641"/>
        <w:rPr>
          <w:rFonts w:ascii="仿宋" w:hAnsi="仿宋" w:eastAsia="仿宋"/>
          <w:sz w:val="32"/>
          <w:szCs w:val="32"/>
          <w:lang w:eastAsia="zh-CN"/>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截止日期：2021年12月31日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1</w:t>
            </w:r>
            <w:r>
              <w:rPr>
                <w:rFonts w:hint="eastAsia" w:ascii="宋体" w:hAnsi="宋体" w:cs="宋体"/>
                <w:color w:val="000000"/>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color w:val="000000"/>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2</w:t>
            </w:r>
            <w:r>
              <w:rPr>
                <w:rFonts w:hint="eastAsia" w:ascii="宋体" w:hAnsi="宋体" w:cs="宋体"/>
                <w:color w:val="000000"/>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cs="宋体"/>
                <w:sz w:val="28"/>
                <w:szCs w:val="28"/>
                <w:lang w:eastAsia="zh-CN"/>
              </w:rPr>
            </w:pPr>
            <w:r>
              <w:rPr>
                <w:rFonts w:ascii="宋体" w:hAnsi="宋体" w:cs="宋体"/>
                <w:sz w:val="28"/>
                <w:szCs w:val="28"/>
              </w:rPr>
              <w:t>7.7</w:t>
            </w:r>
            <w:r>
              <w:rPr>
                <w:rFonts w:hint="eastAsia" w:ascii="宋体" w:hAnsi="宋体"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3</w:t>
            </w:r>
            <w:r>
              <w:rPr>
                <w:rFonts w:hint="eastAsia" w:ascii="宋体" w:hAnsi="宋体" w:cs="宋体"/>
                <w:color w:val="000000"/>
                <w:sz w:val="28"/>
                <w:szCs w:val="28"/>
              </w:rPr>
              <w:t>、单价在</w:t>
            </w:r>
            <w:r>
              <w:rPr>
                <w:rFonts w:ascii="宋体" w:hAnsi="宋体" w:cs="宋体"/>
                <w:color w:val="000000"/>
                <w:sz w:val="28"/>
                <w:szCs w:val="28"/>
              </w:rPr>
              <w:t>20</w:t>
            </w:r>
            <w:r>
              <w:rPr>
                <w:rFonts w:hint="eastAsia" w:ascii="宋体" w:hAnsi="宋体" w:cs="宋体"/>
                <w:color w:val="000000"/>
                <w:sz w:val="28"/>
                <w:szCs w:val="28"/>
              </w:rPr>
              <w:t>万元以上的设备</w:t>
            </w:r>
          </w:p>
        </w:tc>
        <w:tc>
          <w:tcPr>
            <w:tcW w:w="1376" w:type="dxa"/>
            <w:vAlign w:val="center"/>
          </w:tcPr>
          <w:p>
            <w:pPr>
              <w:spacing w:line="360" w:lineRule="exact"/>
              <w:jc w:val="center"/>
              <w:rPr>
                <w:rFonts w:ascii="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cs="宋体"/>
                <w:sz w:val="28"/>
                <w:szCs w:val="28"/>
                <w:lang w:eastAsia="zh-CN"/>
              </w:rPr>
            </w:pPr>
            <w:r>
              <w:rPr>
                <w:rFonts w:ascii="宋体" w:hAnsi="宋体" w:cs="宋体"/>
                <w:color w:val="000000"/>
                <w:sz w:val="28"/>
                <w:szCs w:val="28"/>
              </w:rPr>
              <w:t>30</w:t>
            </w:r>
            <w:r>
              <w:rPr>
                <w:rFonts w:hint="eastAsia" w:ascii="宋体" w:hAnsi="宋体" w:cs="宋体"/>
                <w:color w:val="000000"/>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4</w:t>
            </w:r>
            <w:r>
              <w:rPr>
                <w:rFonts w:hint="eastAsia" w:ascii="宋体" w:hAnsi="宋体" w:cs="宋体"/>
                <w:color w:val="000000"/>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47.80</w:t>
            </w:r>
          </w:p>
        </w:tc>
      </w:tr>
    </w:tbl>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九、其他需要说明的事项</w:t>
      </w:r>
    </w:p>
    <w:p>
      <w:pPr>
        <w:spacing w:line="500" w:lineRule="exact"/>
        <w:ind w:firstLine="560"/>
        <w:rPr>
          <w:rFonts w:ascii="仿宋_GB2312" w:eastAsia="仿宋_GB2312"/>
          <w:sz w:val="32"/>
          <w:szCs w:val="32"/>
          <w:lang w:eastAsia="zh-CN"/>
        </w:rPr>
        <w:sectPr>
          <w:pgSz w:w="16840" w:h="11900" w:orient="landscape"/>
          <w:pgMar w:top="1361" w:right="1021" w:bottom="1134" w:left="1021" w:header="720" w:footer="720" w:gutter="0"/>
          <w:cols w:space="720" w:num="1"/>
          <w:docGrid w:linePitch="326" w:charSpace="0"/>
        </w:sectPr>
      </w:pPr>
      <w:r>
        <w:rPr>
          <w:rFonts w:hint="eastAsia" w:ascii="仿宋_GB2312" w:eastAsia="仿宋_GB2312"/>
          <w:color w:val="000000"/>
          <w:sz w:val="32"/>
          <w:szCs w:val="32"/>
        </w:rPr>
        <w:t>我单位无其他需要说明</w:t>
      </w:r>
      <w:r>
        <w:rPr>
          <w:rFonts w:hint="eastAsia" w:ascii="仿宋_GB2312" w:eastAsia="仿宋_GB2312"/>
          <w:color w:val="000000"/>
          <w:sz w:val="32"/>
          <w:szCs w:val="32"/>
          <w:lang w:eastAsia="zh-CN"/>
        </w:rPr>
        <w:t>的事项。</w:t>
      </w:r>
    </w:p>
    <w:p>
      <w:pPr>
        <w:outlineLvl w:val="3"/>
        <w:rPr>
          <w:lang w:eastAsia="zh-CN"/>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2VkMzA3OTYxNDkwOTc0Y2ZjYmVkODFiM2UxNDg3YWYifQ=="/>
  </w:docVars>
  <w:rsids>
    <w:rsidRoot w:val="00781D3A"/>
    <w:rsid w:val="000526B5"/>
    <w:rsid w:val="00064159"/>
    <w:rsid w:val="00094FBC"/>
    <w:rsid w:val="00120163"/>
    <w:rsid w:val="00182D82"/>
    <w:rsid w:val="001B15F6"/>
    <w:rsid w:val="00201266"/>
    <w:rsid w:val="002F66D0"/>
    <w:rsid w:val="00374517"/>
    <w:rsid w:val="004D0E8A"/>
    <w:rsid w:val="00557C8E"/>
    <w:rsid w:val="0056582C"/>
    <w:rsid w:val="00573349"/>
    <w:rsid w:val="005C7741"/>
    <w:rsid w:val="00664099"/>
    <w:rsid w:val="0068454C"/>
    <w:rsid w:val="00714A9B"/>
    <w:rsid w:val="007304F6"/>
    <w:rsid w:val="00781D3A"/>
    <w:rsid w:val="00791CF2"/>
    <w:rsid w:val="007D0D94"/>
    <w:rsid w:val="007D4F68"/>
    <w:rsid w:val="008C17D9"/>
    <w:rsid w:val="008D0F2A"/>
    <w:rsid w:val="008F1C73"/>
    <w:rsid w:val="008F49FE"/>
    <w:rsid w:val="00935B83"/>
    <w:rsid w:val="0098765C"/>
    <w:rsid w:val="009E697D"/>
    <w:rsid w:val="00AC1402"/>
    <w:rsid w:val="00B068B3"/>
    <w:rsid w:val="00B10A12"/>
    <w:rsid w:val="00B3654A"/>
    <w:rsid w:val="00B52C69"/>
    <w:rsid w:val="00B60A02"/>
    <w:rsid w:val="00B77025"/>
    <w:rsid w:val="00B81FBC"/>
    <w:rsid w:val="00BC0518"/>
    <w:rsid w:val="00BD1DD9"/>
    <w:rsid w:val="00BD2D19"/>
    <w:rsid w:val="00C30DC0"/>
    <w:rsid w:val="00C83D45"/>
    <w:rsid w:val="00CC5F86"/>
    <w:rsid w:val="00D00721"/>
    <w:rsid w:val="00D172D0"/>
    <w:rsid w:val="00D75591"/>
    <w:rsid w:val="00DA3F97"/>
    <w:rsid w:val="00DC76B7"/>
    <w:rsid w:val="00E92AAD"/>
    <w:rsid w:val="00EB348B"/>
    <w:rsid w:val="00EC4DAA"/>
    <w:rsid w:val="00F1646A"/>
    <w:rsid w:val="00F33AC4"/>
    <w:rsid w:val="00F826E0"/>
    <w:rsid w:val="00FB7ED6"/>
    <w:rsid w:val="00FE46E7"/>
    <w:rsid w:val="00FE7F22"/>
    <w:rsid w:val="01030F50"/>
    <w:rsid w:val="052B4646"/>
    <w:rsid w:val="0D2C5F24"/>
    <w:rsid w:val="0D8C5EC8"/>
    <w:rsid w:val="155C7F83"/>
    <w:rsid w:val="158F5031"/>
    <w:rsid w:val="1DAF514A"/>
    <w:rsid w:val="22090B6C"/>
    <w:rsid w:val="2B0B2850"/>
    <w:rsid w:val="391B70EA"/>
    <w:rsid w:val="397C4507"/>
    <w:rsid w:val="39DD2245"/>
    <w:rsid w:val="3A4B0C5C"/>
    <w:rsid w:val="3B8F458E"/>
    <w:rsid w:val="3C9C5EE3"/>
    <w:rsid w:val="3E9770A5"/>
    <w:rsid w:val="3F033BBB"/>
    <w:rsid w:val="442A76CA"/>
    <w:rsid w:val="48390A7E"/>
    <w:rsid w:val="562A7E7A"/>
    <w:rsid w:val="5DD42A62"/>
    <w:rsid w:val="60A866BE"/>
    <w:rsid w:val="6DA555EB"/>
    <w:rsid w:val="74745854"/>
    <w:rsid w:val="7F9134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link w:val="42"/>
    <w:semiHidden/>
    <w:unhideWhenUsed/>
    <w:qFormat/>
    <w:locked/>
    <w:uiPriority w:val="0"/>
    <w:pPr>
      <w:keepNext/>
      <w:keepLines/>
      <w:widowControl w:val="0"/>
      <w:spacing w:before="260" w:after="260" w:line="416" w:lineRule="auto"/>
      <w:jc w:val="both"/>
      <w:outlineLvl w:val="1"/>
    </w:pPr>
    <w:rPr>
      <w:rFonts w:ascii="Cambria" w:hAnsi="Cambria"/>
      <w:b/>
      <w:bCs/>
      <w:kern w:val="2"/>
      <w:sz w:val="32"/>
      <w:szCs w:val="32"/>
      <w:lang w:eastAsia="zh-CN"/>
    </w:rPr>
  </w:style>
  <w:style w:type="paragraph" w:styleId="3">
    <w:name w:val="heading 4"/>
    <w:basedOn w:val="1"/>
    <w:next w:val="1"/>
    <w:link w:val="43"/>
    <w:unhideWhenUsed/>
    <w:qFormat/>
    <w:locked/>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50"/>
    <w:semiHidden/>
    <w:unhideWhenUsed/>
    <w:qFormat/>
    <w:uiPriority w:val="99"/>
    <w:rPr>
      <w:rFonts w:eastAsia="Times New Roman"/>
      <w:sz w:val="18"/>
      <w:szCs w:val="18"/>
    </w:rPr>
  </w:style>
  <w:style w:type="paragraph" w:styleId="6">
    <w:name w:val="footer"/>
    <w:basedOn w:val="1"/>
    <w:link w:val="41"/>
    <w:qFormat/>
    <w:uiPriority w:val="99"/>
    <w:pPr>
      <w:tabs>
        <w:tab w:val="center" w:pos="4153"/>
        <w:tab w:val="right" w:pos="8306"/>
      </w:tabs>
      <w:snapToGrid w:val="0"/>
    </w:pPr>
    <w:rPr>
      <w:sz w:val="18"/>
      <w:szCs w:val="18"/>
    </w:rPr>
  </w:style>
  <w:style w:type="paragraph" w:styleId="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4"/>
    <w:semiHidden/>
    <w:qFormat/>
    <w:uiPriority w:val="99"/>
    <w:pPr>
      <w:widowControl w:val="0"/>
      <w:snapToGrid w:val="0"/>
    </w:pPr>
    <w:rPr>
      <w:rFonts w:ascii="Calibri" w:hAnsi="Calibri"/>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99"/>
    <w:rPr>
      <w:rFonts w:cs="Times New Roman"/>
      <w:b/>
    </w:rPr>
  </w:style>
  <w:style w:type="character" w:styleId="17">
    <w:name w:val="page number"/>
    <w:basedOn w:val="15"/>
    <w:qFormat/>
    <w:uiPriority w:val="99"/>
    <w:rPr>
      <w:rFonts w:cs="Times New Roman"/>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页眉 Char"/>
    <w:basedOn w:val="15"/>
    <w:link w:val="7"/>
    <w:qFormat/>
    <w:locked/>
    <w:uiPriority w:val="99"/>
    <w:rPr>
      <w:rFonts w:eastAsia="Times New Roman" w:cs="Times New Roman"/>
      <w:sz w:val="18"/>
      <w:szCs w:val="18"/>
      <w:lang w:eastAsia="uk-UA"/>
    </w:rPr>
  </w:style>
  <w:style w:type="character" w:customStyle="1" w:styleId="41">
    <w:name w:val="页脚 Char"/>
    <w:basedOn w:val="15"/>
    <w:link w:val="6"/>
    <w:qFormat/>
    <w:locked/>
    <w:uiPriority w:val="99"/>
    <w:rPr>
      <w:rFonts w:eastAsia="Times New Roman" w:cs="Times New Roman"/>
      <w:sz w:val="18"/>
      <w:szCs w:val="18"/>
      <w:lang w:eastAsia="uk-UA"/>
    </w:rPr>
  </w:style>
  <w:style w:type="character" w:customStyle="1" w:styleId="42">
    <w:name w:val="标题 2 Char"/>
    <w:basedOn w:val="15"/>
    <w:link w:val="2"/>
    <w:semiHidden/>
    <w:qFormat/>
    <w:uiPriority w:val="0"/>
    <w:rPr>
      <w:rFonts w:ascii="Cambria" w:hAnsi="Cambria" w:eastAsia="宋体" w:cs="Times New Roman"/>
      <w:b/>
      <w:bCs/>
      <w:kern w:val="2"/>
      <w:sz w:val="32"/>
      <w:szCs w:val="32"/>
    </w:rPr>
  </w:style>
  <w:style w:type="character" w:customStyle="1" w:styleId="43">
    <w:name w:val="标题 4 Char"/>
    <w:basedOn w:val="15"/>
    <w:link w:val="3"/>
    <w:uiPriority w:val="0"/>
    <w:rPr>
      <w:rFonts w:ascii="Arial" w:hAnsi="Arial" w:eastAsia="黑体" w:cs="Times New Roman"/>
      <w:b/>
      <w:kern w:val="2"/>
      <w:sz w:val="28"/>
      <w:szCs w:val="24"/>
    </w:rPr>
  </w:style>
  <w:style w:type="character" w:customStyle="1" w:styleId="44">
    <w:name w:val="脚注文本 Char"/>
    <w:basedOn w:val="15"/>
    <w:link w:val="10"/>
    <w:semiHidden/>
    <w:qFormat/>
    <w:uiPriority w:val="99"/>
    <w:rPr>
      <w:rFonts w:ascii="Calibri" w:hAnsi="Calibri" w:eastAsia="宋体" w:cs="Times New Roman"/>
      <w:kern w:val="2"/>
      <w:sz w:val="18"/>
      <w:szCs w:val="18"/>
    </w:rPr>
  </w:style>
  <w:style w:type="paragraph" w:customStyle="1" w:styleId="45">
    <w:name w:val="p15"/>
    <w:basedOn w:val="1"/>
    <w:qFormat/>
    <w:uiPriority w:val="99"/>
    <w:pPr>
      <w:jc w:val="both"/>
    </w:pPr>
    <w:rPr>
      <w:rFonts w:ascii="Calibri" w:hAnsi="Calibri"/>
      <w:sz w:val="21"/>
      <w:szCs w:val="21"/>
      <w:lang w:eastAsia="zh-CN"/>
    </w:rPr>
  </w:style>
  <w:style w:type="paragraph" w:customStyle="1" w:styleId="46">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7">
    <w:name w:val="TOC 2"/>
    <w:basedOn w:val="1"/>
    <w:qFormat/>
    <w:uiPriority w:val="0"/>
    <w:pPr>
      <w:ind w:left="240"/>
    </w:pPr>
    <w:rPr>
      <w:rFonts w:eastAsia="Times New Roman"/>
    </w:rPr>
  </w:style>
  <w:style w:type="paragraph" w:customStyle="1" w:styleId="48">
    <w:name w:val="TOC 4"/>
    <w:basedOn w:val="1"/>
    <w:qFormat/>
    <w:uiPriority w:val="0"/>
    <w:pPr>
      <w:ind w:left="720"/>
    </w:pPr>
    <w:rPr>
      <w:rFonts w:eastAsia="Times New Roman"/>
    </w:rPr>
  </w:style>
  <w:style w:type="paragraph" w:customStyle="1" w:styleId="49">
    <w:name w:val="TOC 1"/>
    <w:basedOn w:val="1"/>
    <w:qFormat/>
    <w:uiPriority w:val="0"/>
    <w:pPr>
      <w:spacing w:before="120"/>
    </w:pPr>
    <w:rPr>
      <w:rFonts w:eastAsia="方正仿宋_GBK"/>
      <w:color w:val="000000"/>
      <w:sz w:val="28"/>
    </w:rPr>
  </w:style>
  <w:style w:type="character" w:customStyle="1" w:styleId="50">
    <w:name w:val="批注框文本 Char"/>
    <w:basedOn w:val="15"/>
    <w:link w:val="5"/>
    <w:semiHidden/>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84AC9-802A-47BD-BE22-5E8AB53996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17367</Words>
  <Characters>20191</Characters>
  <Lines>55</Lines>
  <Paragraphs>47</Paragraphs>
  <TotalTime>4</TotalTime>
  <ScaleCrop>false</ScaleCrop>
  <LinksUpToDate>false</LinksUpToDate>
  <CharactersWithSpaces>20216</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陈洁</cp:lastModifiedBy>
  <cp:lastPrinted>2022-06-24T07:37:00Z</cp:lastPrinted>
  <dcterms:modified xsi:type="dcterms:W3CDTF">2024-01-01T01:00:06Z</dcterms:modified>
  <dc:title>定兴县财政局所属单位预算</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46ED276FE4EF4CE3A3626E9D681ADC56</vt:lpwstr>
  </property>
</Properties>
</file>