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eastAsia="zh-CN"/>
        </w:rPr>
        <w:t>涞水县行政审批局</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一、涞水县行政审批局（本级）收支预算</w:t>
      </w:r>
      <w:r>
        <w:tab/>
      </w:r>
      <w:r>
        <w:rPr>
          <w:rFonts w:hint="eastAsia"/>
          <w:lang w:eastAsia="zh-CN"/>
        </w:rPr>
        <w:t>1</w:t>
      </w:r>
      <w:r>
        <w:rPr>
          <w:rFonts w:hint="eastAsia"/>
          <w:lang w:eastAsia="zh-CN"/>
        </w:rPr>
        <w:fldChar w:fldCharType="end"/>
      </w:r>
    </w:p>
    <w:p>
      <w:pPr>
        <w:pStyle w:val="6"/>
        <w:tabs>
          <w:tab w:val="right" w:leader="dot" w:pos="14562"/>
        </w:tabs>
      </w:pPr>
      <w:r>
        <w:fldChar w:fldCharType="begin"/>
      </w:r>
      <w:r>
        <w:instrText xml:space="preserve"> HYPERLINK \l "_Toc_4_4_0000000020" </w:instrText>
      </w:r>
      <w:r>
        <w:fldChar w:fldCharType="separate"/>
      </w:r>
      <w:r>
        <w:rPr>
          <w:rFonts w:hint="eastAsia"/>
        </w:rPr>
        <w:t>二、涞水县行政审批局事业收支预算</w:t>
      </w:r>
      <w:r>
        <w:tab/>
      </w:r>
      <w:r>
        <w:rPr>
          <w:rFonts w:hint="eastAsia"/>
          <w:lang w:eastAsia="zh-CN"/>
        </w:rPr>
        <w:t>27</w:t>
      </w:r>
      <w:r>
        <w:rPr>
          <w:rFonts w:hint="eastAsia"/>
          <w:lang w:eastAsia="zh-CN"/>
        </w:rPr>
        <w:fldChar w:fldCharType="end"/>
      </w:r>
    </w:p>
    <w:p>
      <w:pPr>
        <w:sectPr>
          <w:footerReference r:id="rId4" w:type="default"/>
          <w:headerReference r:id="rId3" w:type="even"/>
          <w:pgSz w:w="16840" w:h="11900" w:orient="landscape"/>
          <w:pgMar w:top="1587" w:right="1134" w:bottom="1361" w:left="1134" w:header="720" w:footer="720" w:gutter="0"/>
          <w:pgNumType w:start="1"/>
          <w:cols w:space="720" w:num="1"/>
        </w:sectPr>
      </w:pPr>
      <w:r>
        <w:fldChar w:fldCharType="end"/>
      </w:r>
    </w:p>
    <w:p>
      <w:pPr>
        <w:outlineLvl w:val="1"/>
        <w:rPr>
          <w:rFonts w:ascii="黑体" w:hAnsi="黑体" w:eastAsia="黑体" w:cs="黑体"/>
          <w:b/>
          <w:color w:val="000000"/>
          <w:sz w:val="30"/>
          <w:lang w:eastAsia="zh-CN"/>
        </w:rPr>
      </w:pPr>
    </w:p>
    <w:tbl>
      <w:tblPr>
        <w:tblStyle w:val="10"/>
        <w:tblW w:w="14695" w:type="dxa"/>
        <w:jc w:val="center"/>
        <w:tblLayout w:type="autofit"/>
        <w:tblCellMar>
          <w:top w:w="0" w:type="dxa"/>
          <w:left w:w="108" w:type="dxa"/>
          <w:bottom w:w="0" w:type="dxa"/>
          <w:right w:w="108" w:type="dxa"/>
        </w:tblCellMar>
      </w:tblPr>
      <w:tblGrid>
        <w:gridCol w:w="1151"/>
        <w:gridCol w:w="4424"/>
        <w:gridCol w:w="1963"/>
        <w:gridCol w:w="4738"/>
        <w:gridCol w:w="2419"/>
      </w:tblGrid>
      <w:tr>
        <w:tblPrEx>
          <w:tblCellMar>
            <w:top w:w="0" w:type="dxa"/>
            <w:left w:w="108" w:type="dxa"/>
            <w:bottom w:w="0" w:type="dxa"/>
            <w:right w:w="108" w:type="dxa"/>
          </w:tblCellMar>
        </w:tblPrEx>
        <w:trPr>
          <w:trHeight w:val="360" w:hRule="atLeast"/>
          <w:jc w:val="center"/>
        </w:trPr>
        <w:tc>
          <w:tcPr>
            <w:tcW w:w="14695"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rPr>
            </w:pPr>
            <w:r>
              <w:rPr>
                <w:rFonts w:hint="eastAsia" w:ascii="方正小标宋_GBK" w:hAnsi="宋体" w:eastAsia="方正小标宋_GBK" w:cs="宋体"/>
                <w:b/>
                <w:color w:val="000000"/>
                <w:sz w:val="36"/>
                <w:szCs w:val="36"/>
              </w:rPr>
              <w:t>单位预算收支总表</w:t>
            </w:r>
          </w:p>
        </w:tc>
      </w:tr>
      <w:tr>
        <w:tblPrEx>
          <w:tblCellMar>
            <w:top w:w="0" w:type="dxa"/>
            <w:left w:w="108" w:type="dxa"/>
            <w:bottom w:w="0" w:type="dxa"/>
            <w:right w:w="108" w:type="dxa"/>
          </w:tblCellMar>
        </w:tblPrEx>
        <w:trPr>
          <w:trHeight w:val="360" w:hRule="atLeast"/>
          <w:jc w:val="center"/>
        </w:trPr>
        <w:tc>
          <w:tcPr>
            <w:tcW w:w="7538" w:type="dxa"/>
            <w:gridSpan w:val="3"/>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[202001]</w:t>
            </w:r>
            <w:r>
              <w:rPr>
                <w:rFonts w:hint="eastAsia" w:ascii="宋体" w:hAnsi="宋体" w:eastAsia="宋体" w:cs="宋体"/>
                <w:color w:val="000000"/>
                <w:sz w:val="22"/>
                <w:szCs w:val="22"/>
              </w:rPr>
              <w:t>涞水县行政审批局本级</w:t>
            </w:r>
          </w:p>
        </w:tc>
        <w:tc>
          <w:tcPr>
            <w:tcW w:w="4738"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预算年度：</w:t>
            </w:r>
            <w:r>
              <w:rPr>
                <w:color w:val="000000"/>
                <w:sz w:val="22"/>
                <w:szCs w:val="22"/>
              </w:rPr>
              <w:t>2022</w:t>
            </w:r>
          </w:p>
        </w:tc>
        <w:tc>
          <w:tcPr>
            <w:tcW w:w="2419"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6387" w:type="dxa"/>
            <w:gridSpan w:val="2"/>
            <w:tcBorders>
              <w:top w:val="single" w:color="auto" w:sz="4" w:space="0"/>
              <w:left w:val="nil"/>
              <w:bottom w:val="single" w:color="auto" w:sz="4" w:space="0"/>
              <w:right w:val="single" w:color="auto" w:sz="4" w:space="0"/>
            </w:tcBorders>
            <w:shd w:val="clear" w:color="auto" w:fill="auto"/>
            <w:noWrap/>
            <w:vAlign w:val="center"/>
          </w:tcPr>
          <w:p>
            <w:pPr>
              <w:ind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收入</w:t>
            </w:r>
          </w:p>
        </w:tc>
        <w:tc>
          <w:tcPr>
            <w:tcW w:w="715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w:t>
            </w:r>
          </w:p>
        </w:tc>
      </w:tr>
      <w:tr>
        <w:tblPrEx>
          <w:tblCellMar>
            <w:top w:w="0" w:type="dxa"/>
            <w:left w:w="108" w:type="dxa"/>
            <w:bottom w:w="0" w:type="dxa"/>
            <w:right w:w="108" w:type="dxa"/>
          </w:tblCellMar>
        </w:tblPrEx>
        <w:trPr>
          <w:trHeight w:val="360" w:hRule="atLeast"/>
          <w:jc w:val="center"/>
        </w:trPr>
        <w:tc>
          <w:tcPr>
            <w:tcW w:w="11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442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196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c>
          <w:tcPr>
            <w:tcW w:w="47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24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r>
      <w:tr>
        <w:tblPrEx>
          <w:tblCellMar>
            <w:top w:w="0" w:type="dxa"/>
            <w:left w:w="108" w:type="dxa"/>
            <w:bottom w:w="0" w:type="dxa"/>
            <w:right w:w="108" w:type="dxa"/>
          </w:tblCellMar>
        </w:tblPrEx>
        <w:trPr>
          <w:trHeight w:val="360" w:hRule="atLeast"/>
          <w:jc w:val="center"/>
        </w:trPr>
        <w:tc>
          <w:tcPr>
            <w:tcW w:w="11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442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196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47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24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一、一般公共预算拨款收入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一、一般公共服务支出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504.48</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二、政府性基金预算拨款收入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二、外交支出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三、国有资本经营预算拨款收入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三、国防支出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四、财政专户管理资金收入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四、公共安全支出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五、事业收入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五、教育支出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六、事业单位经营收入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六、科学技术支出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七、上级补助收入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七、文化旅游体育与传媒支出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八、附属单位上缴收入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八、社会保障和就业支出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22.63</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九、其他收入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九、社会保险基金支出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十、卫生健康支出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9.04</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十一、节能环保支出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十二、城乡社区支出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十三、农林水支出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十四、交通运输支出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十五、资源勘探工业信息等支出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十六、商业服务业等支出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十七、金融支出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十八、援助其他地区支出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十九、自然资源海洋气象等支出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二十、住房保障支出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13.96</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21</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二十一、粮油物资储备支出</w:t>
            </w:r>
          </w:p>
        </w:tc>
        <w:tc>
          <w:tcPr>
            <w:tcW w:w="241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22</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二十二、国有资本经营预算支出</w:t>
            </w:r>
          </w:p>
        </w:tc>
        <w:tc>
          <w:tcPr>
            <w:tcW w:w="241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二十三、灾害防治及应急管理支出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二十四、预备费</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二十五、其他支出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二十六、转移性支出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二十七、债务还本支出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二十八、债务付息支出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二十九、债务发行费用支出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三十、抗疫特别国债安排的支出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本年收入合计</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本年支出合计</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上年结转结余</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年终结转结余</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其中财政拨款结转结余</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非财政拨款结转结余</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收入总计</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支出总计</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r>
    </w:tbl>
    <w:p>
      <w:pPr>
        <w:ind w:right="58" w:rightChars="24"/>
        <w:jc w:val="center"/>
        <w:sectPr>
          <w:footerReference r:id="rId5" w:type="default"/>
          <w:footerReference r:id="rId6" w:type="even"/>
          <w:pgSz w:w="16840" w:h="11900" w:orient="landscape"/>
          <w:pgMar w:top="1361" w:right="1020" w:bottom="1134" w:left="1020" w:header="720" w:footer="720" w:gutter="0"/>
          <w:pgNumType w:start="1"/>
          <w:cols w:space="720" w:num="1"/>
          <w:docGrid w:linePitch="326" w:charSpace="0"/>
        </w:sectPr>
      </w:pPr>
    </w:p>
    <w:tbl>
      <w:tblPr>
        <w:tblStyle w:val="10"/>
        <w:tblW w:w="15080" w:type="dxa"/>
        <w:tblInd w:w="94" w:type="dxa"/>
        <w:tblLayout w:type="autofit"/>
        <w:tblCellMar>
          <w:top w:w="0" w:type="dxa"/>
          <w:left w:w="108" w:type="dxa"/>
          <w:bottom w:w="0" w:type="dxa"/>
          <w:right w:w="108" w:type="dxa"/>
        </w:tblCellMar>
      </w:tblPr>
      <w:tblGrid>
        <w:gridCol w:w="475"/>
        <w:gridCol w:w="997"/>
        <w:gridCol w:w="3597"/>
        <w:gridCol w:w="830"/>
        <w:gridCol w:w="1628"/>
        <w:gridCol w:w="1559"/>
        <w:gridCol w:w="2340"/>
        <w:gridCol w:w="1771"/>
        <w:gridCol w:w="1883"/>
      </w:tblGrid>
      <w:tr>
        <w:tblPrEx>
          <w:tblCellMar>
            <w:top w:w="0" w:type="dxa"/>
            <w:left w:w="108" w:type="dxa"/>
            <w:bottom w:w="0" w:type="dxa"/>
            <w:right w:w="108" w:type="dxa"/>
          </w:tblCellMar>
        </w:tblPrEx>
        <w:trPr>
          <w:trHeight w:val="360" w:hRule="atLeast"/>
        </w:trPr>
        <w:tc>
          <w:tcPr>
            <w:tcW w:w="15080" w:type="dxa"/>
            <w:gridSpan w:val="9"/>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0" w:name="_Toc_2_2_0000000003"/>
            <w:r>
              <w:rPr>
                <w:rFonts w:hint="eastAsia" w:ascii="方正小标宋_GBK" w:hAnsi="宋体" w:eastAsia="方正小标宋_GBK" w:cs="宋体"/>
                <w:b/>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26" w:type="dxa"/>
            <w:gridSpan w:val="7"/>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预算单位编码及名称：[202001]涞水县行政审批局本级</w:t>
            </w:r>
          </w:p>
        </w:tc>
        <w:tc>
          <w:tcPr>
            <w:tcW w:w="1771"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1883"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9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6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基本支出收入</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项目支出收入</w:t>
            </w:r>
          </w:p>
        </w:tc>
        <w:tc>
          <w:tcPr>
            <w:tcW w:w="23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事业单位经营收入</w:t>
            </w:r>
          </w:p>
        </w:tc>
        <w:tc>
          <w:tcPr>
            <w:tcW w:w="17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上缴补助收入</w:t>
            </w:r>
          </w:p>
        </w:tc>
        <w:tc>
          <w:tcPr>
            <w:tcW w:w="188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对附属单位上缴收入</w:t>
            </w:r>
          </w:p>
        </w:tc>
      </w:tr>
      <w:tr>
        <w:tblPrEx>
          <w:tblCellMar>
            <w:top w:w="0" w:type="dxa"/>
            <w:left w:w="108" w:type="dxa"/>
            <w:bottom w:w="0" w:type="dxa"/>
            <w:right w:w="108" w:type="dxa"/>
          </w:tblCellMar>
        </w:tblPrEx>
        <w:trPr>
          <w:trHeight w:val="360" w:hRule="atLeast"/>
        </w:trPr>
        <w:tc>
          <w:tcPr>
            <w:tcW w:w="47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6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3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18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504.48</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242.48</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504.48</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242.48</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242.48</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242.48</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550.11</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288.11</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b/>
          <w:color w:val="000000"/>
          <w:sz w:val="36"/>
          <w:lang w:eastAsia="zh-CN"/>
        </w:rPr>
      </w:pPr>
    </w:p>
    <w:bookmarkEnd w:id="0"/>
    <w:tbl>
      <w:tblPr>
        <w:tblStyle w:val="10"/>
        <w:tblW w:w="16976" w:type="dxa"/>
        <w:jc w:val="center"/>
        <w:tblLayout w:type="autofit"/>
        <w:tblCellMar>
          <w:top w:w="0" w:type="dxa"/>
          <w:left w:w="108" w:type="dxa"/>
          <w:bottom w:w="0" w:type="dxa"/>
          <w:right w:w="108" w:type="dxa"/>
        </w:tblCellMar>
      </w:tblPr>
      <w:tblGrid>
        <w:gridCol w:w="851"/>
        <w:gridCol w:w="726"/>
        <w:gridCol w:w="997"/>
        <w:gridCol w:w="3580"/>
        <w:gridCol w:w="931"/>
        <w:gridCol w:w="1266"/>
        <w:gridCol w:w="1275"/>
        <w:gridCol w:w="2067"/>
        <w:gridCol w:w="1581"/>
        <w:gridCol w:w="1881"/>
        <w:gridCol w:w="1821"/>
      </w:tblGrid>
      <w:tr>
        <w:tblPrEx>
          <w:tblCellMar>
            <w:top w:w="0" w:type="dxa"/>
            <w:left w:w="108" w:type="dxa"/>
            <w:bottom w:w="0" w:type="dxa"/>
            <w:right w:w="108" w:type="dxa"/>
          </w:tblCellMar>
        </w:tblPrEx>
        <w:trPr>
          <w:trHeight w:val="360" w:hRule="atLeast"/>
          <w:jc w:val="center"/>
        </w:trPr>
        <w:tc>
          <w:tcPr>
            <w:tcW w:w="16976" w:type="dxa"/>
            <w:gridSpan w:val="11"/>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1" w:name="_Toc_2_2_0000000004"/>
            <w:r>
              <w:rPr>
                <w:rFonts w:hint="eastAsia" w:ascii="方正小标宋_GBK" w:hAnsi="宋体" w:eastAsia="方正小标宋_GBK" w:cs="宋体"/>
                <w:b/>
                <w:color w:val="000000"/>
                <w:sz w:val="36"/>
                <w:szCs w:val="36"/>
                <w:lang w:eastAsia="zh-CN"/>
              </w:rPr>
              <w:t>单位预算支出总表</w:t>
            </w:r>
          </w:p>
        </w:tc>
      </w:tr>
      <w:tr>
        <w:trPr>
          <w:gridBefore w:val="1"/>
          <w:gridAfter w:val="1"/>
          <w:wBefore w:w="851" w:type="dxa"/>
          <w:wAfter w:w="1821" w:type="dxa"/>
          <w:trHeight w:val="360" w:hRule="atLeast"/>
          <w:jc w:val="center"/>
        </w:trPr>
        <w:tc>
          <w:tcPr>
            <w:tcW w:w="10842" w:type="dxa"/>
            <w:gridSpan w:val="7"/>
            <w:tcBorders>
              <w:top w:val="nil"/>
              <w:left w:val="nil"/>
              <w:bottom w:val="nil"/>
              <w:right w:val="nil"/>
            </w:tcBorders>
            <w:shd w:val="clear" w:color="auto" w:fill="auto"/>
            <w:noWrap/>
            <w:vAlign w:val="center"/>
          </w:tcPr>
          <w:p>
            <w:pPr>
              <w:ind w:left="50" w:leftChars="21"/>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预算单位编码及名称：[202001]涞水县行政审批局本级</w:t>
            </w:r>
          </w:p>
        </w:tc>
        <w:tc>
          <w:tcPr>
            <w:tcW w:w="1581"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1881"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gridBefore w:val="1"/>
          <w:gridAfter w:val="1"/>
          <w:wBefore w:w="851" w:type="dxa"/>
          <w:wAfter w:w="1821" w:type="dxa"/>
          <w:trHeight w:val="360" w:hRule="atLeast"/>
          <w:jc w:val="center"/>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9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93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26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c>
          <w:tcPr>
            <w:tcW w:w="20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事业单位经营支出</w:t>
            </w:r>
          </w:p>
        </w:tc>
        <w:tc>
          <w:tcPr>
            <w:tcW w:w="158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上缴上级支出</w:t>
            </w:r>
          </w:p>
        </w:tc>
        <w:tc>
          <w:tcPr>
            <w:tcW w:w="188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对附属单位补助支出</w:t>
            </w:r>
          </w:p>
        </w:tc>
      </w:tr>
      <w:tr>
        <w:trPr>
          <w:gridBefore w:val="1"/>
          <w:gridAfter w:val="1"/>
          <w:wBefore w:w="851" w:type="dxa"/>
          <w:wAfter w:w="1821" w:type="dxa"/>
          <w:trHeight w:val="360"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93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26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58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188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504.48</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242.48</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504.48</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242.48</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242.48</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242.48</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550.11</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288.11</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262</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5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bookmarkEnd w:id="1"/>
    </w:tbl>
    <w:p>
      <w:pPr>
        <w:rPr>
          <w:rFonts w:eastAsiaTheme="minorEastAsia"/>
          <w:lang w:eastAsia="zh-CN"/>
        </w:rPr>
        <w:sectPr>
          <w:pgSz w:w="16840" w:h="11900" w:orient="landscape"/>
          <w:pgMar w:top="1361" w:right="1020" w:bottom="1134" w:left="1020" w:header="720" w:footer="720" w:gutter="0"/>
          <w:cols w:space="720" w:num="1"/>
        </w:sectPr>
      </w:pPr>
    </w:p>
    <w:tbl>
      <w:tblPr>
        <w:tblStyle w:val="10"/>
        <w:tblW w:w="14921" w:type="dxa"/>
        <w:jc w:val="center"/>
        <w:tblLayout w:type="autofit"/>
        <w:tblCellMar>
          <w:top w:w="0" w:type="dxa"/>
          <w:left w:w="108" w:type="dxa"/>
          <w:bottom w:w="0" w:type="dxa"/>
          <w:right w:w="108" w:type="dxa"/>
        </w:tblCellMar>
      </w:tblPr>
      <w:tblGrid>
        <w:gridCol w:w="4322"/>
        <w:gridCol w:w="589"/>
        <w:gridCol w:w="1510"/>
        <w:gridCol w:w="1145"/>
        <w:gridCol w:w="3725"/>
        <w:gridCol w:w="3725"/>
      </w:tblGrid>
      <w:tr>
        <w:tblPrEx>
          <w:tblCellMar>
            <w:top w:w="0" w:type="dxa"/>
            <w:left w:w="108" w:type="dxa"/>
            <w:bottom w:w="0" w:type="dxa"/>
            <w:right w:w="108" w:type="dxa"/>
          </w:tblCellMar>
        </w:tblPrEx>
        <w:trPr>
          <w:trHeight w:val="360" w:hRule="atLeast"/>
          <w:jc w:val="center"/>
        </w:trPr>
        <w:tc>
          <w:tcPr>
            <w:tcW w:w="14921" w:type="dxa"/>
            <w:gridSpan w:val="6"/>
            <w:tcBorders>
              <w:top w:val="nil"/>
              <w:left w:val="nil"/>
              <w:bottom w:val="nil"/>
              <w:right w:val="nil"/>
            </w:tcBorders>
            <w:shd w:val="clear" w:color="auto" w:fill="auto"/>
            <w:noWrap/>
            <w:vAlign w:val="center"/>
          </w:tcPr>
          <w:tbl>
            <w:tblPr>
              <w:tblStyle w:val="10"/>
              <w:tblW w:w="13380" w:type="dxa"/>
              <w:tblInd w:w="0" w:type="dxa"/>
              <w:tblLayout w:type="autofit"/>
              <w:tblCellMar>
                <w:top w:w="0" w:type="dxa"/>
                <w:left w:w="108" w:type="dxa"/>
                <w:bottom w:w="0" w:type="dxa"/>
                <w:right w:w="108" w:type="dxa"/>
              </w:tblCellMar>
            </w:tblPr>
            <w:tblGrid>
              <w:gridCol w:w="841"/>
              <w:gridCol w:w="1626"/>
              <w:gridCol w:w="5565"/>
              <w:gridCol w:w="1151"/>
              <w:gridCol w:w="2809"/>
              <w:gridCol w:w="2808"/>
            </w:tblGrid>
            <w:tr>
              <w:tblPrEx>
                <w:tblCellMar>
                  <w:top w:w="0" w:type="dxa"/>
                  <w:left w:w="108" w:type="dxa"/>
                  <w:bottom w:w="0" w:type="dxa"/>
                  <w:right w:w="108" w:type="dxa"/>
                </w:tblCellMar>
              </w:tblPrEx>
              <w:trPr>
                <w:trHeight w:val="360" w:hRule="atLeast"/>
              </w:trPr>
              <w:tc>
                <w:tcPr>
                  <w:tcW w:w="13380" w:type="dxa"/>
                  <w:gridSpan w:val="6"/>
                  <w:tcBorders>
                    <w:top w:val="nil"/>
                    <w:left w:val="nil"/>
                    <w:bottom w:val="nil"/>
                    <w:right w:val="nil"/>
                  </w:tcBorders>
                  <w:shd w:val="clear" w:color="auto" w:fill="auto"/>
                  <w:noWrap/>
                  <w:vAlign w:val="center"/>
                </w:tcPr>
                <w:tbl>
                  <w:tblPr>
                    <w:tblStyle w:val="10"/>
                    <w:tblW w:w="14695" w:type="dxa"/>
                    <w:jc w:val="center"/>
                    <w:tblLayout w:type="autofit"/>
                    <w:tblCellMar>
                      <w:top w:w="0" w:type="dxa"/>
                      <w:left w:w="108" w:type="dxa"/>
                      <w:bottom w:w="0" w:type="dxa"/>
                      <w:right w:w="108" w:type="dxa"/>
                    </w:tblCellMar>
                  </w:tblPr>
                  <w:tblGrid>
                    <w:gridCol w:w="1143"/>
                    <w:gridCol w:w="4390"/>
                    <w:gridCol w:w="1949"/>
                    <w:gridCol w:w="4701"/>
                    <w:gridCol w:w="2401"/>
                  </w:tblGrid>
                  <w:tr>
                    <w:tblPrEx>
                      <w:tblCellMar>
                        <w:top w:w="0" w:type="dxa"/>
                        <w:left w:w="108" w:type="dxa"/>
                        <w:bottom w:w="0" w:type="dxa"/>
                        <w:right w:w="108" w:type="dxa"/>
                      </w:tblCellMar>
                    </w:tblPrEx>
                    <w:trPr>
                      <w:trHeight w:val="360" w:hRule="atLeast"/>
                      <w:jc w:val="center"/>
                    </w:trPr>
                    <w:tc>
                      <w:tcPr>
                        <w:tcW w:w="14695"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rPr>
                        </w:pPr>
                        <w:r>
                          <w:rPr>
                            <w:rFonts w:hint="eastAsia" w:ascii="方正小标宋_GBK" w:hAnsi="宋体" w:eastAsia="方正小标宋_GBK" w:cs="宋体"/>
                            <w:b/>
                            <w:color w:val="000000"/>
                            <w:sz w:val="36"/>
                            <w:szCs w:val="36"/>
                          </w:rPr>
                          <w:t>单位预算财政拨款收支总表</w:t>
                        </w:r>
                      </w:p>
                    </w:tc>
                  </w:tr>
                  <w:tr>
                    <w:tblPrEx>
                      <w:tblCellMar>
                        <w:top w:w="0" w:type="dxa"/>
                        <w:left w:w="108" w:type="dxa"/>
                        <w:bottom w:w="0" w:type="dxa"/>
                        <w:right w:w="108" w:type="dxa"/>
                      </w:tblCellMar>
                    </w:tblPrEx>
                    <w:trPr>
                      <w:trHeight w:val="360" w:hRule="atLeast"/>
                      <w:jc w:val="center"/>
                    </w:trPr>
                    <w:tc>
                      <w:tcPr>
                        <w:tcW w:w="7538" w:type="dxa"/>
                        <w:gridSpan w:val="3"/>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[202001]</w:t>
                        </w:r>
                        <w:r>
                          <w:rPr>
                            <w:rFonts w:hint="eastAsia" w:ascii="宋体" w:hAnsi="宋体" w:eastAsia="宋体" w:cs="宋体"/>
                            <w:color w:val="000000"/>
                            <w:sz w:val="22"/>
                            <w:szCs w:val="22"/>
                          </w:rPr>
                          <w:t>涞水县行政审批局本级</w:t>
                        </w:r>
                      </w:p>
                    </w:tc>
                    <w:tc>
                      <w:tcPr>
                        <w:tcW w:w="4738"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预算年度：</w:t>
                        </w:r>
                        <w:r>
                          <w:rPr>
                            <w:color w:val="000000"/>
                            <w:sz w:val="22"/>
                            <w:szCs w:val="22"/>
                          </w:rPr>
                          <w:t>2022</w:t>
                        </w:r>
                      </w:p>
                    </w:tc>
                    <w:tc>
                      <w:tcPr>
                        <w:tcW w:w="2419"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6387" w:type="dxa"/>
                        <w:gridSpan w:val="2"/>
                        <w:tcBorders>
                          <w:top w:val="single" w:color="auto" w:sz="4" w:space="0"/>
                          <w:left w:val="nil"/>
                          <w:bottom w:val="single" w:color="auto" w:sz="4" w:space="0"/>
                          <w:right w:val="single" w:color="auto" w:sz="4" w:space="0"/>
                        </w:tcBorders>
                        <w:shd w:val="clear" w:color="auto" w:fill="auto"/>
                        <w:noWrap/>
                        <w:vAlign w:val="center"/>
                      </w:tcPr>
                      <w:p>
                        <w:pPr>
                          <w:ind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收入</w:t>
                        </w:r>
                      </w:p>
                    </w:tc>
                    <w:tc>
                      <w:tcPr>
                        <w:tcW w:w="715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w:t>
                        </w:r>
                      </w:p>
                    </w:tc>
                  </w:tr>
                  <w:tr>
                    <w:tblPrEx>
                      <w:tblCellMar>
                        <w:top w:w="0" w:type="dxa"/>
                        <w:left w:w="108" w:type="dxa"/>
                        <w:bottom w:w="0" w:type="dxa"/>
                        <w:right w:w="108" w:type="dxa"/>
                      </w:tblCellMar>
                    </w:tblPrEx>
                    <w:trPr>
                      <w:trHeight w:val="360" w:hRule="atLeast"/>
                      <w:jc w:val="center"/>
                    </w:trPr>
                    <w:tc>
                      <w:tcPr>
                        <w:tcW w:w="11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442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196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c>
                      <w:tcPr>
                        <w:tcW w:w="47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24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r>
                  <w:tr>
                    <w:tblPrEx>
                      <w:tblCellMar>
                        <w:top w:w="0" w:type="dxa"/>
                        <w:left w:w="108" w:type="dxa"/>
                        <w:bottom w:w="0" w:type="dxa"/>
                        <w:right w:w="108" w:type="dxa"/>
                      </w:tblCellMar>
                    </w:tblPrEx>
                    <w:trPr>
                      <w:trHeight w:val="360" w:hRule="atLeast"/>
                      <w:jc w:val="center"/>
                    </w:trPr>
                    <w:tc>
                      <w:tcPr>
                        <w:tcW w:w="11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442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196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47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24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一、一般公共预算拨款收入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一、一般公共服务支出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504.48</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二、政府性基金预算拨款收入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二、外交支出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三、国有资本经营预算拨款收入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三、国防支出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四、财政专户管理资金收入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四、公共安全支出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五、事业收入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五、教育支出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六、事业单位经营收入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六、科学技术支出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七、上级补助收入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七、文化旅游体育与传媒支出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八、附属单位上缴收入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八、社会保障和就业支出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22.63</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九、其他收入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九、社会保险基金支出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十、卫生健康支出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9.04</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十一、节能环保支出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十二、城乡社区支出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十三、农林水支出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十四、交通运输支出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十五、资源勘探工业信息等支出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十六、商业服务业等支出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十七、金融支出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十八、援助其他地区支出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十九、自然资源海洋气象等支出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二十、住房保障支出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13.96</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21</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二十一、粮油物资储备支出</w:t>
                        </w:r>
                      </w:p>
                    </w:tc>
                    <w:tc>
                      <w:tcPr>
                        <w:tcW w:w="241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22</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二十二、国有资本经营预算支出</w:t>
                        </w:r>
                      </w:p>
                    </w:tc>
                    <w:tc>
                      <w:tcPr>
                        <w:tcW w:w="241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23</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二十三、灾害防治及应急管理支出</w:t>
                        </w:r>
                      </w:p>
                    </w:tc>
                    <w:tc>
                      <w:tcPr>
                        <w:tcW w:w="241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24</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二十四、预备费</w:t>
                        </w:r>
                      </w:p>
                    </w:tc>
                    <w:tc>
                      <w:tcPr>
                        <w:tcW w:w="241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25</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二十五、其他支出</w:t>
                        </w:r>
                      </w:p>
                    </w:tc>
                    <w:tc>
                      <w:tcPr>
                        <w:tcW w:w="241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26</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二十六、转移性支出</w:t>
                        </w:r>
                      </w:p>
                    </w:tc>
                    <w:tc>
                      <w:tcPr>
                        <w:tcW w:w="241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27</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二十七、债务还本支出</w:t>
                        </w:r>
                      </w:p>
                    </w:tc>
                    <w:tc>
                      <w:tcPr>
                        <w:tcW w:w="241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28</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二十八、债务付息支出</w:t>
                        </w:r>
                      </w:p>
                    </w:tc>
                    <w:tc>
                      <w:tcPr>
                        <w:tcW w:w="241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二十九、债务发行费用支出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三十、抗疫特别国债安排的支出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本年收入合计</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本年支出合计</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上年结转结余</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年终结转结余</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其中财政拨款结转结余</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非财政拨款结转结余</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收入总计</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支出总计</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ascii="Calibri" w:hAnsi="Calibri" w:cs="Calibri"/>
                            <w:color w:val="000000"/>
                            <w:sz w:val="22"/>
                            <w:szCs w:val="22"/>
                          </w:rPr>
                          <w:t>550.11</w:t>
                        </w:r>
                      </w:p>
                    </w:tc>
                  </w:tr>
                </w:tbl>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单位预算一般公共预算基本支出表</w:t>
                  </w:r>
                </w:p>
              </w:tc>
            </w:tr>
            <w:tr>
              <w:tblPrEx>
                <w:tblCellMar>
                  <w:top w:w="0" w:type="dxa"/>
                  <w:left w:w="108" w:type="dxa"/>
                  <w:bottom w:w="0" w:type="dxa"/>
                  <w:right w:w="108" w:type="dxa"/>
                </w:tblCellMar>
              </w:tblPrEx>
              <w:trPr>
                <w:trHeight w:val="360" w:hRule="atLeast"/>
              </w:trPr>
              <w:tc>
                <w:tcPr>
                  <w:tcW w:w="8302" w:type="dxa"/>
                  <w:gridSpan w:val="4"/>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预算单位编码及名称：[202001]涞水县行政审批局本级</w:t>
                  </w:r>
                </w:p>
              </w:tc>
              <w:tc>
                <w:tcPr>
                  <w:tcW w:w="2539"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2539"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50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单位预算支出经济分类科目</w:t>
                  </w:r>
                </w:p>
              </w:tc>
              <w:tc>
                <w:tcPr>
                  <w:tcW w:w="6118"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本年一般公共预算基本支出</w:t>
                  </w:r>
                </w:p>
              </w:tc>
            </w:tr>
            <w:tr>
              <w:tblPrEx>
                <w:tblCellMar>
                  <w:top w:w="0" w:type="dxa"/>
                  <w:left w:w="108" w:type="dxa"/>
                  <w:bottom w:w="0" w:type="dxa"/>
                  <w:right w:w="108" w:type="dxa"/>
                </w:tblCellMar>
              </w:tblPrEx>
              <w:trPr>
                <w:trHeight w:val="360"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03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5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7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4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03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5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5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工资福利支出</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202.85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202.85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基本工资</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90.95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90.95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30102</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津贴补贴</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30103</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奖金</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5.37</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5.37</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30107</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绩效工资</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14.89</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14.89</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30108</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机关事业单位基本养老保险缴费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22.63</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30110</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城镇职工基本医疗保险缴费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9.04</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30112</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其他社会保障缴费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1.01</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1.01</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30113</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住房公积金</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13.96</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商品和服务支出</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85.26</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85.26</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30201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办公费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30207</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邮电费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0.18</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0.18</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30208</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取暖费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6.24</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6.24</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30211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差旅费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30217</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公务接待费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30226</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劳务费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55.5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55.5</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30228</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工会经费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1.65</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30229</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福利费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2.27</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2.27</w:t>
                  </w:r>
                </w:p>
              </w:tc>
            </w:tr>
            <w:tr>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30231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公务用车运行维护费</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30239</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其他交通费用</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9.42</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9.42</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　</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合计</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288.11</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202.85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85.26</w:t>
                  </w:r>
                </w:p>
              </w:tc>
            </w:tr>
          </w:tbl>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jc w:val="center"/>
        </w:trPr>
        <w:tc>
          <w:tcPr>
            <w:tcW w:w="7517"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预算单位编码及名称：[202001]涞水县行政审批局（本级）</w:t>
            </w:r>
          </w:p>
        </w:tc>
        <w:tc>
          <w:tcPr>
            <w:tcW w:w="3702"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3702"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rPr>
          <w:trHeight w:val="360" w:hRule="atLeast"/>
          <w:jc w:val="center"/>
        </w:trPr>
        <w:tc>
          <w:tcPr>
            <w:tcW w:w="42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20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1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70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70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42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1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42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7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7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429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8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49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13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429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8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49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13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429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8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49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13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rPr>
          <w:trHeight w:val="290" w:hRule="atLeast"/>
          <w:jc w:val="center"/>
        </w:trPr>
        <w:tc>
          <w:tcPr>
            <w:tcW w:w="14921"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注：本单位无政府基金预算，空表列式。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rPr>
          <w:rFonts w:eastAsiaTheme="minorEastAsia"/>
          <w:lang w:eastAsia="zh-CN"/>
        </w:rPr>
        <w:sectPr>
          <w:pgSz w:w="16840" w:h="11900" w:orient="landscape"/>
          <w:pgMar w:top="993" w:right="1020" w:bottom="1134" w:left="1020" w:header="720" w:footer="720" w:gutter="0"/>
          <w:cols w:space="720" w:num="1"/>
        </w:sectPr>
      </w:pPr>
    </w:p>
    <w:p>
      <w:pPr>
        <w:outlineLvl w:val="1"/>
        <w:rPr>
          <w:rFonts w:ascii="方正小标宋_GBK" w:hAnsi="方正小标宋_GBK" w:eastAsia="方正小标宋_GBK" w:cs="方正小标宋_GBK"/>
          <w:color w:val="000000"/>
          <w:sz w:val="36"/>
          <w:lang w:eastAsia="zh-CN"/>
        </w:rPr>
      </w:pPr>
      <w:bookmarkStart w:id="2" w:name="_Toc_2_2_0000000006"/>
    </w:p>
    <w:tbl>
      <w:tblPr>
        <w:tblStyle w:val="10"/>
        <w:tblW w:w="14188" w:type="dxa"/>
        <w:jc w:val="center"/>
        <w:tblLayout w:type="autofit"/>
        <w:tblCellMar>
          <w:top w:w="0" w:type="dxa"/>
          <w:left w:w="108" w:type="dxa"/>
          <w:bottom w:w="0" w:type="dxa"/>
          <w:right w:w="108" w:type="dxa"/>
        </w:tblCellMar>
      </w:tblPr>
      <w:tblGrid>
        <w:gridCol w:w="1068"/>
        <w:gridCol w:w="2076"/>
        <w:gridCol w:w="2075"/>
        <w:gridCol w:w="1067"/>
        <w:gridCol w:w="3587"/>
        <w:gridCol w:w="4315"/>
      </w:tblGrid>
      <w:tr>
        <w:tblPrEx>
          <w:tblCellMar>
            <w:top w:w="0" w:type="dxa"/>
            <w:left w:w="108" w:type="dxa"/>
            <w:bottom w:w="0" w:type="dxa"/>
            <w:right w:w="108" w:type="dxa"/>
          </w:tblCellMar>
        </w:tblPrEx>
        <w:trPr>
          <w:trHeight w:val="360" w:hRule="atLeast"/>
          <w:jc w:val="center"/>
        </w:trPr>
        <w:tc>
          <w:tcPr>
            <w:tcW w:w="14188"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jc w:val="center"/>
        </w:trPr>
        <w:tc>
          <w:tcPr>
            <w:tcW w:w="628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预算单位编码及名称：[202001]涞水县行政审批局（本级）</w:t>
            </w:r>
          </w:p>
        </w:tc>
        <w:tc>
          <w:tcPr>
            <w:tcW w:w="3587"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4315"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4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43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188"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注：本单位无国有资本经营预算，空表列式。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p>
      <w:pPr>
        <w:outlineLvl w:val="1"/>
        <w:rPr>
          <w:rFonts w:eastAsiaTheme="minorEastAsia"/>
          <w:lang w:eastAsia="zh-CN"/>
        </w:r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lang w:eastAsia="zh-CN"/>
        </w:rPr>
      </w:pPr>
      <w:bookmarkStart w:id="3" w:name="_Toc_2_2_0000000007"/>
    </w:p>
    <w:tbl>
      <w:tblPr>
        <w:tblStyle w:val="10"/>
        <w:tblW w:w="13700" w:type="dxa"/>
        <w:jc w:val="center"/>
        <w:tblLayout w:type="autofit"/>
        <w:tblCellMar>
          <w:top w:w="0" w:type="dxa"/>
          <w:left w:w="108" w:type="dxa"/>
          <w:bottom w:w="0" w:type="dxa"/>
          <w:right w:w="108" w:type="dxa"/>
        </w:tblCellMar>
      </w:tblPr>
      <w:tblGrid>
        <w:gridCol w:w="527"/>
        <w:gridCol w:w="4760"/>
        <w:gridCol w:w="607"/>
        <w:gridCol w:w="2519"/>
        <w:gridCol w:w="2270"/>
        <w:gridCol w:w="3017"/>
      </w:tblGrid>
      <w:tr>
        <w:tblPrEx>
          <w:tblCellMar>
            <w:top w:w="0" w:type="dxa"/>
            <w:left w:w="108" w:type="dxa"/>
            <w:bottom w:w="0" w:type="dxa"/>
            <w:right w:w="108" w:type="dxa"/>
          </w:tblCellMar>
        </w:tblPrEx>
        <w:trPr>
          <w:trHeight w:val="360" w:hRule="atLeast"/>
          <w:jc w:val="center"/>
        </w:trPr>
        <w:tc>
          <w:tcPr>
            <w:tcW w:w="1370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jc w:val="center"/>
        </w:trPr>
        <w:tc>
          <w:tcPr>
            <w:tcW w:w="8413"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预算单位编码及名称：[202001]涞水县行政审批局（本级）</w:t>
            </w:r>
          </w:p>
        </w:tc>
        <w:tc>
          <w:tcPr>
            <w:tcW w:w="2270"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301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rPr>
          <w:trHeight w:val="360" w:hRule="atLeast"/>
          <w:jc w:val="center"/>
        </w:trPr>
        <w:tc>
          <w:tcPr>
            <w:tcW w:w="5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41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60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5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7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60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2.00</w:t>
            </w: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2.00</w:t>
            </w: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“三公”经费小计</w:t>
            </w:r>
          </w:p>
        </w:tc>
        <w:tc>
          <w:tcPr>
            <w:tcW w:w="607"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eastAsia="zh-CN"/>
              </w:rPr>
              <w:t>2.00</w:t>
            </w: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eastAsia="zh-CN"/>
              </w:rPr>
              <w:t>2.00</w:t>
            </w: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一、因公出国（境）费</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其中：教学科研人员因公出国（境）费</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其他因公出国（境）费</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二、公务用车购置及运维费</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其中：公务用车购置费</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公务用车运行维护费</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三、公务接待费</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四、会议费</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五、培训费</w:t>
            </w:r>
          </w:p>
        </w:tc>
        <w:tc>
          <w:tcPr>
            <w:tcW w:w="60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sectPr>
          <w:pgSz w:w="16840" w:h="11900" w:orient="landscape"/>
          <w:pgMar w:top="1361" w:right="1020" w:bottom="1361" w:left="1020" w:header="720" w:footer="720" w:gutter="0"/>
          <w:cols w:space="720" w:num="1"/>
        </w:sectPr>
      </w:pPr>
    </w:p>
    <w:bookmarkEnd w:id="3"/>
    <w:p>
      <w:pPr>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县行政审批</w:t>
      </w:r>
      <w:r>
        <w:rPr>
          <w:rFonts w:hint="eastAsia" w:ascii="方正小标宋_GBK" w:hAnsi="方正小标宋_GBK" w:eastAsia="方正小标宋_GBK" w:cs="方正小标宋_GBK"/>
          <w:color w:val="000000"/>
          <w:sz w:val="44"/>
        </w:rPr>
        <w:t>（本级）</w:t>
      </w:r>
    </w:p>
    <w:p>
      <w:pPr>
        <w:jc w:val="center"/>
      </w:pPr>
      <w:r>
        <w:rPr>
          <w:rFonts w:ascii="方正小标宋_GBK" w:hAnsi="方正小标宋_GBK" w:eastAsia="方正小标宋_GBK" w:cs="方正小标宋_GBK"/>
          <w:color w:val="000000"/>
          <w:sz w:val="44"/>
        </w:rPr>
        <w:t>2022年单位预算信息公开情况说明</w:t>
      </w:r>
    </w:p>
    <w:p>
      <w:pPr>
        <w:spacing w:line="500" w:lineRule="exact"/>
        <w:ind w:firstLine="560"/>
        <w:rPr>
          <w:rFonts w:ascii="仿宋" w:hAnsi="仿宋" w:eastAsia="仿宋"/>
          <w:color w:val="000000"/>
          <w:sz w:val="32"/>
          <w:szCs w:val="32"/>
          <w:lang w:eastAsia="zh-CN"/>
        </w:rPr>
      </w:pPr>
    </w:p>
    <w:p>
      <w:pPr>
        <w:spacing w:line="500" w:lineRule="exact"/>
        <w:ind w:firstLine="560"/>
        <w:rPr>
          <w:rFonts w:ascii="仿宋" w:hAnsi="仿宋" w:eastAsia="仿宋"/>
          <w:sz w:val="32"/>
          <w:szCs w:val="32"/>
        </w:rPr>
      </w:pPr>
      <w:r>
        <w:rPr>
          <w:rFonts w:ascii="仿宋" w:hAnsi="仿宋" w:eastAsia="仿宋"/>
          <w:color w:val="000000"/>
          <w:sz w:val="32"/>
          <w:szCs w:val="32"/>
        </w:rPr>
        <w:t>按照</w:t>
      </w:r>
      <w:r>
        <w:rPr>
          <w:rFonts w:hint="eastAsia" w:ascii="仿宋" w:hAnsi="仿宋" w:eastAsia="仿宋"/>
          <w:color w:val="000000"/>
          <w:sz w:val="32"/>
          <w:szCs w:val="32"/>
        </w:rPr>
        <w:t>《中华人民共和国预算法》</w:t>
      </w:r>
      <w:r>
        <w:rPr>
          <w:rFonts w:ascii="仿宋" w:hAnsi="仿宋" w:eastAsia="仿宋"/>
          <w:color w:val="000000"/>
          <w:sz w:val="32"/>
          <w:szCs w:val="32"/>
        </w:rPr>
        <w:t>、《地方预决算公开操作规程》和《关于进一步推进预算公开工作的实施意见》规定，现将涞水县行政审批局</w:t>
      </w:r>
      <w:r>
        <w:rPr>
          <w:rFonts w:hint="eastAsia" w:ascii="仿宋" w:hAnsi="仿宋" w:eastAsia="仿宋"/>
          <w:color w:val="000000"/>
          <w:sz w:val="32"/>
          <w:szCs w:val="32"/>
        </w:rPr>
        <w:t>（本级）</w:t>
      </w:r>
      <w:r>
        <w:rPr>
          <w:rFonts w:ascii="仿宋" w:hAnsi="仿宋" w:eastAsia="仿宋"/>
          <w:color w:val="000000"/>
          <w:sz w:val="32"/>
          <w:szCs w:val="32"/>
        </w:rPr>
        <w:t>2022年单位预算公开如下：</w:t>
      </w:r>
    </w:p>
    <w:p>
      <w:pPr>
        <w:pStyle w:val="39"/>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rPr>
        <w:t>单位职责及机构设置情况</w:t>
      </w:r>
    </w:p>
    <w:p>
      <w:pPr>
        <w:spacing w:line="560" w:lineRule="exact"/>
        <w:ind w:left="602"/>
        <w:rPr>
          <w:rFonts w:ascii="黑体" w:hAnsi="黑体" w:eastAsia="黑体" w:cs="仿宋_GB2312"/>
          <w:bCs/>
          <w:sz w:val="32"/>
          <w:szCs w:val="32"/>
        </w:rPr>
      </w:pPr>
      <w:r>
        <w:rPr>
          <w:rFonts w:hint="eastAsia" w:ascii="黑体" w:hAnsi="黑体" w:eastAsia="黑体"/>
          <w:bCs/>
          <w:sz w:val="32"/>
          <w:szCs w:val="32"/>
        </w:rPr>
        <w:t>单位职责：</w:t>
      </w:r>
    </w:p>
    <w:p>
      <w:pPr>
        <w:spacing w:line="560" w:lineRule="exact"/>
        <w:ind w:firstLine="560"/>
        <w:rPr>
          <w:rFonts w:ascii="仿宋" w:hAnsi="仿宋" w:eastAsia="仿宋"/>
          <w:sz w:val="32"/>
          <w:szCs w:val="32"/>
        </w:rPr>
      </w:pPr>
      <w:r>
        <w:rPr>
          <w:rFonts w:ascii="仿宋" w:hAnsi="仿宋" w:eastAsia="仿宋"/>
          <w:color w:val="000000"/>
          <w:sz w:val="32"/>
          <w:szCs w:val="32"/>
        </w:rPr>
        <w:t>根据《涞水县行政审批局职能配置、内设机构和人员编制规定》，涞水县行政审批局的主要职责是：</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（一）</w:t>
      </w:r>
      <w:r>
        <w:rPr>
          <w:rFonts w:hint="eastAsia" w:ascii="仿宋" w:hAnsi="仿宋" w:eastAsia="仿宋" w:cs="仿宋"/>
          <w:sz w:val="32"/>
          <w:szCs w:val="40"/>
        </w:rPr>
        <w:t>贯彻执行</w:t>
      </w:r>
      <w:r>
        <w:rPr>
          <w:rFonts w:hint="eastAsia" w:ascii="仿宋" w:hAnsi="仿宋" w:eastAsia="仿宋" w:cs="仿宋"/>
          <w:sz w:val="32"/>
          <w:szCs w:val="40"/>
          <w:lang w:eastAsia="zh-CN"/>
        </w:rPr>
        <w:t>党中央</w:t>
      </w:r>
      <w:r>
        <w:rPr>
          <w:rFonts w:hint="eastAsia" w:ascii="仿宋" w:hAnsi="仿宋" w:eastAsia="仿宋" w:cs="仿宋"/>
          <w:sz w:val="32"/>
          <w:szCs w:val="40"/>
        </w:rPr>
        <w:t>、国务院和省委、省政府、市委、市政府、县委、县政府“放管服” 改革、行政审批制度改革、政务服务管理、公共资源交易市场管理、社会信用体系建设有关方针政策和法律法规。</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（二）将</w:t>
      </w:r>
      <w:r>
        <w:rPr>
          <w:rFonts w:hint="eastAsia" w:ascii="仿宋" w:hAnsi="仿宋" w:eastAsia="仿宋" w:cs="仿宋"/>
          <w:sz w:val="32"/>
          <w:szCs w:val="40"/>
        </w:rPr>
        <w:t>县政府办公室、县发展和改革局、县教育和体育局、县民政局、县人力资源和社会保障局、县自然资源和规划局、县住房和城乡建设局、县市场监督管理局、县水利局、县农业农村局、县司法局、县文化广电和旅游局、县卫</w:t>
      </w:r>
    </w:p>
    <w:p>
      <w:pPr>
        <w:rPr>
          <w:rFonts w:ascii="仿宋" w:hAnsi="仿宋" w:eastAsia="仿宋" w:cs="仿宋"/>
          <w:sz w:val="32"/>
          <w:szCs w:val="40"/>
        </w:rPr>
      </w:pPr>
      <w:r>
        <w:rPr>
          <w:rFonts w:hint="eastAsia" w:ascii="仿宋" w:hAnsi="仿宋" w:eastAsia="仿宋" w:cs="仿宋"/>
          <w:sz w:val="32"/>
          <w:szCs w:val="40"/>
        </w:rPr>
        <w:t>生健康局、县交通运输局、县财政局等 15 个部门承担的行</w:t>
      </w:r>
      <w:r>
        <w:rPr>
          <w:rFonts w:hint="eastAsia" w:ascii="仿宋" w:hAnsi="仿宋" w:eastAsia="仿宋" w:cs="仿宋"/>
          <w:sz w:val="32"/>
          <w:szCs w:val="40"/>
          <w:lang w:eastAsia="zh-CN"/>
        </w:rPr>
        <w:t>行政</w:t>
      </w:r>
      <w:r>
        <w:rPr>
          <w:rFonts w:hint="eastAsia" w:ascii="仿宋" w:hAnsi="仿宋" w:eastAsia="仿宋" w:cs="仿宋"/>
          <w:sz w:val="32"/>
          <w:szCs w:val="40"/>
        </w:rPr>
        <w:t>审批事项及相关事项划入县行政审批局，由县</w:t>
      </w:r>
      <w:r>
        <w:rPr>
          <w:rFonts w:hint="eastAsia" w:ascii="仿宋" w:hAnsi="仿宋" w:eastAsia="仿宋" w:cs="仿宋"/>
          <w:sz w:val="32"/>
          <w:szCs w:val="40"/>
          <w:lang w:eastAsia="zh-CN"/>
        </w:rPr>
        <w:t>行政</w:t>
      </w:r>
      <w:r>
        <w:rPr>
          <w:rFonts w:hint="eastAsia" w:ascii="仿宋" w:hAnsi="仿宋" w:eastAsia="仿宋" w:cs="仿宋"/>
          <w:sz w:val="32"/>
          <w:szCs w:val="40"/>
        </w:rPr>
        <w:t>审批局依法履行相关行政许可职责，集中行使行政审批权。</w:t>
      </w:r>
    </w:p>
    <w:p>
      <w:pPr>
        <w:ind w:firstLine="640" w:firstLineChars="200"/>
        <w:rPr>
          <w:rFonts w:ascii="仿宋" w:hAnsi="仿宋" w:eastAsia="仿宋" w:cs="仿宋"/>
          <w:sz w:val="32"/>
          <w:szCs w:val="40"/>
        </w:rPr>
      </w:pPr>
      <w:r>
        <w:rPr>
          <w:rFonts w:hint="eastAsia" w:ascii="仿宋" w:hAnsi="仿宋" w:eastAsia="仿宋" w:cs="仿宋"/>
          <w:sz w:val="32"/>
          <w:szCs w:val="40"/>
        </w:rPr>
        <w:t>（三）组织协调全县“放管服”改革工作。指导、督促、贯彻落实党中央、国务院和省委、省政府、市委、市政府县委、县政府关于“放管服” 改革重要领域、关键环节重大政策措施，承担县推进政府职能转变和“放管</w:t>
      </w:r>
      <w:r>
        <w:rPr>
          <w:rFonts w:hint="eastAsia" w:ascii="仿宋" w:hAnsi="仿宋" w:eastAsia="仿宋" w:cs="仿宋"/>
          <w:sz w:val="32"/>
          <w:szCs w:val="40"/>
          <w:lang w:eastAsia="zh-CN"/>
        </w:rPr>
        <w:t>服</w:t>
      </w:r>
      <w:r>
        <w:rPr>
          <w:rFonts w:hint="eastAsia" w:ascii="仿宋" w:hAnsi="仿宋" w:eastAsia="仿宋" w:cs="仿宋"/>
          <w:sz w:val="32"/>
          <w:szCs w:val="40"/>
        </w:rPr>
        <w:t>”改革协调小组的</w:t>
      </w:r>
      <w:r>
        <w:rPr>
          <w:rFonts w:hint="eastAsia" w:ascii="仿宋" w:hAnsi="仿宋" w:eastAsia="仿宋" w:cs="仿宋"/>
          <w:sz w:val="32"/>
          <w:szCs w:val="40"/>
          <w:lang w:eastAsia="zh-CN"/>
        </w:rPr>
        <w:t>日常</w:t>
      </w:r>
      <w:r>
        <w:rPr>
          <w:rFonts w:hint="eastAsia" w:ascii="仿宋" w:hAnsi="仿宋" w:eastAsia="仿宋" w:cs="仿宋"/>
          <w:sz w:val="32"/>
          <w:szCs w:val="40"/>
        </w:rPr>
        <w:t>工作。</w:t>
      </w:r>
    </w:p>
    <w:p>
      <w:pPr>
        <w:ind w:firstLine="640" w:firstLineChars="200"/>
        <w:rPr>
          <w:rFonts w:ascii="仿宋" w:hAnsi="仿宋" w:eastAsia="仿宋" w:cs="仿宋"/>
          <w:sz w:val="32"/>
          <w:szCs w:val="40"/>
        </w:rPr>
      </w:pPr>
      <w:r>
        <w:rPr>
          <w:rFonts w:hint="eastAsia" w:ascii="仿宋" w:hAnsi="仿宋" w:eastAsia="仿宋" w:cs="仿宋"/>
          <w:sz w:val="32"/>
          <w:szCs w:val="40"/>
        </w:rPr>
        <w:t>（四）指导协调全县行政审批制度改革工作。建立健全全县行政审批制度管理</w:t>
      </w:r>
      <w:r>
        <w:rPr>
          <w:rFonts w:hint="eastAsia" w:ascii="仿宋" w:hAnsi="仿宋" w:eastAsia="仿宋" w:cs="仿宋"/>
          <w:sz w:val="32"/>
          <w:szCs w:val="40"/>
          <w:lang w:eastAsia="zh-CN"/>
        </w:rPr>
        <w:t>体系</w:t>
      </w:r>
      <w:r>
        <w:rPr>
          <w:rFonts w:hint="eastAsia" w:ascii="仿宋" w:hAnsi="仿宋" w:eastAsia="仿宋" w:cs="仿宋"/>
          <w:sz w:val="32"/>
          <w:szCs w:val="40"/>
        </w:rPr>
        <w:t>;推进简政放权，清理和规范各类行政许可等管理事项；协调推进行政审批标准化工作；承担县行政审批制度改革工作领导小组的日常工作。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rPr>
        <w:t>（五）指导协调全县政务服务管理工作。负责优化政务服务供给，降低制度性交易成本，</w:t>
      </w:r>
      <w:r>
        <w:rPr>
          <w:rFonts w:hint="eastAsia" w:ascii="仿宋" w:hAnsi="仿宋" w:eastAsia="仿宋" w:cs="仿宋"/>
          <w:sz w:val="32"/>
          <w:szCs w:val="40"/>
          <w:lang w:eastAsia="zh-CN"/>
        </w:rPr>
        <w:t>提升</w:t>
      </w:r>
      <w:r>
        <w:rPr>
          <w:rFonts w:hint="eastAsia" w:ascii="仿宋" w:hAnsi="仿宋" w:eastAsia="仿宋" w:cs="仿宋"/>
          <w:sz w:val="32"/>
          <w:szCs w:val="40"/>
        </w:rPr>
        <w:t>政务服务效能；</w:t>
      </w:r>
      <w:r>
        <w:rPr>
          <w:rFonts w:hint="eastAsia" w:ascii="仿宋" w:hAnsi="仿宋" w:eastAsia="仿宋" w:cs="仿宋"/>
          <w:sz w:val="32"/>
          <w:szCs w:val="40"/>
          <w:lang w:eastAsia="zh-CN"/>
        </w:rPr>
        <w:t>负责</w:t>
      </w:r>
      <w:r>
        <w:rPr>
          <w:rFonts w:hint="eastAsia" w:ascii="仿宋" w:hAnsi="仿宋" w:eastAsia="仿宋" w:cs="仿宋"/>
          <w:sz w:val="32"/>
          <w:szCs w:val="40"/>
        </w:rPr>
        <w:t>推进审批服务便民化；指导协调县有关部门为公民、法人或其他</w:t>
      </w:r>
      <w:r>
        <w:rPr>
          <w:rFonts w:hint="eastAsia" w:ascii="仿宋" w:hAnsi="仿宋" w:eastAsia="仿宋" w:cs="仿宋"/>
          <w:sz w:val="32"/>
          <w:szCs w:val="40"/>
          <w:lang w:eastAsia="zh-CN"/>
        </w:rPr>
        <w:t>组织</w:t>
      </w:r>
      <w:r>
        <w:rPr>
          <w:rFonts w:hint="eastAsia" w:ascii="仿宋" w:hAnsi="仿宋" w:eastAsia="仿宋" w:cs="仿宋"/>
          <w:sz w:val="32"/>
          <w:szCs w:val="40"/>
        </w:rPr>
        <w:t>提供规范、高效、优质的政务服务；负责组织协调</w:t>
      </w:r>
      <w:r>
        <w:rPr>
          <w:rFonts w:hint="eastAsia" w:ascii="仿宋" w:hAnsi="仿宋" w:eastAsia="仿宋" w:cs="仿宋"/>
          <w:sz w:val="32"/>
          <w:szCs w:val="40"/>
          <w:lang w:eastAsia="zh-CN"/>
        </w:rPr>
        <w:t>、</w:t>
      </w:r>
      <w:r>
        <w:rPr>
          <w:rFonts w:hint="eastAsia" w:ascii="仿宋" w:hAnsi="仿宋" w:eastAsia="仿宋" w:cs="仿宋"/>
          <w:sz w:val="32"/>
          <w:szCs w:val="40"/>
        </w:rPr>
        <w:t>督促</w:t>
      </w:r>
      <w:r>
        <w:rPr>
          <w:rFonts w:hint="eastAsia" w:ascii="仿宋" w:hAnsi="仿宋" w:eastAsia="仿宋" w:cs="仿宋"/>
          <w:sz w:val="32"/>
          <w:szCs w:val="40"/>
          <w:lang w:eastAsia="zh-CN"/>
        </w:rPr>
        <w:t>、</w:t>
      </w:r>
      <w:r>
        <w:rPr>
          <w:rFonts w:hint="eastAsia" w:ascii="仿宋" w:hAnsi="仿宋" w:eastAsia="仿宋" w:cs="仿宋"/>
          <w:sz w:val="32"/>
          <w:szCs w:val="40"/>
        </w:rPr>
        <w:t>检查全县政务服务工作。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（六）负责投资项目、企业注册、市场服务、公共事务</w:t>
      </w:r>
      <w:r>
        <w:rPr>
          <w:rFonts w:hint="eastAsia" w:ascii="仿宋" w:hAnsi="仿宋" w:eastAsia="仿宋" w:cs="仿宋"/>
          <w:sz w:val="32"/>
          <w:szCs w:val="40"/>
          <w:lang w:eastAsia="zh-CN"/>
        </w:rPr>
        <w:t>、</w:t>
      </w:r>
      <w:r>
        <w:rPr>
          <w:rFonts w:hint="eastAsia" w:ascii="仿宋" w:hAnsi="仿宋" w:eastAsia="仿宋" w:cs="仿宋"/>
          <w:sz w:val="32"/>
          <w:szCs w:val="40"/>
        </w:rPr>
        <w:t>文教卫生、社会事务、住建规划、经贸商务、交通城管、农林畜水等方面行政审批事项的集中统一办理及流程再造、环节优化、行政性收费等工作</w:t>
      </w:r>
      <w:r>
        <w:rPr>
          <w:rFonts w:hint="eastAsia" w:ascii="仿宋" w:hAnsi="仿宋" w:eastAsia="仿宋" w:cs="仿宋"/>
          <w:sz w:val="32"/>
          <w:szCs w:val="40"/>
          <w:lang w:eastAsia="zh-CN"/>
        </w:rPr>
        <w:t>。</w:t>
      </w:r>
    </w:p>
    <w:p>
      <w:pPr>
        <w:ind w:firstLine="640" w:firstLineChars="200"/>
        <w:rPr>
          <w:rFonts w:ascii="仿宋" w:hAnsi="仿宋" w:eastAsia="仿宋" w:cs="仿宋"/>
          <w:sz w:val="32"/>
          <w:szCs w:val="40"/>
        </w:rPr>
      </w:pPr>
      <w:r>
        <w:rPr>
          <w:rFonts w:hint="eastAsia" w:ascii="仿宋" w:hAnsi="仿宋" w:eastAsia="仿宋" w:cs="仿宋"/>
          <w:sz w:val="32"/>
          <w:szCs w:val="40"/>
        </w:rPr>
        <w:t>（七）负费综合协调和监督管理县级各部门公共服务事项的集中统一办理；推进重点</w:t>
      </w:r>
      <w:r>
        <w:rPr>
          <w:rFonts w:hint="eastAsia" w:ascii="仿宋" w:hAnsi="仿宋" w:eastAsia="仿宋" w:cs="仿宋"/>
          <w:sz w:val="32"/>
          <w:szCs w:val="40"/>
          <w:lang w:eastAsia="zh-CN"/>
        </w:rPr>
        <w:t>项目</w:t>
      </w:r>
      <w:r>
        <w:rPr>
          <w:rFonts w:hint="eastAsia" w:ascii="仿宋" w:hAnsi="仿宋" w:eastAsia="仿宋" w:cs="仿宋"/>
          <w:sz w:val="32"/>
          <w:szCs w:val="40"/>
        </w:rPr>
        <w:t>审批服务的综合协调和</w:t>
      </w:r>
      <w:r>
        <w:rPr>
          <w:rFonts w:hint="eastAsia" w:ascii="仿宋" w:hAnsi="仿宋" w:eastAsia="仿宋" w:cs="仿宋"/>
          <w:sz w:val="32"/>
          <w:szCs w:val="40"/>
          <w:lang w:eastAsia="zh-CN"/>
        </w:rPr>
        <w:t>督办</w:t>
      </w:r>
      <w:r>
        <w:rPr>
          <w:rFonts w:hint="eastAsia" w:ascii="仿宋" w:hAnsi="仿宋" w:eastAsia="仿宋" w:cs="仿宋"/>
          <w:sz w:val="32"/>
          <w:szCs w:val="40"/>
        </w:rPr>
        <w:t>；组织相关部门开展审批服务事项的联合办理和联审会办；研究推进并联审批服务工作。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（八）协调指导公共资源交易市场工作。</w:t>
      </w:r>
      <w:r>
        <w:rPr>
          <w:rFonts w:hint="eastAsia" w:ascii="仿宋" w:hAnsi="仿宋" w:eastAsia="仿宋" w:cs="仿宋"/>
          <w:sz w:val="32"/>
          <w:szCs w:val="40"/>
          <w:lang w:eastAsia="zh-CN"/>
        </w:rPr>
        <w:t>拟定</w:t>
      </w:r>
      <w:r>
        <w:rPr>
          <w:rFonts w:hint="eastAsia" w:ascii="仿宋" w:hAnsi="仿宋" w:eastAsia="仿宋" w:cs="仿宋"/>
          <w:sz w:val="32"/>
          <w:szCs w:val="40"/>
        </w:rPr>
        <w:t>公共资源交易市场管理制度和规则；编制全县公共资源交易目录；</w:t>
      </w:r>
      <w:r>
        <w:rPr>
          <w:rFonts w:hint="eastAsia" w:ascii="仿宋" w:hAnsi="仿宋" w:eastAsia="仿宋" w:cs="仿宋"/>
          <w:sz w:val="32"/>
          <w:szCs w:val="40"/>
          <w:lang w:eastAsia="zh-CN"/>
        </w:rPr>
        <w:t>负责建设、管理公共资源交易电子服务系统；负责推进公共资源交易领域信用体系建设;指导监督县本级公共资源交易项目进场交易；负责县本级公共资源交易项目场内交易活动的监督工作，将违法违规问题移送有关部门处理；协调开展县级公共资源交易活动的联动执法。</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九）统筹推进“互联网＋政务服务”工作，档建一体化政务服务平台。推行政务服务事项网上办理，形成管理机构、实体大厅、网上平台“三位一体”的政务服务管理模式；推进全县电子证照库建设；推进全县政务服务平台规范化、标准化、集约化建设和互联互通、数据共享。负责推进行政审批、公共服务、中介服务和公共资源交易信息化建设。</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引导和推动全县社会信用体系建设。组织制定发展规划和年度工作要点；推动健全信用法规制度和标准体系；负责县级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（十一）负责行政审批大厅的建设和管理，负责对入驻行政审批大厅的行政审批行为进行规范、监督和管理，对行政审批窗口工作人员进行教育，培训、管理和绩效考核。</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（十二）负责对进入行政审批大厅的行政审批、公共资源交易活动及其他政务服务事项投诉举报的承办、转办和督办工作。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（十三）完成县委、县政府交办的其他任务。</w:t>
      </w:r>
    </w:p>
    <w:p>
      <w:pPr>
        <w:pStyle w:val="25"/>
        <w:spacing w:line="560" w:lineRule="exact"/>
        <w:ind w:firstLine="480" w:firstLineChars="150"/>
        <w:rPr>
          <w:rFonts w:ascii="黑体" w:hAnsi="黑体" w:eastAsia="黑体"/>
          <w:sz w:val="32"/>
          <w:szCs w:val="32"/>
        </w:rPr>
      </w:pPr>
      <w:r>
        <w:rPr>
          <w:rFonts w:ascii="黑体" w:hAnsi="黑体" w:eastAsia="黑体"/>
          <w:sz w:val="32"/>
          <w:szCs w:val="32"/>
        </w:rPr>
        <w:t>机构设置情况</w:t>
      </w:r>
    </w:p>
    <w:p>
      <w:pPr>
        <w:pStyle w:val="25"/>
        <w:spacing w:line="560" w:lineRule="exact"/>
        <w:ind w:firstLine="720" w:firstLineChars="225"/>
        <w:rPr>
          <w:rFonts w:ascii="仿宋" w:hAnsi="仿宋" w:eastAsia="仿宋"/>
          <w:sz w:val="32"/>
          <w:szCs w:val="32"/>
          <w:lang w:eastAsia="zh-CN"/>
        </w:rPr>
      </w:pPr>
      <w:r>
        <w:rPr>
          <w:rFonts w:ascii="仿宋" w:hAnsi="仿宋" w:eastAsia="仿宋"/>
          <w:sz w:val="32"/>
          <w:szCs w:val="32"/>
        </w:rPr>
        <w:t>按“三定”规定，内设行政机构6个：办公室、政策法规股（行政审批制度改革领导小组办公室）、综合受理股（项目投资股）、政务服务股、社会服务股、证照股。下设事业单位1个：涞水县公共资源交易中心</w:t>
      </w:r>
      <w:r>
        <w:rPr>
          <w:rFonts w:hint="eastAsia" w:ascii="仿宋" w:hAnsi="仿宋" w:eastAsia="仿宋"/>
          <w:sz w:val="32"/>
          <w:szCs w:val="32"/>
          <w:lang w:eastAsia="zh-CN"/>
        </w:rPr>
        <w:t>.</w:t>
      </w:r>
    </w:p>
    <w:tbl>
      <w:tblPr>
        <w:tblStyle w:val="10"/>
        <w:tblpPr w:leftFromText="180" w:rightFromText="180" w:vertAnchor="text" w:horzAnchor="page" w:tblpXSpec="center" w:tblpY="269"/>
        <w:tblOverlap w:val="never"/>
        <w:tblW w:w="9304" w:type="dxa"/>
        <w:tblInd w:w="0" w:type="dxa"/>
        <w:tblLayout w:type="fixed"/>
        <w:tblCellMar>
          <w:top w:w="0" w:type="dxa"/>
          <w:left w:w="108" w:type="dxa"/>
          <w:bottom w:w="0" w:type="dxa"/>
          <w:right w:w="108" w:type="dxa"/>
        </w:tblCellMar>
      </w:tblPr>
      <w:tblGrid>
        <w:gridCol w:w="1026"/>
        <w:gridCol w:w="2768"/>
        <w:gridCol w:w="1448"/>
        <w:gridCol w:w="1805"/>
        <w:gridCol w:w="2257"/>
      </w:tblGrid>
      <w:tr>
        <w:tblPrEx>
          <w:tblCellMar>
            <w:top w:w="0" w:type="dxa"/>
            <w:left w:w="108" w:type="dxa"/>
            <w:bottom w:w="0" w:type="dxa"/>
            <w:right w:w="108" w:type="dxa"/>
          </w:tblCellMar>
        </w:tblPrEx>
        <w:trPr>
          <w:trHeight w:val="438" w:hRule="atLeast"/>
        </w:trPr>
        <w:tc>
          <w:tcPr>
            <w:tcW w:w="9304" w:type="dxa"/>
            <w:gridSpan w:val="5"/>
            <w:tcBorders>
              <w:top w:val="nil"/>
              <w:left w:val="nil"/>
              <w:bottom w:val="single" w:color="auto" w:sz="4" w:space="0"/>
              <w:right w:val="nil"/>
            </w:tcBorders>
            <w:vAlign w:val="center"/>
          </w:tcPr>
          <w:p>
            <w:pPr>
              <w:spacing w:line="360" w:lineRule="auto"/>
              <w:ind w:firstLine="482" w:firstLineChars="150"/>
              <w:jc w:val="center"/>
              <w:rPr>
                <w:rFonts w:ascii="仿宋" w:hAnsi="仿宋" w:eastAsia="仿宋" w:cs="仿宋_GB2312"/>
                <w:b/>
                <w:sz w:val="32"/>
                <w:szCs w:val="32"/>
              </w:rPr>
            </w:pPr>
            <w:r>
              <w:rPr>
                <w:rFonts w:hint="eastAsia" w:ascii="仿宋" w:hAnsi="仿宋" w:eastAsia="仿宋" w:cs="仿宋_GB2312"/>
                <w:b/>
                <w:sz w:val="32"/>
                <w:szCs w:val="32"/>
              </w:rPr>
              <w:t>单位机构设置情况</w:t>
            </w:r>
          </w:p>
        </w:tc>
      </w:tr>
      <w:tr>
        <w:tblPrEx>
          <w:tblCellMar>
            <w:top w:w="0" w:type="dxa"/>
            <w:left w:w="108" w:type="dxa"/>
            <w:bottom w:w="0" w:type="dxa"/>
            <w:right w:w="108" w:type="dxa"/>
          </w:tblCellMar>
        </w:tblPrEx>
        <w:trPr>
          <w:trHeight w:val="547" w:hRule="atLeast"/>
        </w:trPr>
        <w:tc>
          <w:tcPr>
            <w:tcW w:w="1026"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序号</w:t>
            </w:r>
          </w:p>
        </w:tc>
        <w:tc>
          <w:tcPr>
            <w:tcW w:w="276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单位名称</w:t>
            </w:r>
          </w:p>
        </w:tc>
        <w:tc>
          <w:tcPr>
            <w:tcW w:w="1448" w:type="dxa"/>
            <w:vMerge w:val="restart"/>
            <w:tcBorders>
              <w:top w:val="nil"/>
              <w:left w:val="single" w:color="auto" w:sz="4" w:space="0"/>
              <w:bottom w:val="single" w:color="000000" w:sz="4" w:space="0"/>
              <w:right w:val="single" w:color="auto" w:sz="4" w:space="0"/>
            </w:tcBorders>
            <w:vAlign w:val="center"/>
          </w:tcPr>
          <w:p>
            <w:pP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单位性质</w:t>
            </w:r>
          </w:p>
        </w:tc>
        <w:tc>
          <w:tcPr>
            <w:tcW w:w="1805"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单位规格</w:t>
            </w:r>
          </w:p>
        </w:tc>
        <w:tc>
          <w:tcPr>
            <w:tcW w:w="2257"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经费保障形式</w:t>
            </w:r>
          </w:p>
        </w:tc>
      </w:tr>
      <w:tr>
        <w:tblPrEx>
          <w:tblCellMar>
            <w:top w:w="0" w:type="dxa"/>
            <w:left w:w="108" w:type="dxa"/>
            <w:bottom w:w="0" w:type="dxa"/>
            <w:right w:w="108" w:type="dxa"/>
          </w:tblCellMar>
        </w:tblPrEx>
        <w:trPr>
          <w:trHeight w:val="604" w:hRule="atLeast"/>
        </w:trPr>
        <w:tc>
          <w:tcPr>
            <w:tcW w:w="1026"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76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44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805"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257"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8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涞水县行政审批局局（本级）</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行政</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正科级</w:t>
            </w:r>
          </w:p>
        </w:tc>
        <w:tc>
          <w:tcPr>
            <w:tcW w:w="2257"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财政拨款</w:t>
            </w:r>
          </w:p>
        </w:tc>
      </w:tr>
    </w:tbl>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二、单位预算安排的总体情况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反映</w:t>
      </w:r>
      <w:r>
        <w:rPr>
          <w:rFonts w:hint="eastAsia" w:ascii="仿宋" w:hAnsi="仿宋" w:eastAsia="仿宋" w:cs="仿宋"/>
          <w:sz w:val="32"/>
          <w:szCs w:val="32"/>
        </w:rPr>
        <w:t>本单位当年全部收入，2022年预算收入总额</w:t>
      </w:r>
      <w:r>
        <w:rPr>
          <w:rFonts w:hint="eastAsia" w:ascii="仿宋" w:hAnsi="仿宋" w:eastAsia="仿宋" w:cs="仿宋"/>
          <w:sz w:val="32"/>
          <w:szCs w:val="32"/>
          <w:lang w:eastAsia="zh-CN"/>
        </w:rPr>
        <w:t>550.11</w:t>
      </w:r>
      <w:r>
        <w:rPr>
          <w:rFonts w:hint="eastAsia" w:ascii="仿宋" w:hAnsi="仿宋" w:eastAsia="仿宋" w:cs="仿宋"/>
          <w:sz w:val="32"/>
          <w:szCs w:val="32"/>
        </w:rPr>
        <w:t>万元，均为一般公共预算拨款，其中财政拨款收入</w:t>
      </w:r>
      <w:r>
        <w:rPr>
          <w:rFonts w:hint="eastAsia" w:ascii="仿宋" w:hAnsi="仿宋" w:eastAsia="仿宋" w:cs="仿宋"/>
          <w:sz w:val="32"/>
          <w:szCs w:val="32"/>
          <w:lang w:eastAsia="zh-CN"/>
        </w:rPr>
        <w:t>550.11</w:t>
      </w:r>
      <w:r>
        <w:rPr>
          <w:rFonts w:hint="eastAsia" w:ascii="仿宋" w:hAnsi="仿宋" w:eastAsia="仿宋" w:cs="仿宋"/>
          <w:sz w:val="32"/>
          <w:szCs w:val="32"/>
        </w:rPr>
        <w:t>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2021年预算支出总额</w:t>
      </w:r>
      <w:r>
        <w:rPr>
          <w:rFonts w:hint="eastAsia" w:ascii="仿宋" w:hAnsi="仿宋" w:eastAsia="仿宋" w:cs="仿宋"/>
          <w:sz w:val="32"/>
          <w:szCs w:val="32"/>
          <w:lang w:eastAsia="zh-CN"/>
        </w:rPr>
        <w:t>550.11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288.11</w:t>
      </w:r>
      <w:r>
        <w:rPr>
          <w:rFonts w:hint="eastAsia" w:ascii="仿宋" w:hAnsi="仿宋" w:eastAsia="仿宋" w:cs="仿宋"/>
          <w:sz w:val="32"/>
          <w:szCs w:val="32"/>
        </w:rPr>
        <w:t>万元，包含人员经费支出</w:t>
      </w:r>
      <w:r>
        <w:rPr>
          <w:rFonts w:hint="eastAsia" w:ascii="仿宋" w:hAnsi="仿宋" w:eastAsia="仿宋" w:cs="仿宋"/>
          <w:sz w:val="32"/>
          <w:szCs w:val="32"/>
          <w:lang w:eastAsia="zh-CN"/>
        </w:rPr>
        <w:t>202.85</w:t>
      </w:r>
      <w:r>
        <w:rPr>
          <w:rFonts w:hint="eastAsia" w:ascii="仿宋" w:hAnsi="仿宋" w:eastAsia="仿宋" w:cs="仿宋"/>
          <w:sz w:val="32"/>
          <w:szCs w:val="32"/>
        </w:rPr>
        <w:t>万元、日常公用经费支出</w:t>
      </w:r>
      <w:r>
        <w:rPr>
          <w:rFonts w:hint="eastAsia" w:ascii="仿宋" w:hAnsi="仿宋" w:eastAsia="仿宋" w:cs="仿宋"/>
          <w:sz w:val="32"/>
          <w:szCs w:val="32"/>
          <w:lang w:eastAsia="zh-CN"/>
        </w:rPr>
        <w:t>85.26</w:t>
      </w:r>
      <w:r>
        <w:rPr>
          <w:rFonts w:hint="eastAsia" w:ascii="仿宋" w:hAnsi="仿宋" w:eastAsia="仿宋" w:cs="仿宋"/>
          <w:sz w:val="32"/>
          <w:szCs w:val="32"/>
        </w:rPr>
        <w:t>万元，项目支出262万元，上缴上级支出0万元，经营支出0万元，对附属单位补助支出0万元。</w:t>
      </w:r>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3、比上年增减情况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eastAsia="zh-CN"/>
        </w:rPr>
        <w:t>550.11</w:t>
      </w:r>
      <w:r>
        <w:rPr>
          <w:rFonts w:hint="eastAsia" w:ascii="仿宋" w:hAnsi="仿宋" w:eastAsia="仿宋" w:cs="仿宋"/>
          <w:sz w:val="32"/>
          <w:szCs w:val="32"/>
        </w:rPr>
        <w:t>万元，较上年增加11</w:t>
      </w:r>
      <w:r>
        <w:rPr>
          <w:rFonts w:hint="eastAsia" w:ascii="仿宋" w:hAnsi="仿宋" w:eastAsia="仿宋" w:cs="仿宋"/>
          <w:sz w:val="32"/>
          <w:szCs w:val="32"/>
          <w:lang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61</w:t>
      </w:r>
      <w:r>
        <w:rPr>
          <w:rFonts w:hint="eastAsia" w:ascii="仿宋" w:hAnsi="仿宋" w:eastAsia="仿宋" w:cs="仿宋"/>
          <w:sz w:val="32"/>
          <w:szCs w:val="32"/>
        </w:rPr>
        <w:t>万元。其中基本支出增加</w:t>
      </w:r>
      <w:r>
        <w:rPr>
          <w:rFonts w:hint="eastAsia" w:ascii="仿宋" w:hAnsi="仿宋" w:eastAsia="仿宋" w:cs="仿宋"/>
          <w:sz w:val="32"/>
          <w:szCs w:val="32"/>
          <w:lang w:eastAsia="zh-CN"/>
        </w:rPr>
        <w:t>53.7</w:t>
      </w:r>
      <w:r>
        <w:rPr>
          <w:rFonts w:hint="eastAsia" w:ascii="仿宋" w:hAnsi="仿宋" w:eastAsia="仿宋" w:cs="仿宋"/>
          <w:sz w:val="32"/>
          <w:szCs w:val="32"/>
        </w:rPr>
        <w:t>万元，变动原因：人员变动，保险基数上调相应费用变化。项目支出增加了58.91万元，变动原因：新增了刻制公章等项目。</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我单位安排财政拨款支出主要用于保障审批机构正常运转、完成日常工作任务。日常公用经费</w:t>
      </w:r>
      <w:r>
        <w:rPr>
          <w:rFonts w:hint="eastAsia" w:ascii="仿宋" w:hAnsi="仿宋" w:eastAsia="仿宋" w:cs="仿宋"/>
          <w:sz w:val="32"/>
          <w:szCs w:val="32"/>
          <w:lang w:eastAsia="zh-CN"/>
        </w:rPr>
        <w:t>85.26</w:t>
      </w:r>
      <w:r>
        <w:rPr>
          <w:rFonts w:hint="eastAsia" w:ascii="仿宋" w:hAnsi="仿宋" w:eastAsia="仿宋" w:cs="仿宋"/>
          <w:sz w:val="32"/>
          <w:szCs w:val="32"/>
        </w:rPr>
        <w:t>万元，其中：办公费</w:t>
      </w:r>
      <w:r>
        <w:rPr>
          <w:rFonts w:hint="eastAsia" w:ascii="仿宋" w:hAnsi="仿宋" w:eastAsia="仿宋" w:cs="仿宋"/>
          <w:sz w:val="32"/>
          <w:szCs w:val="32"/>
          <w:lang w:eastAsia="zh-CN"/>
        </w:rPr>
        <w:t>3.5</w:t>
      </w:r>
      <w:r>
        <w:rPr>
          <w:rFonts w:hint="eastAsia" w:ascii="仿宋" w:hAnsi="仿宋" w:eastAsia="仿宋" w:cs="仿宋"/>
          <w:sz w:val="32"/>
          <w:szCs w:val="32"/>
        </w:rPr>
        <w:t>万元，邮电费0.18万元，取暖费6.24万元，差旅费</w:t>
      </w:r>
      <w:r>
        <w:rPr>
          <w:rFonts w:hint="eastAsia" w:ascii="仿宋" w:hAnsi="仿宋" w:eastAsia="仿宋" w:cs="仿宋"/>
          <w:sz w:val="32"/>
          <w:szCs w:val="32"/>
          <w:lang w:eastAsia="zh-CN"/>
        </w:rPr>
        <w:t>2.5</w:t>
      </w:r>
      <w:r>
        <w:rPr>
          <w:rFonts w:hint="eastAsia" w:ascii="仿宋" w:hAnsi="仿宋" w:eastAsia="仿宋" w:cs="仿宋"/>
          <w:sz w:val="32"/>
          <w:szCs w:val="32"/>
        </w:rPr>
        <w:t>万元，公务接待费2万元，劳务费55.5万元，公务用车维护费2万元，公务交通补贴9.42万元，工会经费</w:t>
      </w:r>
      <w:r>
        <w:rPr>
          <w:rFonts w:hint="eastAsia" w:ascii="仿宋" w:hAnsi="仿宋" w:eastAsia="仿宋" w:cs="仿宋"/>
          <w:sz w:val="32"/>
          <w:szCs w:val="32"/>
          <w:lang w:eastAsia="zh-CN"/>
        </w:rPr>
        <w:t>1.65</w:t>
      </w:r>
      <w:r>
        <w:rPr>
          <w:rFonts w:hint="eastAsia" w:ascii="仿宋" w:hAnsi="仿宋" w:eastAsia="仿宋" w:cs="仿宋"/>
          <w:sz w:val="32"/>
          <w:szCs w:val="32"/>
        </w:rPr>
        <w:t>万元，职工福利费</w:t>
      </w:r>
      <w:r>
        <w:rPr>
          <w:rFonts w:hint="eastAsia" w:ascii="仿宋" w:hAnsi="仿宋" w:eastAsia="仿宋" w:cs="仿宋"/>
          <w:sz w:val="32"/>
          <w:szCs w:val="32"/>
          <w:lang w:eastAsia="zh-CN"/>
        </w:rPr>
        <w:t>2.27</w:t>
      </w:r>
      <w:r>
        <w:rPr>
          <w:rFonts w:hint="eastAsia" w:ascii="仿宋" w:hAnsi="仿宋" w:eastAsia="仿宋" w:cs="仿宋"/>
          <w:sz w:val="32"/>
          <w:szCs w:val="32"/>
        </w:rPr>
        <w:t>万元。</w:t>
      </w:r>
    </w:p>
    <w:p>
      <w:pPr>
        <w:tabs>
          <w:tab w:val="left" w:pos="490"/>
        </w:tabs>
        <w:spacing w:line="520" w:lineRule="exact"/>
        <w:ind w:firstLine="473" w:firstLineChars="148"/>
        <w:rPr>
          <w:rFonts w:ascii="黑体" w:hAnsi="黑体" w:eastAsia="黑体" w:cs="黑体"/>
          <w:sz w:val="32"/>
          <w:szCs w:val="32"/>
          <w:lang w:eastAsia="zh-CN"/>
        </w:rPr>
      </w:pPr>
    </w:p>
    <w:p>
      <w:pPr>
        <w:numPr>
          <w:ilvl w:val="0"/>
          <w:numId w:val="2"/>
        </w:numPr>
        <w:tabs>
          <w:tab w:val="left" w:pos="490"/>
        </w:tabs>
        <w:spacing w:line="520" w:lineRule="exact"/>
        <w:ind w:firstLine="473" w:firstLineChars="148"/>
        <w:rPr>
          <w:rFonts w:ascii="黑体" w:hAnsi="黑体" w:eastAsia="黑体" w:cs="黑体"/>
          <w:sz w:val="32"/>
          <w:szCs w:val="32"/>
        </w:rPr>
      </w:pPr>
      <w:r>
        <w:rPr>
          <w:rFonts w:hint="eastAsia" w:ascii="黑体" w:hAnsi="黑体" w:eastAsia="黑体" w:cs="黑体"/>
          <w:sz w:val="32"/>
          <w:szCs w:val="32"/>
        </w:rPr>
        <w:t>财政拨款“三公”经费预算情况及增减变化原因</w:t>
      </w:r>
    </w:p>
    <w:p>
      <w:pPr>
        <w:tabs>
          <w:tab w:val="left" w:pos="490"/>
        </w:tabs>
        <w:spacing w:line="520" w:lineRule="exact"/>
        <w:rPr>
          <w:rFonts w:ascii="黑体" w:hAnsi="黑体" w:eastAsia="黑体" w:cs="黑体"/>
          <w:sz w:val="32"/>
          <w:szCs w:val="32"/>
        </w:rPr>
      </w:pPr>
    </w:p>
    <w:tbl>
      <w:tblPr>
        <w:tblStyle w:val="10"/>
        <w:tblpPr w:leftFromText="180" w:rightFromText="180" w:vertAnchor="text" w:horzAnchor="margin" w:tblpXSpec="center" w:tblpY="845"/>
        <w:tblOverlap w:val="never"/>
        <w:tblW w:w="9855" w:type="dxa"/>
        <w:tblInd w:w="0" w:type="dxa"/>
        <w:tblLayout w:type="fixed"/>
        <w:tblCellMar>
          <w:top w:w="0" w:type="dxa"/>
          <w:left w:w="108" w:type="dxa"/>
          <w:bottom w:w="0" w:type="dxa"/>
          <w:right w:w="108" w:type="dxa"/>
        </w:tblCellMar>
      </w:tblPr>
      <w:tblGrid>
        <w:gridCol w:w="2802"/>
        <w:gridCol w:w="1275"/>
        <w:gridCol w:w="1276"/>
        <w:gridCol w:w="1559"/>
        <w:gridCol w:w="2943"/>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spacing w:line="520" w:lineRule="exact"/>
              <w:jc w:val="center"/>
              <w:rPr>
                <w:rFonts w:ascii="仿宋" w:hAnsi="仿宋" w:eastAsia="仿宋" w:cs="仿宋"/>
                <w:b/>
                <w:bCs/>
                <w:sz w:val="30"/>
                <w:szCs w:val="30"/>
              </w:rPr>
            </w:pPr>
            <w:r>
              <w:rPr>
                <w:rFonts w:hint="eastAsia" w:ascii="仿宋" w:hAnsi="仿宋" w:eastAsia="仿宋" w:cs="仿宋"/>
                <w:b/>
                <w:bCs/>
                <w:sz w:val="30"/>
                <w:szCs w:val="30"/>
              </w:rPr>
              <w:t>“三公”经费预算情况及增减变化原因</w:t>
            </w:r>
          </w:p>
          <w:p>
            <w:pPr>
              <w:spacing w:line="520" w:lineRule="exact"/>
              <w:jc w:val="center"/>
              <w:rPr>
                <w:rFonts w:ascii="仿宋" w:hAnsi="仿宋" w:eastAsia="仿宋" w:cs="仿宋"/>
                <w:sz w:val="30"/>
                <w:szCs w:val="30"/>
              </w:rPr>
            </w:pPr>
          </w:p>
        </w:tc>
      </w:tr>
      <w:tr>
        <w:tblPrEx>
          <w:tblCellMar>
            <w:top w:w="0" w:type="dxa"/>
            <w:left w:w="108" w:type="dxa"/>
            <w:bottom w:w="0" w:type="dxa"/>
            <w:right w:w="108" w:type="dxa"/>
          </w:tblCellMar>
        </w:tblPrEx>
        <w:trPr>
          <w:trHeight w:val="829" w:hRule="atLeast"/>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项目名称</w:t>
            </w:r>
          </w:p>
        </w:tc>
        <w:tc>
          <w:tcPr>
            <w:tcW w:w="127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2021年度预算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2022年度预算</w:t>
            </w:r>
          </w:p>
        </w:tc>
        <w:tc>
          <w:tcPr>
            <w:tcW w:w="1559"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增减金额</w:t>
            </w:r>
          </w:p>
        </w:tc>
        <w:tc>
          <w:tcPr>
            <w:tcW w:w="2943"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变化原因</w:t>
            </w:r>
          </w:p>
        </w:tc>
      </w:tr>
      <w:tr>
        <w:tblPrEx>
          <w:tblCellMar>
            <w:top w:w="0" w:type="dxa"/>
            <w:left w:w="108" w:type="dxa"/>
            <w:bottom w:w="0" w:type="dxa"/>
            <w:right w:w="108" w:type="dxa"/>
          </w:tblCellMar>
        </w:tblPrEx>
        <w:trPr>
          <w:trHeight w:val="34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因公出国经费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7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公务用车购置经费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9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公务用车运行经费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30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公务接待费支出</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579" w:hRule="atLeast"/>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bl>
    <w:p>
      <w:pPr>
        <w:spacing w:line="560" w:lineRule="exact"/>
        <w:rPr>
          <w:rFonts w:ascii="仿宋" w:hAnsi="仿宋" w:eastAsia="仿宋" w:cs="仿宋_GB2312"/>
          <w:bCs/>
          <w:i/>
          <w:sz w:val="30"/>
          <w:szCs w:val="30"/>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2022年 “三公”经费支出4万元，其中：公车运行维护费2万元，公务接待费2万元，计划</w:t>
      </w:r>
      <w:r>
        <w:rPr>
          <w:rFonts w:hint="eastAsia" w:ascii="仿宋" w:hAnsi="仿宋" w:eastAsia="仿宋" w:cs="仿宋"/>
          <w:color w:val="000000"/>
          <w:sz w:val="32"/>
          <w:szCs w:val="32"/>
        </w:rPr>
        <w:t>接待各地方审批考察人员招待任务等。</w:t>
      </w:r>
      <w:r>
        <w:rPr>
          <w:rFonts w:hint="eastAsia" w:ascii="仿宋" w:hAnsi="仿宋" w:eastAsia="仿宋" w:cs="仿宋"/>
          <w:sz w:val="32"/>
          <w:szCs w:val="32"/>
        </w:rPr>
        <w:t>因公出国出境0万元。2021年预算安排“三公”经费支出4万元，其中：公务用车购置经费0万元，公车运行维护费2万元，公务接待费2万元，因公出国出境0万元，与2022年三公经费相比无增减变化。</w:t>
      </w:r>
    </w:p>
    <w:p>
      <w:pPr>
        <w:widowControl w:val="0"/>
        <w:numPr>
          <w:ilvl w:val="0"/>
          <w:numId w:val="3"/>
        </w:numPr>
        <w:spacing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绩效预算信息情况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第一部分单位整体绩效目标</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（一）总体绩效目标</w:t>
      </w:r>
    </w:p>
    <w:p>
      <w:pPr>
        <w:pStyle w:val="29"/>
        <w:spacing w:line="560" w:lineRule="exact"/>
        <w:ind w:firstLine="566" w:firstLineChars="177"/>
        <w:rPr>
          <w:rFonts w:ascii="仿宋" w:hAnsi="仿宋" w:eastAsia="仿宋"/>
          <w:sz w:val="32"/>
          <w:szCs w:val="32"/>
        </w:rPr>
      </w:pPr>
      <w:r>
        <w:rPr>
          <w:rFonts w:ascii="仿宋" w:hAnsi="仿宋" w:eastAsia="仿宋"/>
          <w:sz w:val="32"/>
          <w:szCs w:val="32"/>
        </w:rPr>
        <w:t>持续深入开展“放管服”改革；</w:t>
      </w:r>
    </w:p>
    <w:p>
      <w:pPr>
        <w:pStyle w:val="29"/>
        <w:spacing w:line="560" w:lineRule="exact"/>
        <w:ind w:firstLineChars="175"/>
        <w:rPr>
          <w:rFonts w:ascii="仿宋" w:hAnsi="仿宋" w:eastAsia="仿宋"/>
          <w:sz w:val="32"/>
          <w:szCs w:val="32"/>
        </w:rPr>
      </w:pPr>
      <w:r>
        <w:rPr>
          <w:rFonts w:ascii="仿宋" w:hAnsi="仿宋" w:eastAsia="仿宋"/>
          <w:sz w:val="32"/>
          <w:szCs w:val="32"/>
        </w:rPr>
        <w:t>进一步加强“一业一证”、“证照联办”宣传工作；</w:t>
      </w:r>
    </w:p>
    <w:p>
      <w:pPr>
        <w:pStyle w:val="29"/>
        <w:spacing w:line="560" w:lineRule="exact"/>
        <w:rPr>
          <w:rFonts w:ascii="仿宋" w:hAnsi="仿宋" w:eastAsia="仿宋"/>
          <w:sz w:val="32"/>
          <w:szCs w:val="32"/>
        </w:rPr>
      </w:pPr>
      <w:r>
        <w:rPr>
          <w:rFonts w:ascii="仿宋" w:hAnsi="仿宋" w:eastAsia="仿宋"/>
          <w:sz w:val="32"/>
          <w:szCs w:val="32"/>
        </w:rPr>
        <w:t>加强对“证照分离”改革相关政策的学习；</w:t>
      </w:r>
    </w:p>
    <w:p>
      <w:pPr>
        <w:pStyle w:val="29"/>
        <w:spacing w:line="560" w:lineRule="exact"/>
        <w:rPr>
          <w:rFonts w:ascii="仿宋" w:hAnsi="仿宋" w:eastAsia="仿宋"/>
          <w:sz w:val="32"/>
          <w:szCs w:val="32"/>
        </w:rPr>
      </w:pPr>
      <w:r>
        <w:rPr>
          <w:rFonts w:ascii="仿宋" w:hAnsi="仿宋" w:eastAsia="仿宋"/>
          <w:sz w:val="32"/>
          <w:szCs w:val="32"/>
        </w:rPr>
        <w:t>行政备案网上搜集备案模式，再次梳理行政备案事项清单 ；</w:t>
      </w:r>
    </w:p>
    <w:p>
      <w:pPr>
        <w:pStyle w:val="29"/>
        <w:spacing w:line="560" w:lineRule="exact"/>
        <w:rPr>
          <w:rFonts w:ascii="仿宋" w:hAnsi="仿宋" w:eastAsia="仿宋"/>
          <w:sz w:val="32"/>
          <w:szCs w:val="32"/>
        </w:rPr>
      </w:pPr>
      <w:r>
        <w:rPr>
          <w:rFonts w:ascii="仿宋" w:hAnsi="仿宋" w:eastAsia="仿宋"/>
          <w:sz w:val="32"/>
          <w:szCs w:val="32"/>
        </w:rPr>
        <w:t>持续推进“跨区域通办”工作；</w:t>
      </w:r>
    </w:p>
    <w:p>
      <w:pPr>
        <w:pStyle w:val="29"/>
        <w:spacing w:line="560" w:lineRule="exact"/>
        <w:rPr>
          <w:rFonts w:ascii="仿宋" w:hAnsi="仿宋" w:eastAsia="仿宋"/>
          <w:sz w:val="32"/>
          <w:szCs w:val="32"/>
        </w:rPr>
      </w:pPr>
      <w:r>
        <w:rPr>
          <w:rFonts w:ascii="仿宋" w:hAnsi="仿宋" w:eastAsia="仿宋"/>
          <w:sz w:val="32"/>
          <w:szCs w:val="32"/>
        </w:rPr>
        <w:t>深入工程建设项目审批制度改革。</w:t>
      </w:r>
    </w:p>
    <w:p>
      <w:pPr>
        <w:spacing w:before="10" w:after="10" w:line="560" w:lineRule="exact"/>
        <w:ind w:firstLine="560"/>
        <w:outlineLvl w:val="1"/>
        <w:rPr>
          <w:rFonts w:ascii="楷体" w:hAnsi="楷体" w:eastAsia="楷体"/>
          <w:sz w:val="32"/>
          <w:szCs w:val="32"/>
        </w:rPr>
      </w:pPr>
      <w:r>
        <w:rPr>
          <w:rFonts w:ascii="楷体" w:hAnsi="楷体" w:eastAsia="楷体" w:cs="方正黑体_GBK"/>
          <w:color w:val="000000"/>
          <w:sz w:val="32"/>
          <w:szCs w:val="32"/>
        </w:rPr>
        <w:t>（二）分项绩效目标</w:t>
      </w:r>
    </w:p>
    <w:p>
      <w:pPr>
        <w:pStyle w:val="30"/>
        <w:spacing w:line="560" w:lineRule="exact"/>
        <w:rPr>
          <w:rFonts w:ascii="仿宋" w:hAnsi="仿宋" w:eastAsia="仿宋"/>
          <w:sz w:val="32"/>
          <w:szCs w:val="32"/>
        </w:rPr>
      </w:pPr>
      <w:r>
        <w:rPr>
          <w:rFonts w:ascii="仿宋" w:hAnsi="仿宋" w:eastAsia="仿宋"/>
          <w:sz w:val="32"/>
          <w:szCs w:val="32"/>
        </w:rPr>
        <w:t>负责“一业一证”、“证照联办”的工作人员进一步学习办事指南和工作流程，做好政策宣传解读工作。在政务服务大厅的相关窗口摆放“一业一证”、“证照联办”办事指南，并在为新开办企业发放营业执照和办理行政许可事项的同时，加强宣传推广，让更多群众了解“一业一证”、“证照联办”服务，引导企业使用“一业一证”、“证照联办”套餐办事。</w:t>
      </w:r>
    </w:p>
    <w:p>
      <w:pPr>
        <w:pStyle w:val="30"/>
        <w:spacing w:line="560" w:lineRule="exact"/>
        <w:rPr>
          <w:rFonts w:ascii="仿宋" w:hAnsi="仿宋" w:eastAsia="仿宋"/>
          <w:sz w:val="32"/>
          <w:szCs w:val="32"/>
        </w:rPr>
      </w:pPr>
      <w:r>
        <w:rPr>
          <w:rFonts w:ascii="仿宋" w:hAnsi="仿宋" w:eastAsia="仿宋"/>
          <w:sz w:val="32"/>
          <w:szCs w:val="32"/>
        </w:rPr>
        <w:t>加强对“证照分离”改革相关政策的学习，各单位在政务大厅的驻厅人员做好“证照分离”改革政策解读工作，熟悉实行告知承诺制改革事项的具体改革举措，了解告知承诺制事项的办理流程、行业监管规则、告知承诺示范文本、办事指南和事中事后监管举措，提升工作人员业务素质和办事能力。</w:t>
      </w:r>
    </w:p>
    <w:p>
      <w:pPr>
        <w:pStyle w:val="30"/>
        <w:spacing w:line="560" w:lineRule="exact"/>
        <w:rPr>
          <w:rFonts w:ascii="仿宋" w:hAnsi="仿宋" w:eastAsia="仿宋"/>
          <w:sz w:val="32"/>
          <w:szCs w:val="32"/>
        </w:rPr>
      </w:pPr>
      <w:r>
        <w:rPr>
          <w:rFonts w:ascii="仿宋" w:hAnsi="仿宋" w:eastAsia="仿宋"/>
          <w:sz w:val="32"/>
          <w:szCs w:val="32"/>
        </w:rPr>
        <w:t>对直接取消审批的和审批改为备案的，相关部门依法依规实施监管。对实行告知承诺的，监管部门要重点对企业履行承诺情况进行检查，健全惩戒机制，将信用承诺履行情况纳入信用记录。审批部门及时准确推送审批信息，监管部门明确监管责任，健全监管规则，完善监管方法，精准监管内容，切实履行监管职责，依法监管持证经营企业、查处无证经营行为，防止出现监管真空，建立多元共治、互为支撑的协同监管格局，确保改革顺利推进。</w:t>
      </w:r>
    </w:p>
    <w:p>
      <w:pPr>
        <w:pStyle w:val="30"/>
        <w:spacing w:line="560" w:lineRule="exact"/>
        <w:rPr>
          <w:rFonts w:ascii="仿宋" w:hAnsi="仿宋" w:eastAsia="仿宋"/>
          <w:sz w:val="32"/>
          <w:szCs w:val="32"/>
        </w:rPr>
      </w:pPr>
      <w:r>
        <w:rPr>
          <w:rFonts w:ascii="仿宋" w:hAnsi="仿宋" w:eastAsia="仿宋"/>
          <w:sz w:val="32"/>
          <w:szCs w:val="32"/>
        </w:rPr>
        <w:t>作为全市行政备案事项梳理工作的试点县，下一步将继续深入落实省、市关于行政备案事项梳理工作的相关要求，搜集其他县（市）行政备案模式，在学习其他县（市）行政备案事项梳理工作经验的基础上改革创新，再次全面清理、严格规范行政备案事项。协调各单位对本单位权责范围内行政备案事项进行清理规范，逐条逐项梳理审核，确保行政备案名称准、依据准、类别准、范围准，事项不漏项、不缺项。按照上级要求完成行政备案规范管理改革工作，实现市县两级行政备案事项运行规范、系统集成、服务高效。持续推进“跨区域通办”工作，使“跨区域通办”工作成为常态化。推动各地政务服务工作实现一体化，实现异地受理、邮寄发证，利用信息多跑路，最大限度地方便了企业、群众跨区域办事，为建设人民满意的政务服务体系提供有力保障，为企业和群众提供更加优质、高效、便捷的政务服务。</w:t>
      </w:r>
    </w:p>
    <w:p>
      <w:pPr>
        <w:spacing w:line="560" w:lineRule="exact"/>
        <w:ind w:firstLine="640" w:firstLineChars="200"/>
        <w:rPr>
          <w:rFonts w:ascii="仿宋" w:hAnsi="仿宋" w:eastAsia="仿宋" w:cs="仿宋"/>
          <w:sz w:val="32"/>
          <w:szCs w:val="32"/>
        </w:rPr>
        <w:sectPr>
          <w:footerReference r:id="rId7" w:type="default"/>
          <w:pgSz w:w="16839" w:h="11907" w:orient="landscape"/>
          <w:pgMar w:top="1304" w:right="1984" w:bottom="1304" w:left="1134" w:header="851" w:footer="992" w:gutter="0"/>
          <w:cols w:space="425" w:num="1"/>
          <w:docGrid w:type="lines" w:linePitch="326" w:charSpace="0"/>
        </w:sectPr>
      </w:pPr>
    </w:p>
    <w:p>
      <w:pPr>
        <w:ind w:firstLine="160" w:firstLineChars="50"/>
        <w:rPr>
          <w:rFonts w:ascii="黑体" w:hAnsi="黑体" w:eastAsia="黑体" w:cs="黑体"/>
          <w:bCs/>
          <w:sz w:val="32"/>
          <w:szCs w:val="32"/>
        </w:rPr>
      </w:pPr>
      <w:r>
        <w:rPr>
          <w:rFonts w:hint="eastAsia" w:ascii="黑体" w:hAnsi="黑体" w:eastAsia="黑体" w:cs="黑体"/>
          <w:bCs/>
          <w:sz w:val="32"/>
          <w:szCs w:val="32"/>
        </w:rPr>
        <w:t>第二部分 预算项目绩效目标</w:t>
      </w:r>
    </w:p>
    <w:p>
      <w:pPr>
        <w:rPr>
          <w:rFonts w:ascii="仿宋" w:hAnsi="仿宋" w:eastAsia="仿宋"/>
          <w:sz w:val="30"/>
          <w:szCs w:val="30"/>
        </w:rPr>
      </w:pPr>
    </w:p>
    <w:p>
      <w:pPr>
        <w:ind w:firstLine="560"/>
        <w:outlineLvl w:val="3"/>
      </w:pPr>
      <w:bookmarkStart w:id="4" w:name="_Toc_4_4_0000000004"/>
      <w:r>
        <w:rPr>
          <w:rFonts w:ascii="方正仿宋_GBK" w:hAnsi="方正仿宋_GBK" w:eastAsia="方正仿宋_GBK" w:cs="方正仿宋_GBK"/>
          <w:color w:val="000000"/>
          <w:sz w:val="28"/>
        </w:rPr>
        <w:t>1.“放管服”改革经费绩效目标表</w:t>
      </w:r>
      <w:bookmarkEnd w:id="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pPr>
            <w: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20"/>
            </w:pPr>
            <w:r>
              <w:t>13062322P00790010002N</w:t>
            </w:r>
          </w:p>
        </w:tc>
        <w:tc>
          <w:tcPr>
            <w:tcW w:w="1587" w:type="dxa"/>
            <w:vAlign w:val="center"/>
          </w:tcPr>
          <w:p>
            <w:pPr>
              <w:pStyle w:val="18"/>
            </w:pPr>
            <w:r>
              <w:t>项目名称</w:t>
            </w:r>
          </w:p>
        </w:tc>
        <w:tc>
          <w:tcPr>
            <w:tcW w:w="4422" w:type="dxa"/>
            <w:gridSpan w:val="3"/>
            <w:vAlign w:val="center"/>
          </w:tcPr>
          <w:p>
            <w:pPr>
              <w:pStyle w:val="20"/>
            </w:pPr>
            <w:r>
              <w:t>“放管服”改革经费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20"/>
            </w:pPr>
            <w:r>
              <w:t>81.00</w:t>
            </w:r>
          </w:p>
        </w:tc>
        <w:tc>
          <w:tcPr>
            <w:tcW w:w="1587" w:type="dxa"/>
            <w:vAlign w:val="center"/>
          </w:tcPr>
          <w:p>
            <w:pPr>
              <w:pStyle w:val="18"/>
            </w:pPr>
            <w:r>
              <w:t>其中：财政    资金</w:t>
            </w:r>
          </w:p>
        </w:tc>
        <w:tc>
          <w:tcPr>
            <w:tcW w:w="1304" w:type="dxa"/>
            <w:vAlign w:val="center"/>
          </w:tcPr>
          <w:p>
            <w:pPr>
              <w:pStyle w:val="20"/>
            </w:pPr>
            <w:r>
              <w:t>81.00</w:t>
            </w:r>
          </w:p>
        </w:tc>
        <w:tc>
          <w:tcPr>
            <w:tcW w:w="1276" w:type="dxa"/>
            <w:vAlign w:val="center"/>
          </w:tcPr>
          <w:p>
            <w:pPr>
              <w:pStyle w:val="18"/>
            </w:pPr>
            <w:r>
              <w:t>其他资金</w:t>
            </w:r>
          </w:p>
        </w:tc>
        <w:tc>
          <w:tcPr>
            <w:tcW w:w="1843" w:type="dxa"/>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用于放管服经费、审批系统维护费、专家评审费、证照购置、运营车辆外检等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25%</w:t>
            </w:r>
          </w:p>
        </w:tc>
        <w:tc>
          <w:tcPr>
            <w:tcW w:w="1587" w:type="dxa"/>
            <w:vAlign w:val="center"/>
          </w:tcPr>
          <w:p>
            <w:pPr>
              <w:pStyle w:val="21"/>
            </w:pPr>
            <w:r>
              <w:t>50%</w:t>
            </w:r>
          </w:p>
        </w:tc>
        <w:tc>
          <w:tcPr>
            <w:tcW w:w="1304" w:type="dxa"/>
            <w:vAlign w:val="center"/>
          </w:tcPr>
          <w:p>
            <w:pPr>
              <w:pStyle w:val="21"/>
            </w:pPr>
            <w:r>
              <w:t>75%</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20"/>
            </w:pPr>
            <w:r>
              <w:t>1.落实全国、省市深化“放管服”政府职能工作部署，切实加强对“放管服”改革的领导。</w:t>
            </w:r>
          </w:p>
          <w:p>
            <w:pPr>
              <w:pStyle w:val="20"/>
            </w:pPr>
            <w:r>
              <w:t>2.规范单位管理，做好中心管理工作</w:t>
            </w:r>
          </w:p>
          <w:p>
            <w:pPr>
              <w:pStyle w:val="20"/>
            </w:pPr>
            <w:r>
              <w:t>3.保障机关正常运转</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20"/>
            </w:pPr>
            <w:r>
              <w:t>数量指标</w:t>
            </w:r>
          </w:p>
        </w:tc>
        <w:tc>
          <w:tcPr>
            <w:tcW w:w="1332" w:type="dxa"/>
            <w:vAlign w:val="center"/>
          </w:tcPr>
          <w:p>
            <w:pPr>
              <w:pStyle w:val="20"/>
            </w:pPr>
            <w:r>
              <w:t>放管服统筹推进量</w:t>
            </w:r>
          </w:p>
        </w:tc>
        <w:tc>
          <w:tcPr>
            <w:tcW w:w="2891" w:type="dxa"/>
            <w:vAlign w:val="center"/>
          </w:tcPr>
          <w:p>
            <w:pPr>
              <w:pStyle w:val="20"/>
            </w:pPr>
            <w:r>
              <w:t>“互联网+政务服务”和政务服务工作统筹推进量</w:t>
            </w:r>
          </w:p>
        </w:tc>
        <w:tc>
          <w:tcPr>
            <w:tcW w:w="1276" w:type="dxa"/>
            <w:vAlign w:val="center"/>
          </w:tcPr>
          <w:p>
            <w:pPr>
              <w:pStyle w:val="20"/>
            </w:pPr>
            <w:r>
              <w:t>≥80%</w:t>
            </w:r>
          </w:p>
        </w:tc>
        <w:tc>
          <w:tcPr>
            <w:tcW w:w="1843" w:type="dxa"/>
            <w:vAlign w:val="center"/>
          </w:tcPr>
          <w:p>
            <w:pPr>
              <w:pStyle w:val="20"/>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落实放管服工作及时率</w:t>
            </w:r>
          </w:p>
        </w:tc>
        <w:tc>
          <w:tcPr>
            <w:tcW w:w="2891" w:type="dxa"/>
            <w:vAlign w:val="center"/>
          </w:tcPr>
          <w:p>
            <w:pPr>
              <w:pStyle w:val="20"/>
            </w:pPr>
            <w:r>
              <w:t>落实放管服工作及时率</w:t>
            </w:r>
          </w:p>
        </w:tc>
        <w:tc>
          <w:tcPr>
            <w:tcW w:w="1276" w:type="dxa"/>
            <w:vAlign w:val="center"/>
          </w:tcPr>
          <w:p>
            <w:pPr>
              <w:pStyle w:val="20"/>
            </w:pPr>
            <w:r>
              <w:t>≥95%</w:t>
            </w:r>
          </w:p>
        </w:tc>
        <w:tc>
          <w:tcPr>
            <w:tcW w:w="1843" w:type="dxa"/>
            <w:vAlign w:val="center"/>
          </w:tcPr>
          <w:p>
            <w:pPr>
              <w:pStyle w:val="20"/>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放管服工作完成量</w:t>
            </w:r>
          </w:p>
        </w:tc>
        <w:tc>
          <w:tcPr>
            <w:tcW w:w="2891" w:type="dxa"/>
            <w:vAlign w:val="center"/>
          </w:tcPr>
          <w:p>
            <w:pPr>
              <w:pStyle w:val="20"/>
            </w:pPr>
            <w:r>
              <w:t>放管服工作完成量</w:t>
            </w:r>
          </w:p>
        </w:tc>
        <w:tc>
          <w:tcPr>
            <w:tcW w:w="1276" w:type="dxa"/>
            <w:vAlign w:val="center"/>
          </w:tcPr>
          <w:p>
            <w:pPr>
              <w:pStyle w:val="20"/>
            </w:pPr>
            <w:r>
              <w:t>≥90%</w:t>
            </w:r>
          </w:p>
        </w:tc>
        <w:tc>
          <w:tcPr>
            <w:tcW w:w="1843" w:type="dxa"/>
            <w:vAlign w:val="center"/>
          </w:tcPr>
          <w:p>
            <w:pPr>
              <w:pStyle w:val="20"/>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不超年度预算</w:t>
            </w:r>
          </w:p>
        </w:tc>
        <w:tc>
          <w:tcPr>
            <w:tcW w:w="2891" w:type="dxa"/>
            <w:vAlign w:val="center"/>
          </w:tcPr>
          <w:p>
            <w:pPr>
              <w:pStyle w:val="20"/>
            </w:pPr>
            <w:r>
              <w:t>不超年度预算</w:t>
            </w:r>
          </w:p>
        </w:tc>
        <w:tc>
          <w:tcPr>
            <w:tcW w:w="1276" w:type="dxa"/>
            <w:vAlign w:val="center"/>
          </w:tcPr>
          <w:p>
            <w:pPr>
              <w:pStyle w:val="20"/>
            </w:pPr>
            <w:r>
              <w:t>≤81万元</w:t>
            </w:r>
          </w:p>
        </w:tc>
        <w:tc>
          <w:tcPr>
            <w:tcW w:w="1843" w:type="dxa"/>
            <w:vAlign w:val="center"/>
          </w:tcPr>
          <w:p>
            <w:pPr>
              <w:pStyle w:val="20"/>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20"/>
            </w:pPr>
            <w:r>
              <w:t>社会效益指标</w:t>
            </w:r>
          </w:p>
        </w:tc>
        <w:tc>
          <w:tcPr>
            <w:tcW w:w="1332" w:type="dxa"/>
            <w:vAlign w:val="center"/>
          </w:tcPr>
          <w:p>
            <w:pPr>
              <w:pStyle w:val="20"/>
            </w:pPr>
            <w:r>
              <w:t>成立“放管服”改革协调小组办公室</w:t>
            </w:r>
          </w:p>
        </w:tc>
        <w:tc>
          <w:tcPr>
            <w:tcW w:w="2891" w:type="dxa"/>
            <w:vAlign w:val="center"/>
          </w:tcPr>
          <w:p>
            <w:pPr>
              <w:pStyle w:val="20"/>
            </w:pPr>
            <w:r>
              <w:t>落实全国、省市深化“放管服”政府职能工作部署，切实加强对“放管服”改革的领导</w:t>
            </w:r>
          </w:p>
        </w:tc>
        <w:tc>
          <w:tcPr>
            <w:tcW w:w="1276" w:type="dxa"/>
            <w:vAlign w:val="center"/>
          </w:tcPr>
          <w:p>
            <w:pPr>
              <w:pStyle w:val="20"/>
            </w:pPr>
            <w:r>
              <w:t>良好的完成工作部署</w:t>
            </w:r>
          </w:p>
        </w:tc>
        <w:tc>
          <w:tcPr>
            <w:tcW w:w="1843" w:type="dxa"/>
            <w:vAlign w:val="center"/>
          </w:tcPr>
          <w:p>
            <w:pPr>
              <w:pStyle w:val="20"/>
            </w:pPr>
            <w:r>
              <w:t>合同、依据、领导批复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20"/>
            </w:pPr>
            <w:r>
              <w:t>服务对象满意度指标</w:t>
            </w:r>
          </w:p>
        </w:tc>
        <w:tc>
          <w:tcPr>
            <w:tcW w:w="1332" w:type="dxa"/>
            <w:vAlign w:val="center"/>
          </w:tcPr>
          <w:p>
            <w:pPr>
              <w:pStyle w:val="20"/>
            </w:pPr>
            <w:r>
              <w:t>通过问卷调查，满意和较满意的对</w:t>
            </w:r>
          </w:p>
        </w:tc>
        <w:tc>
          <w:tcPr>
            <w:tcW w:w="2891" w:type="dxa"/>
            <w:vAlign w:val="center"/>
          </w:tcPr>
          <w:p>
            <w:pPr>
              <w:pStyle w:val="20"/>
            </w:pPr>
            <w:r>
              <w:t>通过问卷调查，满意和较满意的对象占所有调查对象的比例</w:t>
            </w:r>
          </w:p>
        </w:tc>
        <w:tc>
          <w:tcPr>
            <w:tcW w:w="1276" w:type="dxa"/>
            <w:vAlign w:val="center"/>
          </w:tcPr>
          <w:p>
            <w:pPr>
              <w:pStyle w:val="20"/>
            </w:pPr>
            <w:r>
              <w:t>&gt;90%</w:t>
            </w:r>
          </w:p>
        </w:tc>
        <w:tc>
          <w:tcPr>
            <w:tcW w:w="1843" w:type="dxa"/>
            <w:vAlign w:val="center"/>
          </w:tcPr>
          <w:p>
            <w:pPr>
              <w:pStyle w:val="20"/>
            </w:pPr>
            <w:r>
              <w:t>合同、依据、领导批复</w:t>
            </w:r>
          </w:p>
        </w:tc>
      </w:tr>
    </w:tbl>
    <w:p>
      <w:pPr>
        <w:sectPr>
          <w:pgSz w:w="16840" w:h="11900" w:orient="landscape"/>
          <w:pgMar w:top="1304" w:right="1984" w:bottom="1304" w:left="1134" w:header="720" w:footer="720" w:gutter="0"/>
          <w:cols w:space="720" w:num="1"/>
          <w:docGrid w:linePitch="326" w:charSpace="0"/>
        </w:sectPr>
      </w:pPr>
    </w:p>
    <w:p>
      <w:pPr>
        <w:spacing w:line="300" w:lineRule="exact"/>
        <w:ind w:firstLine="480" w:firstLineChars="200"/>
      </w:pPr>
    </w:p>
    <w:p>
      <w:pPr>
        <w:ind w:firstLine="560"/>
        <w:outlineLvl w:val="3"/>
      </w:pPr>
      <w:bookmarkStart w:id="5" w:name="_Toc_4_4_0000000005"/>
      <w:r>
        <w:rPr>
          <w:rFonts w:ascii="方正仿宋_GBK" w:hAnsi="方正仿宋_GBK" w:eastAsia="方正仿宋_GBK" w:cs="方正仿宋_GBK"/>
          <w:color w:val="000000"/>
          <w:sz w:val="28"/>
        </w:rPr>
        <w:t>2.第二评标室办公设备购置费绩效目标表</w:t>
      </w:r>
      <w:bookmarkEnd w:id="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pPr>
            <w: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20"/>
            </w:pPr>
            <w:r>
              <w:t>13062322P00790210006G</w:t>
            </w:r>
          </w:p>
        </w:tc>
        <w:tc>
          <w:tcPr>
            <w:tcW w:w="1587" w:type="dxa"/>
            <w:vAlign w:val="center"/>
          </w:tcPr>
          <w:p>
            <w:pPr>
              <w:pStyle w:val="18"/>
            </w:pPr>
            <w:r>
              <w:t>项目名称</w:t>
            </w:r>
          </w:p>
        </w:tc>
        <w:tc>
          <w:tcPr>
            <w:tcW w:w="4422" w:type="dxa"/>
            <w:gridSpan w:val="3"/>
            <w:vAlign w:val="center"/>
          </w:tcPr>
          <w:p>
            <w:pPr>
              <w:pStyle w:val="20"/>
            </w:pPr>
            <w:r>
              <w:t>第二评标室办公设备购置费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20"/>
            </w:pPr>
            <w:r>
              <w:t>5.00</w:t>
            </w:r>
          </w:p>
        </w:tc>
        <w:tc>
          <w:tcPr>
            <w:tcW w:w="1587" w:type="dxa"/>
            <w:vAlign w:val="center"/>
          </w:tcPr>
          <w:p>
            <w:pPr>
              <w:pStyle w:val="18"/>
            </w:pPr>
            <w:r>
              <w:t>其中：财政    资金</w:t>
            </w:r>
          </w:p>
        </w:tc>
        <w:tc>
          <w:tcPr>
            <w:tcW w:w="1304" w:type="dxa"/>
            <w:vAlign w:val="center"/>
          </w:tcPr>
          <w:p>
            <w:pPr>
              <w:pStyle w:val="20"/>
            </w:pPr>
            <w:r>
              <w:t>5.00</w:t>
            </w:r>
          </w:p>
        </w:tc>
        <w:tc>
          <w:tcPr>
            <w:tcW w:w="1276" w:type="dxa"/>
            <w:vAlign w:val="center"/>
          </w:tcPr>
          <w:p>
            <w:pPr>
              <w:pStyle w:val="18"/>
            </w:pPr>
            <w:r>
              <w:t>其他资金</w:t>
            </w:r>
          </w:p>
        </w:tc>
        <w:tc>
          <w:tcPr>
            <w:tcW w:w="1843" w:type="dxa"/>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购置办公设备等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25%</w:t>
            </w:r>
          </w:p>
        </w:tc>
        <w:tc>
          <w:tcPr>
            <w:tcW w:w="1587" w:type="dxa"/>
            <w:vAlign w:val="center"/>
          </w:tcPr>
          <w:p>
            <w:pPr>
              <w:pStyle w:val="21"/>
            </w:pPr>
            <w:r>
              <w:t>50%</w:t>
            </w:r>
          </w:p>
        </w:tc>
        <w:tc>
          <w:tcPr>
            <w:tcW w:w="1304" w:type="dxa"/>
            <w:vAlign w:val="center"/>
          </w:tcPr>
          <w:p>
            <w:pPr>
              <w:pStyle w:val="21"/>
            </w:pPr>
            <w:r>
              <w:t>75%</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20"/>
            </w:pPr>
            <w:r>
              <w:t>1.提高服务效能，切实做好评标室建设工作。</w:t>
            </w:r>
          </w:p>
          <w:p>
            <w:pPr>
              <w:pStyle w:val="20"/>
            </w:pPr>
            <w:r>
              <w:t>2.保障工作正常运转</w:t>
            </w:r>
          </w:p>
          <w:p>
            <w:pPr>
              <w:pStyle w:val="20"/>
            </w:pPr>
            <w:r>
              <w:t>3.保障招投标工作顺利进行</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20"/>
            </w:pPr>
            <w:r>
              <w:t>数量指标</w:t>
            </w:r>
          </w:p>
        </w:tc>
        <w:tc>
          <w:tcPr>
            <w:tcW w:w="1332" w:type="dxa"/>
            <w:vAlign w:val="center"/>
          </w:tcPr>
          <w:p>
            <w:pPr>
              <w:pStyle w:val="20"/>
            </w:pPr>
            <w:r>
              <w:t>评标室设备购置量</w:t>
            </w:r>
          </w:p>
        </w:tc>
        <w:tc>
          <w:tcPr>
            <w:tcW w:w="2891" w:type="dxa"/>
            <w:vAlign w:val="center"/>
          </w:tcPr>
          <w:p>
            <w:pPr>
              <w:pStyle w:val="20"/>
            </w:pPr>
            <w:r>
              <w:t>评标室设备购置量</w:t>
            </w:r>
          </w:p>
        </w:tc>
        <w:tc>
          <w:tcPr>
            <w:tcW w:w="1276" w:type="dxa"/>
            <w:vAlign w:val="center"/>
          </w:tcPr>
          <w:p>
            <w:pPr>
              <w:pStyle w:val="20"/>
            </w:pPr>
            <w:r>
              <w:t>≥8台</w:t>
            </w:r>
          </w:p>
        </w:tc>
        <w:tc>
          <w:tcPr>
            <w:tcW w:w="1843" w:type="dxa"/>
            <w:vAlign w:val="center"/>
          </w:tcPr>
          <w:p>
            <w:pPr>
              <w:pStyle w:val="20"/>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评标室设备验收通过率（%）</w:t>
            </w:r>
          </w:p>
        </w:tc>
        <w:tc>
          <w:tcPr>
            <w:tcW w:w="2891" w:type="dxa"/>
            <w:vAlign w:val="center"/>
          </w:tcPr>
          <w:p>
            <w:pPr>
              <w:pStyle w:val="20"/>
            </w:pPr>
            <w:r>
              <w:t>评标室设备验收通过率（%）</w:t>
            </w:r>
          </w:p>
        </w:tc>
        <w:tc>
          <w:tcPr>
            <w:tcW w:w="1276" w:type="dxa"/>
            <w:vAlign w:val="center"/>
          </w:tcPr>
          <w:p>
            <w:pPr>
              <w:pStyle w:val="20"/>
            </w:pPr>
            <w:r>
              <w:t>≥90%</w:t>
            </w:r>
          </w:p>
        </w:tc>
        <w:tc>
          <w:tcPr>
            <w:tcW w:w="1843" w:type="dxa"/>
            <w:vAlign w:val="center"/>
          </w:tcPr>
          <w:p>
            <w:pPr>
              <w:pStyle w:val="20"/>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评标室设备采购及时率（%）</w:t>
            </w:r>
          </w:p>
        </w:tc>
        <w:tc>
          <w:tcPr>
            <w:tcW w:w="2891" w:type="dxa"/>
            <w:vAlign w:val="center"/>
          </w:tcPr>
          <w:p>
            <w:pPr>
              <w:pStyle w:val="20"/>
            </w:pPr>
            <w:r>
              <w:t>评标室设备采购及时率（%）</w:t>
            </w:r>
          </w:p>
        </w:tc>
        <w:tc>
          <w:tcPr>
            <w:tcW w:w="1276" w:type="dxa"/>
            <w:vAlign w:val="center"/>
          </w:tcPr>
          <w:p>
            <w:pPr>
              <w:pStyle w:val="20"/>
            </w:pPr>
            <w:r>
              <w:t>≥90%</w:t>
            </w:r>
          </w:p>
        </w:tc>
        <w:tc>
          <w:tcPr>
            <w:tcW w:w="1843" w:type="dxa"/>
            <w:vAlign w:val="center"/>
          </w:tcPr>
          <w:p>
            <w:pPr>
              <w:pStyle w:val="20"/>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不超年度预算</w:t>
            </w:r>
          </w:p>
        </w:tc>
        <w:tc>
          <w:tcPr>
            <w:tcW w:w="2891" w:type="dxa"/>
            <w:vAlign w:val="center"/>
          </w:tcPr>
          <w:p>
            <w:pPr>
              <w:pStyle w:val="20"/>
            </w:pPr>
            <w:r>
              <w:t>不超年度预算</w:t>
            </w:r>
          </w:p>
        </w:tc>
        <w:tc>
          <w:tcPr>
            <w:tcW w:w="1276" w:type="dxa"/>
            <w:vAlign w:val="center"/>
          </w:tcPr>
          <w:p>
            <w:pPr>
              <w:pStyle w:val="20"/>
            </w:pPr>
            <w:r>
              <w:t>≤5万元</w:t>
            </w:r>
          </w:p>
        </w:tc>
        <w:tc>
          <w:tcPr>
            <w:tcW w:w="1843" w:type="dxa"/>
            <w:vAlign w:val="center"/>
          </w:tcPr>
          <w:p>
            <w:pPr>
              <w:pStyle w:val="20"/>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20"/>
            </w:pPr>
            <w:r>
              <w:t>可持续影响指标</w:t>
            </w:r>
          </w:p>
        </w:tc>
        <w:tc>
          <w:tcPr>
            <w:tcW w:w="1332" w:type="dxa"/>
            <w:vAlign w:val="center"/>
          </w:tcPr>
          <w:p>
            <w:pPr>
              <w:pStyle w:val="20"/>
            </w:pPr>
            <w:r>
              <w:t>长期满足工作需求。</w:t>
            </w:r>
          </w:p>
        </w:tc>
        <w:tc>
          <w:tcPr>
            <w:tcW w:w="2891" w:type="dxa"/>
            <w:vAlign w:val="center"/>
          </w:tcPr>
          <w:p>
            <w:pPr>
              <w:pStyle w:val="20"/>
            </w:pPr>
            <w:r>
              <w:t>能够长期较好的，对评标工作进行记录，长期满足工作需求。</w:t>
            </w:r>
          </w:p>
        </w:tc>
        <w:tc>
          <w:tcPr>
            <w:tcW w:w="1276" w:type="dxa"/>
            <w:vAlign w:val="center"/>
          </w:tcPr>
          <w:p>
            <w:pPr>
              <w:pStyle w:val="20"/>
            </w:pPr>
            <w:r>
              <w:t>≥90%</w:t>
            </w:r>
          </w:p>
        </w:tc>
        <w:tc>
          <w:tcPr>
            <w:tcW w:w="1843" w:type="dxa"/>
            <w:vAlign w:val="center"/>
          </w:tcPr>
          <w:p>
            <w:pPr>
              <w:pStyle w:val="20"/>
            </w:pPr>
            <w:r>
              <w:t>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20"/>
            </w:pPr>
            <w:r>
              <w:t>服务对象满意度指标</w:t>
            </w:r>
          </w:p>
        </w:tc>
        <w:tc>
          <w:tcPr>
            <w:tcW w:w="1332" w:type="dxa"/>
            <w:vAlign w:val="center"/>
          </w:tcPr>
          <w:p>
            <w:pPr>
              <w:pStyle w:val="20"/>
            </w:pPr>
            <w:r>
              <w:t>通过问卷调查，满意和较满意的对</w:t>
            </w:r>
          </w:p>
        </w:tc>
        <w:tc>
          <w:tcPr>
            <w:tcW w:w="2891" w:type="dxa"/>
            <w:vAlign w:val="center"/>
          </w:tcPr>
          <w:p>
            <w:pPr>
              <w:pStyle w:val="20"/>
            </w:pPr>
            <w:r>
              <w:t>通过问卷调查，满意和较满意的对象占所有调查对象的比例</w:t>
            </w:r>
          </w:p>
        </w:tc>
        <w:tc>
          <w:tcPr>
            <w:tcW w:w="1276" w:type="dxa"/>
            <w:vAlign w:val="center"/>
          </w:tcPr>
          <w:p>
            <w:pPr>
              <w:pStyle w:val="20"/>
            </w:pPr>
            <w:r>
              <w:t>≥90%</w:t>
            </w:r>
          </w:p>
        </w:tc>
        <w:tc>
          <w:tcPr>
            <w:tcW w:w="1843" w:type="dxa"/>
            <w:vAlign w:val="center"/>
          </w:tcPr>
          <w:p>
            <w:pPr>
              <w:pStyle w:val="20"/>
            </w:pPr>
            <w:r>
              <w:t>领导批复</w:t>
            </w:r>
          </w:p>
        </w:tc>
      </w:tr>
    </w:tbl>
    <w:p>
      <w:pPr>
        <w:sectPr>
          <w:pgSz w:w="16840" w:h="11900" w:orient="landscape"/>
          <w:pgMar w:top="1304" w:right="1984" w:bottom="1304" w:left="1134" w:header="720" w:footer="720" w:gutter="0"/>
          <w:cols w:space="720" w:num="1"/>
          <w:docGrid w:linePitch="326" w:charSpace="0"/>
        </w:sectPr>
      </w:pPr>
    </w:p>
    <w:p>
      <w:pPr>
        <w:spacing w:line="300" w:lineRule="exact"/>
        <w:ind w:firstLine="480" w:firstLineChars="200"/>
      </w:pPr>
    </w:p>
    <w:p>
      <w:pPr>
        <w:ind w:firstLine="560"/>
        <w:outlineLvl w:val="3"/>
      </w:pPr>
      <w:bookmarkStart w:id="6" w:name="_Toc_4_4_0000000006"/>
      <w:r>
        <w:rPr>
          <w:rFonts w:ascii="方正仿宋_GBK" w:hAnsi="方正仿宋_GBK" w:eastAsia="方正仿宋_GBK" w:cs="方正仿宋_GBK"/>
          <w:color w:val="000000"/>
          <w:sz w:val="28"/>
        </w:rPr>
        <w:t>3.公章刻制费绩效目标表</w:t>
      </w:r>
      <w:bookmarkEnd w:id="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pPr>
            <w: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20"/>
            </w:pPr>
            <w:r>
              <w:t>13062322P00789010003K</w:t>
            </w:r>
          </w:p>
        </w:tc>
        <w:tc>
          <w:tcPr>
            <w:tcW w:w="1587" w:type="dxa"/>
            <w:vAlign w:val="center"/>
          </w:tcPr>
          <w:p>
            <w:pPr>
              <w:pStyle w:val="18"/>
            </w:pPr>
            <w:r>
              <w:t>项目名称</w:t>
            </w:r>
          </w:p>
        </w:tc>
        <w:tc>
          <w:tcPr>
            <w:tcW w:w="4422" w:type="dxa"/>
            <w:gridSpan w:val="3"/>
            <w:vAlign w:val="center"/>
          </w:tcPr>
          <w:p>
            <w:pPr>
              <w:pStyle w:val="20"/>
            </w:pPr>
            <w:r>
              <w:t>公章刻制费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20"/>
            </w:pPr>
            <w:r>
              <w:t>80.00</w:t>
            </w:r>
          </w:p>
        </w:tc>
        <w:tc>
          <w:tcPr>
            <w:tcW w:w="1587" w:type="dxa"/>
            <w:vAlign w:val="center"/>
          </w:tcPr>
          <w:p>
            <w:pPr>
              <w:pStyle w:val="18"/>
            </w:pPr>
            <w:r>
              <w:t>其中：财政    资金</w:t>
            </w:r>
          </w:p>
        </w:tc>
        <w:tc>
          <w:tcPr>
            <w:tcW w:w="1304" w:type="dxa"/>
            <w:vAlign w:val="center"/>
          </w:tcPr>
          <w:p>
            <w:pPr>
              <w:pStyle w:val="20"/>
            </w:pPr>
            <w:r>
              <w:t>80.00</w:t>
            </w:r>
          </w:p>
        </w:tc>
        <w:tc>
          <w:tcPr>
            <w:tcW w:w="1276" w:type="dxa"/>
            <w:vAlign w:val="center"/>
          </w:tcPr>
          <w:p>
            <w:pPr>
              <w:pStyle w:val="18"/>
            </w:pPr>
            <w:r>
              <w:t>其他资金</w:t>
            </w:r>
          </w:p>
        </w:tc>
        <w:tc>
          <w:tcPr>
            <w:tcW w:w="1843" w:type="dxa"/>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为新设立企业免费刻制首枚印章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25%</w:t>
            </w:r>
          </w:p>
        </w:tc>
        <w:tc>
          <w:tcPr>
            <w:tcW w:w="1587" w:type="dxa"/>
            <w:vAlign w:val="center"/>
          </w:tcPr>
          <w:p>
            <w:pPr>
              <w:pStyle w:val="21"/>
            </w:pPr>
            <w:r>
              <w:t>50%</w:t>
            </w:r>
          </w:p>
        </w:tc>
        <w:tc>
          <w:tcPr>
            <w:tcW w:w="1304" w:type="dxa"/>
            <w:vAlign w:val="center"/>
          </w:tcPr>
          <w:p>
            <w:pPr>
              <w:pStyle w:val="21"/>
            </w:pPr>
            <w:r>
              <w:t>75%</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20"/>
            </w:pPr>
            <w:r>
              <w:t>1.为新设立企业免费刻制首枚印章，降低企业开创成本。</w:t>
            </w:r>
          </w:p>
          <w:p>
            <w:pPr>
              <w:pStyle w:val="20"/>
            </w:pPr>
            <w:r>
              <w:t>2.创造更好的营商环境。</w:t>
            </w:r>
          </w:p>
          <w:p>
            <w:pPr>
              <w:pStyle w:val="20"/>
            </w:pPr>
            <w:r>
              <w:t>3.推进市委、市政府企业开办零成本的工作要求。</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20"/>
            </w:pPr>
            <w:r>
              <w:t>数量指标</w:t>
            </w:r>
          </w:p>
        </w:tc>
        <w:tc>
          <w:tcPr>
            <w:tcW w:w="1332" w:type="dxa"/>
            <w:vAlign w:val="center"/>
          </w:tcPr>
          <w:p>
            <w:pPr>
              <w:pStyle w:val="20"/>
            </w:pPr>
            <w:r>
              <w:t>年度刻制公章数量</w:t>
            </w:r>
          </w:p>
        </w:tc>
        <w:tc>
          <w:tcPr>
            <w:tcW w:w="2891" w:type="dxa"/>
            <w:vAlign w:val="center"/>
          </w:tcPr>
          <w:p>
            <w:pPr>
              <w:pStyle w:val="20"/>
            </w:pPr>
            <w:r>
              <w:t>年度刻制公章数量</w:t>
            </w:r>
          </w:p>
        </w:tc>
        <w:tc>
          <w:tcPr>
            <w:tcW w:w="1276" w:type="dxa"/>
            <w:vAlign w:val="center"/>
          </w:tcPr>
          <w:p>
            <w:pPr>
              <w:pStyle w:val="20"/>
            </w:pPr>
            <w:r>
              <w:t>≥800套</w:t>
            </w:r>
          </w:p>
        </w:tc>
        <w:tc>
          <w:tcPr>
            <w:tcW w:w="1843" w:type="dxa"/>
            <w:vAlign w:val="center"/>
          </w:tcPr>
          <w:p>
            <w:pPr>
              <w:pStyle w:val="20"/>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刻制印章工作完成率</w:t>
            </w:r>
          </w:p>
        </w:tc>
        <w:tc>
          <w:tcPr>
            <w:tcW w:w="2891" w:type="dxa"/>
            <w:vAlign w:val="center"/>
          </w:tcPr>
          <w:p>
            <w:pPr>
              <w:pStyle w:val="20"/>
            </w:pPr>
            <w:r>
              <w:t>刻制印章工作完成率</w:t>
            </w:r>
          </w:p>
        </w:tc>
        <w:tc>
          <w:tcPr>
            <w:tcW w:w="1276" w:type="dxa"/>
            <w:vAlign w:val="center"/>
          </w:tcPr>
          <w:p>
            <w:pPr>
              <w:pStyle w:val="20"/>
            </w:pPr>
            <w:r>
              <w:t>≥90%</w:t>
            </w:r>
          </w:p>
        </w:tc>
        <w:tc>
          <w:tcPr>
            <w:tcW w:w="1843" w:type="dxa"/>
            <w:vAlign w:val="center"/>
          </w:tcPr>
          <w:p>
            <w:pPr>
              <w:pStyle w:val="20"/>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印章刻制工作完成的及时率</w:t>
            </w:r>
          </w:p>
        </w:tc>
        <w:tc>
          <w:tcPr>
            <w:tcW w:w="2891" w:type="dxa"/>
            <w:vAlign w:val="center"/>
          </w:tcPr>
          <w:p>
            <w:pPr>
              <w:pStyle w:val="20"/>
            </w:pPr>
            <w:r>
              <w:t>印章刻制工作完成的及时率</w:t>
            </w:r>
          </w:p>
        </w:tc>
        <w:tc>
          <w:tcPr>
            <w:tcW w:w="1276" w:type="dxa"/>
            <w:vAlign w:val="center"/>
          </w:tcPr>
          <w:p>
            <w:pPr>
              <w:pStyle w:val="20"/>
            </w:pPr>
            <w:r>
              <w:t>≥90%</w:t>
            </w:r>
          </w:p>
        </w:tc>
        <w:tc>
          <w:tcPr>
            <w:tcW w:w="1843" w:type="dxa"/>
            <w:vAlign w:val="center"/>
          </w:tcPr>
          <w:p>
            <w:pPr>
              <w:pStyle w:val="20"/>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不超年度预算</w:t>
            </w:r>
          </w:p>
        </w:tc>
        <w:tc>
          <w:tcPr>
            <w:tcW w:w="2891" w:type="dxa"/>
            <w:vAlign w:val="center"/>
          </w:tcPr>
          <w:p>
            <w:pPr>
              <w:pStyle w:val="20"/>
            </w:pPr>
            <w:r>
              <w:t>不超年度预算</w:t>
            </w:r>
          </w:p>
        </w:tc>
        <w:tc>
          <w:tcPr>
            <w:tcW w:w="1276" w:type="dxa"/>
            <w:vAlign w:val="center"/>
          </w:tcPr>
          <w:p>
            <w:pPr>
              <w:pStyle w:val="20"/>
            </w:pPr>
            <w:r>
              <w:t>≤80万元</w:t>
            </w:r>
          </w:p>
        </w:tc>
        <w:tc>
          <w:tcPr>
            <w:tcW w:w="1843" w:type="dxa"/>
            <w:vAlign w:val="center"/>
          </w:tcPr>
          <w:p>
            <w:pPr>
              <w:pStyle w:val="20"/>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20"/>
            </w:pPr>
            <w:r>
              <w:t>社会效益指标</w:t>
            </w:r>
          </w:p>
        </w:tc>
        <w:tc>
          <w:tcPr>
            <w:tcW w:w="1332" w:type="dxa"/>
            <w:vAlign w:val="center"/>
          </w:tcPr>
          <w:p>
            <w:pPr>
              <w:pStyle w:val="20"/>
            </w:pPr>
            <w:r>
              <w:t>节约了企业成本</w:t>
            </w:r>
          </w:p>
        </w:tc>
        <w:tc>
          <w:tcPr>
            <w:tcW w:w="2891" w:type="dxa"/>
            <w:vAlign w:val="center"/>
          </w:tcPr>
          <w:p>
            <w:pPr>
              <w:pStyle w:val="20"/>
            </w:pPr>
            <w:r>
              <w:t>节约了企业成本，创造了更好地营商环境</w:t>
            </w:r>
          </w:p>
        </w:tc>
        <w:tc>
          <w:tcPr>
            <w:tcW w:w="1276" w:type="dxa"/>
            <w:vAlign w:val="center"/>
          </w:tcPr>
          <w:p>
            <w:pPr>
              <w:pStyle w:val="20"/>
            </w:pPr>
            <w:r>
              <w:t>良好</w:t>
            </w:r>
          </w:p>
        </w:tc>
        <w:tc>
          <w:tcPr>
            <w:tcW w:w="1843" w:type="dxa"/>
            <w:vAlign w:val="center"/>
          </w:tcPr>
          <w:p>
            <w:pPr>
              <w:pStyle w:val="20"/>
            </w:pPr>
            <w:r>
              <w:t>合同、文件依据、领导批复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20"/>
            </w:pPr>
            <w:r>
              <w:t>服务对象满意度指标</w:t>
            </w:r>
          </w:p>
        </w:tc>
        <w:tc>
          <w:tcPr>
            <w:tcW w:w="1332" w:type="dxa"/>
            <w:vAlign w:val="center"/>
          </w:tcPr>
          <w:p>
            <w:pPr>
              <w:pStyle w:val="20"/>
            </w:pPr>
            <w:r>
              <w:t>通过问卷调查，满意和较满意的对</w:t>
            </w:r>
          </w:p>
        </w:tc>
        <w:tc>
          <w:tcPr>
            <w:tcW w:w="2891" w:type="dxa"/>
            <w:vAlign w:val="center"/>
          </w:tcPr>
          <w:p>
            <w:pPr>
              <w:pStyle w:val="20"/>
            </w:pPr>
            <w:r>
              <w:t>通过问卷调查，满意和较满意的对象占所有调查对象的比例</w:t>
            </w:r>
          </w:p>
        </w:tc>
        <w:tc>
          <w:tcPr>
            <w:tcW w:w="1276" w:type="dxa"/>
            <w:vAlign w:val="center"/>
          </w:tcPr>
          <w:p>
            <w:pPr>
              <w:pStyle w:val="20"/>
            </w:pPr>
            <w:r>
              <w:t>&gt;90%</w:t>
            </w:r>
          </w:p>
        </w:tc>
        <w:tc>
          <w:tcPr>
            <w:tcW w:w="1843" w:type="dxa"/>
            <w:vAlign w:val="center"/>
          </w:tcPr>
          <w:p>
            <w:pPr>
              <w:pStyle w:val="20"/>
            </w:pPr>
            <w:r>
              <w:t>合同、文件依据、领导批复</w:t>
            </w:r>
          </w:p>
        </w:tc>
      </w:tr>
    </w:tbl>
    <w:p>
      <w:pPr>
        <w:sectPr>
          <w:pgSz w:w="16840" w:h="11900" w:orient="landscape"/>
          <w:pgMar w:top="1304" w:right="1984" w:bottom="1304" w:left="1134" w:header="720" w:footer="720" w:gutter="0"/>
          <w:cols w:space="720" w:num="1"/>
        </w:sectPr>
      </w:pPr>
    </w:p>
    <w:p>
      <w:pPr>
        <w:ind w:firstLine="560"/>
        <w:outlineLvl w:val="3"/>
      </w:pPr>
      <w:bookmarkStart w:id="7" w:name="_Toc_4_4_0000000007"/>
      <w:r>
        <w:rPr>
          <w:rFonts w:ascii="方正仿宋_GBK" w:hAnsi="方正仿宋_GBK" w:eastAsia="方正仿宋_GBK" w:cs="方正仿宋_GBK"/>
          <w:color w:val="000000"/>
          <w:sz w:val="28"/>
        </w:rPr>
        <w:t>4.行政审批大厅运行经费绩效目标表</w:t>
      </w:r>
      <w:bookmarkEnd w:id="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pPr>
            <w: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20"/>
            </w:pPr>
            <w:r>
              <w:t>13062322P00789310003L</w:t>
            </w:r>
          </w:p>
        </w:tc>
        <w:tc>
          <w:tcPr>
            <w:tcW w:w="1587" w:type="dxa"/>
            <w:vAlign w:val="center"/>
          </w:tcPr>
          <w:p>
            <w:pPr>
              <w:pStyle w:val="18"/>
            </w:pPr>
            <w:r>
              <w:t>项目名称</w:t>
            </w:r>
          </w:p>
        </w:tc>
        <w:tc>
          <w:tcPr>
            <w:tcW w:w="4422" w:type="dxa"/>
            <w:gridSpan w:val="3"/>
            <w:vAlign w:val="center"/>
          </w:tcPr>
          <w:p>
            <w:pPr>
              <w:pStyle w:val="20"/>
            </w:pPr>
            <w:r>
              <w:t>行政审批大厅运行经费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20"/>
            </w:pPr>
            <w:r>
              <w:t>96.00</w:t>
            </w:r>
          </w:p>
        </w:tc>
        <w:tc>
          <w:tcPr>
            <w:tcW w:w="1587" w:type="dxa"/>
            <w:vAlign w:val="center"/>
          </w:tcPr>
          <w:p>
            <w:pPr>
              <w:pStyle w:val="18"/>
            </w:pPr>
            <w:r>
              <w:t>其中：财政    资金</w:t>
            </w:r>
          </w:p>
        </w:tc>
        <w:tc>
          <w:tcPr>
            <w:tcW w:w="1304" w:type="dxa"/>
            <w:vAlign w:val="center"/>
          </w:tcPr>
          <w:p>
            <w:pPr>
              <w:pStyle w:val="20"/>
            </w:pPr>
            <w:r>
              <w:t>96.00</w:t>
            </w:r>
          </w:p>
        </w:tc>
        <w:tc>
          <w:tcPr>
            <w:tcW w:w="1276" w:type="dxa"/>
            <w:vAlign w:val="center"/>
          </w:tcPr>
          <w:p>
            <w:pPr>
              <w:pStyle w:val="18"/>
            </w:pPr>
            <w:r>
              <w:t>其他资金</w:t>
            </w:r>
          </w:p>
        </w:tc>
        <w:tc>
          <w:tcPr>
            <w:tcW w:w="1843" w:type="dxa"/>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25%</w:t>
            </w:r>
          </w:p>
        </w:tc>
        <w:tc>
          <w:tcPr>
            <w:tcW w:w="1587" w:type="dxa"/>
            <w:vAlign w:val="center"/>
          </w:tcPr>
          <w:p>
            <w:pPr>
              <w:pStyle w:val="21"/>
            </w:pPr>
            <w:r>
              <w:t>50%</w:t>
            </w:r>
          </w:p>
        </w:tc>
        <w:tc>
          <w:tcPr>
            <w:tcW w:w="1304" w:type="dxa"/>
            <w:vAlign w:val="center"/>
          </w:tcPr>
          <w:p>
            <w:pPr>
              <w:pStyle w:val="21"/>
            </w:pPr>
            <w:r>
              <w:t>75%</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20"/>
            </w:pPr>
            <w:r>
              <w:t>1.根据工作需要，切实做好审批大厅管理工作</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20"/>
            </w:pPr>
            <w:r>
              <w:t>数量指标</w:t>
            </w:r>
          </w:p>
        </w:tc>
        <w:tc>
          <w:tcPr>
            <w:tcW w:w="1332" w:type="dxa"/>
            <w:vAlign w:val="center"/>
          </w:tcPr>
          <w:p>
            <w:pPr>
              <w:pStyle w:val="20"/>
            </w:pPr>
            <w:r>
              <w:t>审批大厅经费运行工作完成率(%)</w:t>
            </w:r>
          </w:p>
        </w:tc>
        <w:tc>
          <w:tcPr>
            <w:tcW w:w="2891" w:type="dxa"/>
            <w:vAlign w:val="center"/>
          </w:tcPr>
          <w:p>
            <w:pPr>
              <w:pStyle w:val="20"/>
            </w:pPr>
            <w:r>
              <w:t>审批大厅经费运行工作完成率(%)</w:t>
            </w:r>
          </w:p>
        </w:tc>
        <w:tc>
          <w:tcPr>
            <w:tcW w:w="1276" w:type="dxa"/>
            <w:vAlign w:val="center"/>
          </w:tcPr>
          <w:p>
            <w:pPr>
              <w:pStyle w:val="20"/>
            </w:pPr>
            <w:r>
              <w:t>≥90%</w:t>
            </w:r>
          </w:p>
        </w:tc>
        <w:tc>
          <w:tcPr>
            <w:tcW w:w="1843" w:type="dxa"/>
            <w:vAlign w:val="center"/>
          </w:tcPr>
          <w:p>
            <w:pPr>
              <w:pStyle w:val="20"/>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保障运行经费正常运转</w:t>
            </w:r>
          </w:p>
        </w:tc>
        <w:tc>
          <w:tcPr>
            <w:tcW w:w="2891" w:type="dxa"/>
            <w:vAlign w:val="center"/>
          </w:tcPr>
          <w:p>
            <w:pPr>
              <w:pStyle w:val="20"/>
            </w:pPr>
            <w:r>
              <w:t>保障运行经费正常运转</w:t>
            </w:r>
          </w:p>
        </w:tc>
        <w:tc>
          <w:tcPr>
            <w:tcW w:w="1276" w:type="dxa"/>
            <w:vAlign w:val="center"/>
          </w:tcPr>
          <w:p>
            <w:pPr>
              <w:pStyle w:val="20"/>
            </w:pPr>
            <w:r>
              <w:t>良好</w:t>
            </w:r>
          </w:p>
        </w:tc>
        <w:tc>
          <w:tcPr>
            <w:tcW w:w="1843" w:type="dxa"/>
            <w:vAlign w:val="center"/>
          </w:tcPr>
          <w:p>
            <w:pPr>
              <w:pStyle w:val="20"/>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按时间进度大厅运行经费</w:t>
            </w:r>
          </w:p>
        </w:tc>
        <w:tc>
          <w:tcPr>
            <w:tcW w:w="2891" w:type="dxa"/>
            <w:vAlign w:val="center"/>
          </w:tcPr>
          <w:p>
            <w:pPr>
              <w:pStyle w:val="20"/>
            </w:pPr>
            <w:r>
              <w:t>按时间进度大厅运行经费</w:t>
            </w:r>
          </w:p>
        </w:tc>
        <w:tc>
          <w:tcPr>
            <w:tcW w:w="1276" w:type="dxa"/>
            <w:vAlign w:val="center"/>
          </w:tcPr>
          <w:p>
            <w:pPr>
              <w:pStyle w:val="20"/>
            </w:pPr>
            <w:r>
              <w:t>按时支付大厅运行经费</w:t>
            </w:r>
          </w:p>
        </w:tc>
        <w:tc>
          <w:tcPr>
            <w:tcW w:w="1843" w:type="dxa"/>
            <w:vAlign w:val="center"/>
          </w:tcPr>
          <w:p>
            <w:pPr>
              <w:pStyle w:val="20"/>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不超年度预算</w:t>
            </w:r>
          </w:p>
        </w:tc>
        <w:tc>
          <w:tcPr>
            <w:tcW w:w="2891" w:type="dxa"/>
            <w:vAlign w:val="center"/>
          </w:tcPr>
          <w:p>
            <w:pPr>
              <w:pStyle w:val="20"/>
            </w:pPr>
            <w:r>
              <w:t>不超年度预算</w:t>
            </w:r>
          </w:p>
        </w:tc>
        <w:tc>
          <w:tcPr>
            <w:tcW w:w="1276" w:type="dxa"/>
            <w:vAlign w:val="center"/>
          </w:tcPr>
          <w:p>
            <w:pPr>
              <w:pStyle w:val="20"/>
            </w:pPr>
            <w:r>
              <w:t>96万元</w:t>
            </w:r>
          </w:p>
        </w:tc>
        <w:tc>
          <w:tcPr>
            <w:tcW w:w="1843" w:type="dxa"/>
            <w:vAlign w:val="center"/>
          </w:tcPr>
          <w:p>
            <w:pPr>
              <w:pStyle w:val="20"/>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20"/>
            </w:pPr>
            <w:r>
              <w:t>社会效益指标</w:t>
            </w:r>
          </w:p>
        </w:tc>
        <w:tc>
          <w:tcPr>
            <w:tcW w:w="1332" w:type="dxa"/>
            <w:vAlign w:val="center"/>
          </w:tcPr>
          <w:p>
            <w:pPr>
              <w:pStyle w:val="20"/>
            </w:pPr>
            <w:r>
              <w:t>保障审批大厅正常运转</w:t>
            </w:r>
          </w:p>
        </w:tc>
        <w:tc>
          <w:tcPr>
            <w:tcW w:w="2891" w:type="dxa"/>
            <w:vAlign w:val="center"/>
          </w:tcPr>
          <w:p>
            <w:pPr>
              <w:pStyle w:val="20"/>
            </w:pPr>
            <w:r>
              <w:t>保障审批大厅正常运转</w:t>
            </w:r>
          </w:p>
        </w:tc>
        <w:tc>
          <w:tcPr>
            <w:tcW w:w="1276" w:type="dxa"/>
            <w:vAlign w:val="center"/>
          </w:tcPr>
          <w:p>
            <w:pPr>
              <w:pStyle w:val="20"/>
            </w:pPr>
            <w:r>
              <w:t>良好</w:t>
            </w:r>
          </w:p>
        </w:tc>
        <w:tc>
          <w:tcPr>
            <w:tcW w:w="1843" w:type="dxa"/>
            <w:vAlign w:val="center"/>
          </w:tcPr>
          <w:p>
            <w:pPr>
              <w:pStyle w:val="20"/>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20"/>
            </w:pPr>
            <w:r>
              <w:t>服务对象满意度指标</w:t>
            </w:r>
          </w:p>
        </w:tc>
        <w:tc>
          <w:tcPr>
            <w:tcW w:w="1332" w:type="dxa"/>
            <w:vAlign w:val="center"/>
          </w:tcPr>
          <w:p>
            <w:pPr>
              <w:pStyle w:val="20"/>
            </w:pPr>
            <w:r>
              <w:t>通过问卷调查，满意和较满意的对</w:t>
            </w:r>
          </w:p>
        </w:tc>
        <w:tc>
          <w:tcPr>
            <w:tcW w:w="2891" w:type="dxa"/>
            <w:vAlign w:val="center"/>
          </w:tcPr>
          <w:p>
            <w:pPr>
              <w:pStyle w:val="20"/>
            </w:pPr>
            <w:r>
              <w:t>通过问卷调查，满意和较满意的对象占所有调查对象的比例</w:t>
            </w:r>
          </w:p>
        </w:tc>
        <w:tc>
          <w:tcPr>
            <w:tcW w:w="1276" w:type="dxa"/>
            <w:vAlign w:val="center"/>
          </w:tcPr>
          <w:p>
            <w:pPr>
              <w:pStyle w:val="20"/>
            </w:pPr>
            <w:r>
              <w:t>≥90%</w:t>
            </w:r>
          </w:p>
        </w:tc>
        <w:tc>
          <w:tcPr>
            <w:tcW w:w="1843" w:type="dxa"/>
            <w:vAlign w:val="center"/>
          </w:tcPr>
          <w:p>
            <w:pPr>
              <w:pStyle w:val="20"/>
            </w:pPr>
            <w:r>
              <w:t>合同、领导批复</w:t>
            </w:r>
          </w:p>
        </w:tc>
      </w:tr>
    </w:tbl>
    <w:p/>
    <w:p>
      <w:pPr>
        <w:spacing w:line="300" w:lineRule="exact"/>
        <w:ind w:firstLine="480" w:firstLineChars="200"/>
      </w:pPr>
    </w:p>
    <w:p>
      <w:pPr>
        <w:spacing w:line="560" w:lineRule="exact"/>
        <w:rPr>
          <w:rFonts w:ascii="仿宋" w:hAnsi="仿宋" w:eastAsia="仿宋" w:cs="仿宋_GB2312"/>
          <w:b/>
          <w:bCs/>
          <w:sz w:val="32"/>
          <w:szCs w:val="32"/>
        </w:rPr>
      </w:pPr>
      <w:bookmarkStart w:id="8" w:name="_Toc477163533"/>
    </w:p>
    <w:p>
      <w:pPr>
        <w:spacing w:line="560" w:lineRule="exact"/>
        <w:rPr>
          <w:rFonts w:ascii="仿宋" w:hAnsi="仿宋" w:eastAsia="仿宋" w:cs="仿宋_GB2312"/>
          <w:b/>
          <w:bCs/>
          <w:sz w:val="32"/>
          <w:szCs w:val="32"/>
          <w:lang w:eastAsia="zh-CN"/>
        </w:rPr>
      </w:pPr>
    </w:p>
    <w:p>
      <w:pPr>
        <w:spacing w:line="560" w:lineRule="exact"/>
        <w:ind w:firstLine="480" w:firstLineChars="150"/>
        <w:rPr>
          <w:rFonts w:ascii="黑体" w:hAnsi="黑体" w:eastAsia="黑体" w:cs="仿宋_GB2312"/>
          <w:sz w:val="32"/>
          <w:szCs w:val="32"/>
        </w:rPr>
      </w:pPr>
      <w:r>
        <w:rPr>
          <w:rFonts w:hint="eastAsia" w:ascii="黑体" w:hAnsi="黑体" w:eastAsia="黑体" w:cs="仿宋_GB2312"/>
          <w:bCs/>
          <w:sz w:val="32"/>
          <w:szCs w:val="32"/>
        </w:rPr>
        <w:t>六、政府采购预算情况</w:t>
      </w:r>
    </w:p>
    <w:p>
      <w:pPr>
        <w:spacing w:line="520" w:lineRule="exact"/>
        <w:ind w:firstLine="320" w:firstLineChars="100"/>
        <w:rPr>
          <w:rFonts w:ascii="仿宋" w:hAnsi="仿宋" w:eastAsia="仿宋"/>
          <w:sz w:val="32"/>
          <w:szCs w:val="32"/>
        </w:rPr>
      </w:pPr>
      <w:r>
        <w:rPr>
          <w:rFonts w:hint="eastAsia" w:ascii="仿宋" w:hAnsi="仿宋" w:eastAsia="仿宋"/>
          <w:sz w:val="32"/>
          <w:szCs w:val="32"/>
        </w:rPr>
        <w:t>2022年我单位未安排政府采购服务类预算项目，资金0万元。</w:t>
      </w:r>
    </w:p>
    <w:p>
      <w:pPr>
        <w:spacing w:line="520" w:lineRule="exact"/>
        <w:ind w:firstLine="960" w:firstLineChars="300"/>
        <w:rPr>
          <w:rFonts w:ascii="仿宋" w:hAnsi="仿宋" w:eastAsia="仿宋"/>
          <w:sz w:val="32"/>
          <w:szCs w:val="32"/>
        </w:rPr>
      </w:pPr>
    </w:p>
    <w:tbl>
      <w:tblPr>
        <w:tblStyle w:val="10"/>
        <w:tblW w:w="9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796"/>
        <w:gridCol w:w="705"/>
        <w:gridCol w:w="550"/>
        <w:gridCol w:w="550"/>
        <w:gridCol w:w="614"/>
        <w:gridCol w:w="696"/>
        <w:gridCol w:w="696"/>
        <w:gridCol w:w="696"/>
        <w:gridCol w:w="696"/>
        <w:gridCol w:w="699"/>
        <w:gridCol w:w="702"/>
        <w:gridCol w:w="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2568" w:type="dxa"/>
            <w:gridSpan w:val="2"/>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政府采购项目来源</w:t>
            </w:r>
          </w:p>
        </w:tc>
        <w:tc>
          <w:tcPr>
            <w:tcW w:w="705"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采购物品名称</w:t>
            </w:r>
          </w:p>
        </w:tc>
        <w:tc>
          <w:tcPr>
            <w:tcW w:w="550"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数量单位</w:t>
            </w:r>
          </w:p>
        </w:tc>
        <w:tc>
          <w:tcPr>
            <w:tcW w:w="550"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数量</w:t>
            </w:r>
          </w:p>
        </w:tc>
        <w:tc>
          <w:tcPr>
            <w:tcW w:w="614"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单价</w:t>
            </w:r>
          </w:p>
        </w:tc>
        <w:tc>
          <w:tcPr>
            <w:tcW w:w="4853" w:type="dxa"/>
            <w:gridSpan w:val="7"/>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1772"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项目名称</w:t>
            </w:r>
          </w:p>
        </w:tc>
        <w:tc>
          <w:tcPr>
            <w:tcW w:w="796"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预算资金</w:t>
            </w:r>
          </w:p>
        </w:tc>
        <w:tc>
          <w:tcPr>
            <w:tcW w:w="705"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614" w:type="dxa"/>
            <w:vMerge w:val="continue"/>
            <w:vAlign w:val="center"/>
          </w:tcPr>
          <w:p>
            <w:pPr>
              <w:spacing w:line="300" w:lineRule="exact"/>
              <w:outlineLvl w:val="0"/>
              <w:rPr>
                <w:rFonts w:asciiTheme="majorEastAsia" w:hAnsiTheme="majorEastAsia" w:eastAsiaTheme="majorEastAsia"/>
                <w:szCs w:val="21"/>
              </w:rPr>
            </w:pPr>
          </w:p>
        </w:tc>
        <w:tc>
          <w:tcPr>
            <w:tcW w:w="696"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总计</w:t>
            </w:r>
          </w:p>
        </w:tc>
        <w:tc>
          <w:tcPr>
            <w:tcW w:w="3489" w:type="dxa"/>
            <w:gridSpan w:val="5"/>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当年单位预算安排资金</w:t>
            </w:r>
          </w:p>
        </w:tc>
        <w:tc>
          <w:tcPr>
            <w:tcW w:w="668"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tblHeader/>
          <w:jc w:val="center"/>
        </w:trPr>
        <w:tc>
          <w:tcPr>
            <w:tcW w:w="1772" w:type="dxa"/>
            <w:vMerge w:val="continue"/>
            <w:vAlign w:val="center"/>
          </w:tcPr>
          <w:p>
            <w:pPr>
              <w:spacing w:line="300" w:lineRule="exact"/>
              <w:outlineLvl w:val="0"/>
              <w:rPr>
                <w:rFonts w:asciiTheme="majorEastAsia" w:hAnsiTheme="majorEastAsia" w:eastAsiaTheme="majorEastAsia"/>
                <w:szCs w:val="21"/>
              </w:rPr>
            </w:pPr>
          </w:p>
        </w:tc>
        <w:tc>
          <w:tcPr>
            <w:tcW w:w="796" w:type="dxa"/>
            <w:vMerge w:val="continue"/>
            <w:vAlign w:val="center"/>
          </w:tcPr>
          <w:p>
            <w:pPr>
              <w:spacing w:line="300" w:lineRule="exact"/>
              <w:outlineLvl w:val="0"/>
              <w:rPr>
                <w:rFonts w:asciiTheme="majorEastAsia" w:hAnsiTheme="majorEastAsia" w:eastAsiaTheme="majorEastAsia"/>
                <w:szCs w:val="21"/>
              </w:rPr>
            </w:pPr>
          </w:p>
        </w:tc>
        <w:tc>
          <w:tcPr>
            <w:tcW w:w="705"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614" w:type="dxa"/>
            <w:vMerge w:val="continue"/>
            <w:vAlign w:val="center"/>
          </w:tcPr>
          <w:p>
            <w:pPr>
              <w:spacing w:line="300" w:lineRule="exact"/>
              <w:outlineLvl w:val="0"/>
              <w:rPr>
                <w:rFonts w:asciiTheme="majorEastAsia" w:hAnsiTheme="majorEastAsia" w:eastAsiaTheme="majorEastAsia"/>
                <w:szCs w:val="21"/>
              </w:rPr>
            </w:pPr>
          </w:p>
        </w:tc>
        <w:tc>
          <w:tcPr>
            <w:tcW w:w="696" w:type="dxa"/>
            <w:vMerge w:val="continue"/>
            <w:vAlign w:val="center"/>
          </w:tcPr>
          <w:p>
            <w:pPr>
              <w:spacing w:line="300" w:lineRule="exact"/>
              <w:outlineLvl w:val="0"/>
              <w:rPr>
                <w:rFonts w:asciiTheme="majorEastAsia" w:hAnsiTheme="majorEastAsia" w:eastAsiaTheme="majorEastAsia"/>
                <w:szCs w:val="21"/>
              </w:rPr>
            </w:pPr>
          </w:p>
        </w:tc>
        <w:tc>
          <w:tcPr>
            <w:tcW w:w="69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合计</w:t>
            </w:r>
          </w:p>
        </w:tc>
        <w:tc>
          <w:tcPr>
            <w:tcW w:w="69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一般公共预算拨款</w:t>
            </w:r>
          </w:p>
        </w:tc>
        <w:tc>
          <w:tcPr>
            <w:tcW w:w="69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基金预算拨款</w:t>
            </w:r>
          </w:p>
        </w:tc>
        <w:tc>
          <w:tcPr>
            <w:tcW w:w="699"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财政专户核拨</w:t>
            </w:r>
          </w:p>
        </w:tc>
        <w:tc>
          <w:tcPr>
            <w:tcW w:w="70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其他来源收入</w:t>
            </w:r>
          </w:p>
        </w:tc>
        <w:tc>
          <w:tcPr>
            <w:tcW w:w="668" w:type="dxa"/>
            <w:vMerge w:val="continue"/>
            <w:vAlign w:val="center"/>
          </w:tcPr>
          <w:p>
            <w:pPr>
              <w:spacing w:line="300" w:lineRule="exact"/>
              <w:outlineLvl w:val="0"/>
              <w:rPr>
                <w:rFonts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177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合　计</w:t>
            </w:r>
          </w:p>
        </w:tc>
        <w:tc>
          <w:tcPr>
            <w:tcW w:w="796" w:type="dxa"/>
            <w:vAlign w:val="center"/>
          </w:tcPr>
          <w:p>
            <w:pPr>
              <w:spacing w:line="300" w:lineRule="exact"/>
              <w:jc w:val="right"/>
              <w:rPr>
                <w:rFonts w:asciiTheme="majorEastAsia" w:hAnsiTheme="majorEastAsia" w:eastAsiaTheme="majorEastAsia"/>
                <w:b/>
                <w:szCs w:val="21"/>
              </w:rPr>
            </w:pPr>
          </w:p>
        </w:tc>
        <w:tc>
          <w:tcPr>
            <w:tcW w:w="705"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jc w:val="right"/>
              <w:rPr>
                <w:rFonts w:asciiTheme="majorEastAsia" w:hAnsiTheme="majorEastAsia" w:eastAsiaTheme="majorEastAsia"/>
                <w:b/>
                <w:szCs w:val="21"/>
              </w:rPr>
            </w:pPr>
          </w:p>
        </w:tc>
        <w:tc>
          <w:tcPr>
            <w:tcW w:w="614" w:type="dxa"/>
            <w:vAlign w:val="center"/>
          </w:tcPr>
          <w:p>
            <w:pPr>
              <w:spacing w:line="300" w:lineRule="exact"/>
              <w:jc w:val="right"/>
              <w:rPr>
                <w:rFonts w:asciiTheme="majorEastAsia" w:hAnsiTheme="majorEastAsia" w:eastAsiaTheme="majorEastAsia"/>
                <w:b/>
                <w:szCs w:val="21"/>
              </w:rPr>
            </w:pP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p>
        </w:tc>
        <w:tc>
          <w:tcPr>
            <w:tcW w:w="699" w:type="dxa"/>
            <w:vAlign w:val="center"/>
          </w:tcPr>
          <w:p>
            <w:pPr>
              <w:spacing w:line="300" w:lineRule="exact"/>
              <w:jc w:val="right"/>
              <w:rPr>
                <w:rFonts w:asciiTheme="majorEastAsia" w:hAnsiTheme="majorEastAsia" w:eastAsiaTheme="majorEastAsia"/>
                <w:b/>
                <w:szCs w:val="21"/>
              </w:rPr>
            </w:pPr>
          </w:p>
        </w:tc>
        <w:tc>
          <w:tcPr>
            <w:tcW w:w="702" w:type="dxa"/>
            <w:vAlign w:val="center"/>
          </w:tcPr>
          <w:p>
            <w:pPr>
              <w:spacing w:line="300" w:lineRule="exact"/>
              <w:jc w:val="right"/>
              <w:rPr>
                <w:rFonts w:asciiTheme="majorEastAsia" w:hAnsiTheme="majorEastAsia" w:eastAsiaTheme="majorEastAsia"/>
                <w:b/>
                <w:szCs w:val="21"/>
              </w:rPr>
            </w:pPr>
          </w:p>
        </w:tc>
        <w:tc>
          <w:tcPr>
            <w:tcW w:w="668" w:type="dxa"/>
            <w:vAlign w:val="center"/>
          </w:tcPr>
          <w:p>
            <w:pPr>
              <w:spacing w:line="300" w:lineRule="exact"/>
              <w:jc w:val="right"/>
              <w:rPr>
                <w:rFonts w:asciiTheme="majorEastAsia" w:hAnsiTheme="majorEastAsia" w:eastAsiaTheme="majorEastAsia"/>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177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小计</w:t>
            </w:r>
          </w:p>
        </w:tc>
        <w:tc>
          <w:tcPr>
            <w:tcW w:w="796" w:type="dxa"/>
            <w:vAlign w:val="center"/>
          </w:tcPr>
          <w:p>
            <w:pPr>
              <w:spacing w:line="300" w:lineRule="exact"/>
              <w:jc w:val="right"/>
              <w:rPr>
                <w:rFonts w:asciiTheme="majorEastAsia" w:hAnsiTheme="majorEastAsia" w:eastAsiaTheme="majorEastAsia"/>
                <w:b/>
                <w:szCs w:val="21"/>
              </w:rPr>
            </w:pPr>
          </w:p>
        </w:tc>
        <w:tc>
          <w:tcPr>
            <w:tcW w:w="705"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jc w:val="right"/>
              <w:rPr>
                <w:rFonts w:asciiTheme="majorEastAsia" w:hAnsiTheme="majorEastAsia" w:eastAsiaTheme="majorEastAsia"/>
                <w:b/>
                <w:szCs w:val="21"/>
              </w:rPr>
            </w:pPr>
          </w:p>
        </w:tc>
        <w:tc>
          <w:tcPr>
            <w:tcW w:w="614" w:type="dxa"/>
            <w:vAlign w:val="center"/>
          </w:tcPr>
          <w:p>
            <w:pPr>
              <w:spacing w:line="300" w:lineRule="exact"/>
              <w:jc w:val="right"/>
              <w:rPr>
                <w:rFonts w:asciiTheme="majorEastAsia" w:hAnsiTheme="majorEastAsia" w:eastAsiaTheme="majorEastAsia"/>
                <w:b/>
                <w:szCs w:val="21"/>
              </w:rPr>
            </w:pP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p>
        </w:tc>
        <w:tc>
          <w:tcPr>
            <w:tcW w:w="699" w:type="dxa"/>
            <w:vAlign w:val="center"/>
          </w:tcPr>
          <w:p>
            <w:pPr>
              <w:spacing w:line="300" w:lineRule="exact"/>
              <w:jc w:val="right"/>
              <w:rPr>
                <w:rFonts w:asciiTheme="majorEastAsia" w:hAnsiTheme="majorEastAsia" w:eastAsiaTheme="majorEastAsia"/>
                <w:b/>
                <w:szCs w:val="21"/>
              </w:rPr>
            </w:pPr>
          </w:p>
        </w:tc>
        <w:tc>
          <w:tcPr>
            <w:tcW w:w="702" w:type="dxa"/>
            <w:vAlign w:val="center"/>
          </w:tcPr>
          <w:p>
            <w:pPr>
              <w:spacing w:line="300" w:lineRule="exact"/>
              <w:jc w:val="right"/>
              <w:rPr>
                <w:rFonts w:asciiTheme="majorEastAsia" w:hAnsiTheme="majorEastAsia" w:eastAsiaTheme="majorEastAsia"/>
                <w:b/>
                <w:szCs w:val="21"/>
              </w:rPr>
            </w:pPr>
          </w:p>
        </w:tc>
        <w:tc>
          <w:tcPr>
            <w:tcW w:w="668" w:type="dxa"/>
            <w:vAlign w:val="center"/>
          </w:tcPr>
          <w:p>
            <w:pPr>
              <w:spacing w:line="300" w:lineRule="exact"/>
              <w:jc w:val="right"/>
              <w:rPr>
                <w:rFonts w:asciiTheme="majorEastAsia" w:hAnsiTheme="majorEastAsia" w:eastAsiaTheme="majorEastAsia"/>
                <w:b/>
                <w:szCs w:val="21"/>
              </w:rPr>
            </w:pPr>
          </w:p>
        </w:tc>
      </w:tr>
    </w:tbl>
    <w:p>
      <w:pPr>
        <w:spacing w:line="560" w:lineRule="exact"/>
        <w:rPr>
          <w:rFonts w:ascii="仿宋" w:hAnsi="仿宋" w:eastAsia="仿宋" w:cs="仿宋_GB2312"/>
          <w:sz w:val="32"/>
          <w:szCs w:val="32"/>
          <w:lang w:eastAsia="zh-CN"/>
        </w:rPr>
      </w:pPr>
      <w:r>
        <w:rPr>
          <w:rFonts w:hint="eastAsia" w:ascii="仿宋" w:hAnsi="仿宋" w:eastAsia="仿宋" w:cs="仿宋_GB2312"/>
          <w:sz w:val="32"/>
          <w:szCs w:val="32"/>
          <w:lang w:eastAsia="zh-CN"/>
        </w:rPr>
        <w:t>注：2022年本单位无政府采购预算，空表列示。</w:t>
      </w:r>
    </w:p>
    <w:p>
      <w:pPr>
        <w:spacing w:line="560" w:lineRule="exact"/>
        <w:ind w:firstLine="630"/>
        <w:rPr>
          <w:rFonts w:ascii="黑体" w:hAnsi="黑体" w:eastAsia="黑体" w:cs="仿宋_GB2312"/>
          <w:bCs/>
          <w:sz w:val="32"/>
          <w:szCs w:val="32"/>
        </w:rPr>
      </w:pPr>
    </w:p>
    <w:p>
      <w:pPr>
        <w:spacing w:line="560" w:lineRule="exact"/>
        <w:ind w:firstLine="630"/>
        <w:rPr>
          <w:rFonts w:ascii="黑体" w:hAnsi="黑体" w:eastAsia="黑体" w:cs="仿宋_GB2312"/>
          <w:sz w:val="32"/>
          <w:szCs w:val="32"/>
        </w:rPr>
      </w:pPr>
      <w:r>
        <w:rPr>
          <w:rFonts w:hint="eastAsia" w:ascii="黑体" w:hAnsi="黑体" w:eastAsia="黑体" w:cs="仿宋_GB2312"/>
          <w:bCs/>
          <w:sz w:val="32"/>
          <w:szCs w:val="32"/>
        </w:rPr>
        <w:t>七、国有资产信息情况</w:t>
      </w:r>
    </w:p>
    <w:p>
      <w:pPr>
        <w:spacing w:line="560" w:lineRule="exact"/>
        <w:ind w:firstLine="561"/>
        <w:rPr>
          <w:rFonts w:hint="eastAsia" w:ascii="仿宋" w:hAnsi="仿宋" w:eastAsia="仿宋" w:cs="仿宋_GB2312"/>
          <w:sz w:val="32"/>
          <w:szCs w:val="32"/>
          <w:lang w:val="en-US" w:eastAsia="zh-CN"/>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年末审批局固定资产总额550.7 万元，</w:t>
      </w:r>
      <w:r>
        <w:rPr>
          <w:rFonts w:hint="eastAsia" w:ascii="仿宋" w:hAnsi="仿宋" w:eastAsia="仿宋" w:cs="宋体"/>
          <w:sz w:val="32"/>
          <w:szCs w:val="32"/>
        </w:rPr>
        <w:t>主要包括房屋 0平方米价值 0 万元（办公用房系租用），车辆 1辆价值 12万元，及其他固定资产5</w:t>
      </w:r>
      <w:r>
        <w:rPr>
          <w:rFonts w:hint="eastAsia" w:ascii="仿宋" w:hAnsi="仿宋" w:eastAsia="仿宋" w:cs="宋体"/>
          <w:sz w:val="32"/>
          <w:szCs w:val="32"/>
          <w:lang w:eastAsia="zh-CN"/>
        </w:rPr>
        <w:t>38</w:t>
      </w:r>
      <w:r>
        <w:rPr>
          <w:rFonts w:hint="eastAsia" w:ascii="仿宋" w:hAnsi="仿宋" w:eastAsia="仿宋" w:cs="宋体"/>
          <w:sz w:val="32"/>
          <w:szCs w:val="32"/>
        </w:rPr>
        <w:t>.</w:t>
      </w:r>
      <w:r>
        <w:rPr>
          <w:rFonts w:hint="eastAsia" w:ascii="仿宋" w:hAnsi="仿宋" w:eastAsia="仿宋" w:cs="宋体"/>
          <w:sz w:val="32"/>
          <w:szCs w:val="32"/>
          <w:lang w:eastAsia="zh-CN"/>
        </w:rPr>
        <w:t>7</w:t>
      </w:r>
      <w:r>
        <w:rPr>
          <w:rFonts w:hint="eastAsia" w:ascii="仿宋" w:hAnsi="仿宋" w:eastAsia="仿宋" w:cs="宋体"/>
          <w:sz w:val="32"/>
          <w:szCs w:val="32"/>
        </w:rPr>
        <w:t xml:space="preserve">万元。 </w:t>
      </w:r>
      <w:r>
        <w:rPr>
          <w:rFonts w:hint="eastAsia" w:ascii="仿宋" w:hAnsi="仿宋" w:eastAsia="仿宋" w:cs="宋体"/>
          <w:sz w:val="32"/>
          <w:szCs w:val="32"/>
          <w:lang w:val="en-US" w:eastAsia="zh-CN"/>
        </w:rPr>
        <w:t>2022年我单位无固定资产购置情况。</w:t>
      </w:r>
    </w:p>
    <w:p>
      <w:pPr>
        <w:ind w:firstLine="640"/>
        <w:jc w:val="right"/>
        <w:rPr>
          <w:rFonts w:ascii="仿宋" w:hAnsi="仿宋" w:eastAsia="仿宋" w:cs="仿宋_GB2312"/>
          <w:sz w:val="30"/>
          <w:szCs w:val="30"/>
        </w:rPr>
      </w:pPr>
    </w:p>
    <w:tbl>
      <w:tblPr>
        <w:tblStyle w:val="11"/>
        <w:tblW w:w="8522" w:type="dxa"/>
        <w:tblInd w:w="2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1290"/>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jc w:val="center"/>
              <w:rPr>
                <w:rFonts w:cs="仿宋_GB2312" w:asciiTheme="majorEastAsia" w:hAnsiTheme="majorEastAsia" w:eastAsiaTheme="majorEastAsia"/>
                <w:b/>
                <w:bCs/>
                <w:szCs w:val="21"/>
                <w:lang w:eastAsia="zh-CN"/>
              </w:rPr>
            </w:pPr>
            <w:r>
              <w:rPr>
                <w:rFonts w:hint="eastAsia" w:cs="仿宋_GB2312" w:asciiTheme="majorEastAsia" w:hAnsiTheme="majorEastAsia" w:eastAsiaTheme="majorEastAsia"/>
                <w:b/>
                <w:bCs/>
                <w:szCs w:val="21"/>
              </w:rPr>
              <w:t>项   目</w:t>
            </w:r>
          </w:p>
        </w:tc>
        <w:tc>
          <w:tcPr>
            <w:tcW w:w="1290" w:type="dxa"/>
          </w:tcPr>
          <w:p>
            <w:pPr>
              <w:jc w:val="cente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数量</w:t>
            </w:r>
          </w:p>
        </w:tc>
        <w:tc>
          <w:tcPr>
            <w:tcW w:w="2791" w:type="dxa"/>
          </w:tcPr>
          <w:p>
            <w:pPr>
              <w:jc w:val="cente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固定资产总额</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550.7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1、房屋(平方米）</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其中：办公用房(平方米）</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2、车辆（台、辆）</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91"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3、单价在20万元以上的设备</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4、其他固定资产</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538.7</w:t>
            </w:r>
          </w:p>
        </w:tc>
      </w:tr>
    </w:tbl>
    <w:p>
      <w:pPr>
        <w:spacing w:line="560" w:lineRule="exact"/>
        <w:ind w:firstLine="640"/>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截止时间：2021年12月31日</w:t>
      </w:r>
    </w:p>
    <w:p>
      <w:pPr>
        <w:spacing w:line="560" w:lineRule="exact"/>
        <w:ind w:firstLine="627" w:firstLineChars="196"/>
        <w:rPr>
          <w:rFonts w:ascii="黑体" w:hAnsi="黑体" w:eastAsia="黑体" w:cs="黑体"/>
          <w:bCs/>
          <w:sz w:val="32"/>
          <w:szCs w:val="32"/>
        </w:rPr>
      </w:pPr>
    </w:p>
    <w:p>
      <w:pPr>
        <w:spacing w:line="560" w:lineRule="exact"/>
        <w:ind w:firstLine="627" w:firstLineChars="196"/>
        <w:rPr>
          <w:rFonts w:ascii="黑体" w:hAnsi="黑体" w:eastAsia="黑体" w:cs="黑体"/>
          <w:bCs/>
          <w:sz w:val="32"/>
          <w:szCs w:val="32"/>
        </w:rPr>
      </w:pPr>
      <w:r>
        <w:rPr>
          <w:rFonts w:hint="eastAsia" w:ascii="黑体" w:hAnsi="黑体" w:eastAsia="黑体" w:cs="黑体"/>
          <w:bCs/>
          <w:sz w:val="32"/>
          <w:szCs w:val="32"/>
        </w:rPr>
        <w:t>八、专业名词解释</w:t>
      </w:r>
    </w:p>
    <w:p>
      <w:pPr>
        <w:spacing w:line="560" w:lineRule="exact"/>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9"/>
        <w:spacing w:line="560" w:lineRule="exact"/>
        <w:ind w:firstLine="578" w:firstLineChars="180"/>
        <w:rPr>
          <w:rFonts w:ascii="仿宋" w:hAnsi="仿宋" w:eastAsia="仿宋" w:cs="仿宋_GB2312"/>
          <w:sz w:val="32"/>
          <w:szCs w:val="32"/>
        </w:rPr>
      </w:pPr>
      <w:r>
        <w:rPr>
          <w:rStyle w:val="13"/>
          <w:rFonts w:ascii="仿宋" w:hAnsi="仿宋" w:eastAsia="仿宋" w:cs="仿宋_GB2312"/>
          <w:sz w:val="32"/>
          <w:szCs w:val="32"/>
          <w:shd w:val="clear" w:color="auto" w:fill="FFFFFF"/>
        </w:rPr>
        <w:t>2</w:t>
      </w:r>
      <w:r>
        <w:rPr>
          <w:rStyle w:val="13"/>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9"/>
        <w:spacing w:line="560" w:lineRule="exact"/>
        <w:ind w:firstLine="578" w:firstLineChars="180"/>
        <w:rPr>
          <w:rFonts w:ascii="仿宋" w:hAnsi="仿宋" w:eastAsia="仿宋"/>
          <w:sz w:val="32"/>
          <w:szCs w:val="32"/>
        </w:rPr>
      </w:pPr>
      <w:r>
        <w:rPr>
          <w:rStyle w:val="13"/>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9"/>
        <w:spacing w:line="560" w:lineRule="exact"/>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9"/>
        <w:spacing w:line="560" w:lineRule="exact"/>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line="560" w:lineRule="exact"/>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s="黑体"/>
          <w:b/>
          <w:sz w:val="32"/>
          <w:szCs w:val="32"/>
        </w:rPr>
      </w:pPr>
      <w:r>
        <w:rPr>
          <w:rFonts w:hint="eastAsia" w:ascii="黑体" w:hAnsi="黑体" w:eastAsia="黑体" w:cs="黑体"/>
          <w:bCs/>
          <w:sz w:val="32"/>
          <w:szCs w:val="32"/>
        </w:rPr>
        <w:t>九、其他需要说明的事项</w:t>
      </w:r>
    </w:p>
    <w:p>
      <w:pPr>
        <w:spacing w:line="50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rPr>
        <w:t>我单位无其他需要说明的事项。</w:t>
      </w: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outlineLvl w:val="1"/>
        <w:rPr>
          <w:rFonts w:ascii="黑体" w:hAnsi="黑体" w:eastAsia="黑体" w:cs="黑体"/>
          <w:b/>
          <w:color w:val="000000"/>
          <w:sz w:val="30"/>
          <w:lang w:eastAsia="zh-CN"/>
        </w:rPr>
      </w:pPr>
    </w:p>
    <w:p>
      <w:r>
        <w:br w:type="page"/>
      </w:r>
    </w:p>
    <w:tbl>
      <w:tblPr>
        <w:tblStyle w:val="10"/>
        <w:tblW w:w="14397" w:type="dxa"/>
        <w:jc w:val="center"/>
        <w:tblLayout w:type="autofit"/>
        <w:tblCellMar>
          <w:top w:w="0" w:type="dxa"/>
          <w:left w:w="108" w:type="dxa"/>
          <w:bottom w:w="0" w:type="dxa"/>
          <w:right w:w="108" w:type="dxa"/>
        </w:tblCellMar>
      </w:tblPr>
      <w:tblGrid>
        <w:gridCol w:w="766"/>
        <w:gridCol w:w="4424"/>
        <w:gridCol w:w="3083"/>
        <w:gridCol w:w="2980"/>
        <w:gridCol w:w="3144"/>
      </w:tblGrid>
      <w:tr>
        <w:tblPrEx>
          <w:tblCellMar>
            <w:top w:w="0" w:type="dxa"/>
            <w:left w:w="108" w:type="dxa"/>
            <w:bottom w:w="0" w:type="dxa"/>
            <w:right w:w="108" w:type="dxa"/>
          </w:tblCellMar>
        </w:tblPrEx>
        <w:trPr>
          <w:trHeight w:val="360" w:hRule="atLeast"/>
          <w:jc w:val="center"/>
        </w:trPr>
        <w:tc>
          <w:tcPr>
            <w:tcW w:w="14397" w:type="dxa"/>
            <w:gridSpan w:val="5"/>
            <w:tcBorders>
              <w:top w:val="nil"/>
              <w:left w:val="nil"/>
              <w:bottom w:val="nil"/>
              <w:right w:val="nil"/>
            </w:tcBorders>
            <w:shd w:val="clear" w:color="auto" w:fill="auto"/>
            <w:noWrap/>
            <w:vAlign w:val="center"/>
          </w:tcPr>
          <w:p>
            <w:pPr>
              <w:rPr>
                <w:rFonts w:ascii="方正小标宋_GBK" w:hAnsi="宋体" w:eastAsia="方正小标宋_GBK" w:cs="宋体"/>
                <w:b/>
                <w:color w:val="000000"/>
                <w:sz w:val="36"/>
                <w:szCs w:val="36"/>
                <w:lang w:eastAsia="zh-CN"/>
              </w:rPr>
            </w:pPr>
          </w:p>
          <w:p>
            <w:pPr>
              <w:ind w:right="458" w:rightChars="191"/>
              <w:jc w:val="center"/>
              <w:rPr>
                <w:rFonts w:ascii="方正小标宋_GBK" w:hAnsi="宋体" w:eastAsia="方正小标宋_GBK" w:cs="宋体"/>
                <w:b/>
                <w:color w:val="000000"/>
                <w:sz w:val="36"/>
                <w:szCs w:val="36"/>
              </w:rPr>
            </w:pPr>
            <w:r>
              <w:rPr>
                <w:rFonts w:hint="eastAsia" w:ascii="方正小标宋_GBK" w:hAnsi="宋体" w:eastAsia="方正小标宋_GBK" w:cs="宋体"/>
                <w:b/>
                <w:color w:val="000000"/>
                <w:sz w:val="36"/>
                <w:szCs w:val="36"/>
              </w:rPr>
              <w:t>单位预算收支总表</w:t>
            </w:r>
          </w:p>
        </w:tc>
      </w:tr>
      <w:tr>
        <w:tblPrEx>
          <w:tblCellMar>
            <w:top w:w="0" w:type="dxa"/>
            <w:left w:w="108" w:type="dxa"/>
            <w:bottom w:w="0" w:type="dxa"/>
            <w:right w:w="108" w:type="dxa"/>
          </w:tblCellMar>
        </w:tblPrEx>
        <w:trPr>
          <w:trHeight w:val="360" w:hRule="atLeast"/>
          <w:jc w:val="center"/>
        </w:trPr>
        <w:tc>
          <w:tcPr>
            <w:tcW w:w="8273" w:type="dxa"/>
            <w:gridSpan w:val="3"/>
            <w:tcBorders>
              <w:top w:val="nil"/>
              <w:left w:val="nil"/>
              <w:bottom w:val="nil"/>
              <w:right w:val="nil"/>
            </w:tcBorders>
            <w:shd w:val="clear" w:color="auto" w:fill="auto"/>
            <w:noWrap/>
            <w:vAlign w:val="center"/>
          </w:tcPr>
          <w:p>
            <w:pPr>
              <w:ind w:left="96" w:leftChars="40" w:right="384" w:firstLine="649" w:firstLineChars="294"/>
              <w:rPr>
                <w:rFonts w:ascii="宋体" w:hAnsi="宋体" w:eastAsia="宋体" w:cs="宋体"/>
                <w:b/>
                <w:color w:val="000000"/>
                <w:sz w:val="22"/>
                <w:szCs w:val="22"/>
              </w:rPr>
            </w:pPr>
            <w:r>
              <w:rPr>
                <w:rFonts w:hint="eastAsia" w:ascii="宋体" w:hAnsi="宋体" w:eastAsia="宋体" w:cs="宋体"/>
                <w:b/>
                <w:color w:val="000000"/>
                <w:sz w:val="22"/>
                <w:szCs w:val="22"/>
              </w:rPr>
              <w:t>预算单位编码及名称：</w:t>
            </w:r>
            <w:r>
              <w:rPr>
                <w:b/>
                <w:color w:val="000000"/>
                <w:sz w:val="22"/>
                <w:szCs w:val="22"/>
              </w:rPr>
              <w:t>[20200</w:t>
            </w:r>
            <w:r>
              <w:rPr>
                <w:rFonts w:hint="eastAsia" w:eastAsiaTheme="minorEastAsia"/>
                <w:b/>
                <w:color w:val="000000"/>
                <w:sz w:val="22"/>
                <w:szCs w:val="22"/>
                <w:lang w:eastAsia="zh-CN"/>
              </w:rPr>
              <w:t>3</w:t>
            </w:r>
            <w:r>
              <w:rPr>
                <w:b/>
                <w:color w:val="000000"/>
                <w:sz w:val="22"/>
                <w:szCs w:val="22"/>
              </w:rPr>
              <w:t>]</w:t>
            </w:r>
            <w:r>
              <w:rPr>
                <w:rFonts w:hint="eastAsia" w:ascii="宋体" w:hAnsi="宋体" w:eastAsia="宋体" w:cs="宋体"/>
                <w:b/>
                <w:color w:val="000000"/>
                <w:sz w:val="22"/>
                <w:szCs w:val="22"/>
              </w:rPr>
              <w:t>行政审批局事业</w:t>
            </w:r>
          </w:p>
        </w:tc>
        <w:tc>
          <w:tcPr>
            <w:tcW w:w="2980" w:type="dxa"/>
            <w:tcBorders>
              <w:top w:val="nil"/>
              <w:left w:val="nil"/>
              <w:bottom w:val="nil"/>
              <w:right w:val="nil"/>
            </w:tcBorders>
            <w:shd w:val="clear" w:color="auto" w:fill="auto"/>
            <w:noWrap/>
            <w:vAlign w:val="center"/>
          </w:tcPr>
          <w:p>
            <w:pPr>
              <w:ind w:left="-449" w:leftChars="-187" w:right="518" w:rightChars="216"/>
              <w:jc w:val="right"/>
              <w:rPr>
                <w:rFonts w:ascii="宋体" w:hAnsi="宋体" w:eastAsia="宋体" w:cs="宋体"/>
                <w:b/>
                <w:color w:val="000000"/>
                <w:sz w:val="22"/>
                <w:szCs w:val="22"/>
              </w:rPr>
            </w:pPr>
            <w:r>
              <w:rPr>
                <w:rFonts w:hint="eastAsia" w:ascii="宋体" w:hAnsi="宋体" w:eastAsia="宋体" w:cs="宋体"/>
                <w:b/>
                <w:color w:val="000000"/>
                <w:sz w:val="22"/>
                <w:szCs w:val="22"/>
              </w:rPr>
              <w:t>预算年度：</w:t>
            </w:r>
            <w:r>
              <w:rPr>
                <w:b/>
                <w:color w:val="000000"/>
                <w:sz w:val="22"/>
                <w:szCs w:val="22"/>
              </w:rPr>
              <w:t>2022</w:t>
            </w:r>
          </w:p>
        </w:tc>
        <w:tc>
          <w:tcPr>
            <w:tcW w:w="314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rPr>
            </w:pPr>
            <w:r>
              <w:rPr>
                <w:rFonts w:hint="eastAsia" w:ascii="宋体" w:hAnsi="宋体" w:eastAsia="宋体" w:cs="宋体"/>
                <w:b/>
                <w:color w:val="000000"/>
                <w:sz w:val="22"/>
                <w:szCs w:val="22"/>
              </w:rPr>
              <w:t>单位：万元</w:t>
            </w:r>
          </w:p>
        </w:tc>
      </w:tr>
      <w:tr>
        <w:tblPrEx>
          <w:tblCellMar>
            <w:top w:w="0" w:type="dxa"/>
            <w:left w:w="108" w:type="dxa"/>
            <w:bottom w:w="0" w:type="dxa"/>
            <w:right w:w="108" w:type="dxa"/>
          </w:tblCellMar>
        </w:tblPrEx>
        <w:trPr>
          <w:trHeight w:val="360" w:hRule="atLeast"/>
          <w:jc w:val="center"/>
        </w:trPr>
        <w:tc>
          <w:tcPr>
            <w:tcW w:w="7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left="-475" w:leftChars="-198" w:firstLine="475" w:firstLineChars="216"/>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7507" w:type="dxa"/>
            <w:gridSpan w:val="2"/>
            <w:tcBorders>
              <w:top w:val="single" w:color="auto" w:sz="4" w:space="0"/>
              <w:left w:val="nil"/>
              <w:bottom w:val="single" w:color="auto" w:sz="4" w:space="0"/>
              <w:right w:val="single" w:color="auto" w:sz="4" w:space="0"/>
            </w:tcBorders>
            <w:shd w:val="clear" w:color="auto" w:fill="auto"/>
            <w:noWrap/>
            <w:vAlign w:val="center"/>
          </w:tcPr>
          <w:p>
            <w:pPr>
              <w:ind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收入</w:t>
            </w:r>
          </w:p>
        </w:tc>
        <w:tc>
          <w:tcPr>
            <w:tcW w:w="612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w:t>
            </w:r>
          </w:p>
        </w:tc>
      </w:tr>
      <w:tr>
        <w:tblPrEx>
          <w:tblCellMar>
            <w:top w:w="0" w:type="dxa"/>
            <w:left w:w="108" w:type="dxa"/>
            <w:bottom w:w="0" w:type="dxa"/>
            <w:right w:w="108" w:type="dxa"/>
          </w:tblCellMar>
        </w:tblPrEx>
        <w:trPr>
          <w:trHeight w:val="360"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4424" w:type="dxa"/>
            <w:tcBorders>
              <w:top w:val="nil"/>
              <w:left w:val="nil"/>
              <w:bottom w:val="single" w:color="auto" w:sz="4" w:space="0"/>
              <w:right w:val="single" w:color="auto" w:sz="4" w:space="0"/>
            </w:tcBorders>
            <w:shd w:val="clear" w:color="auto" w:fill="auto"/>
            <w:noWrap/>
            <w:vAlign w:val="center"/>
          </w:tcPr>
          <w:p>
            <w:pPr>
              <w:ind w:left="-466" w:leftChars="-194" w:firstLine="464" w:firstLineChars="211"/>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30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c>
          <w:tcPr>
            <w:tcW w:w="2980" w:type="dxa"/>
            <w:tcBorders>
              <w:top w:val="nil"/>
              <w:left w:val="nil"/>
              <w:bottom w:val="single" w:color="auto" w:sz="4" w:space="0"/>
              <w:right w:val="single" w:color="auto" w:sz="4" w:space="0"/>
            </w:tcBorders>
            <w:shd w:val="clear" w:color="auto" w:fill="auto"/>
            <w:noWrap/>
            <w:vAlign w:val="center"/>
          </w:tcPr>
          <w:p>
            <w:pPr>
              <w:ind w:left="252" w:leftChars="105"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3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r>
      <w:tr>
        <w:tblPrEx>
          <w:tblCellMar>
            <w:top w:w="0" w:type="dxa"/>
            <w:left w:w="108" w:type="dxa"/>
            <w:bottom w:w="0" w:type="dxa"/>
            <w:right w:w="108" w:type="dxa"/>
          </w:tblCellMar>
        </w:tblPrEx>
        <w:trPr>
          <w:trHeight w:val="360"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442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30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29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3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一、一般公共预算拨款收入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一、一般公共服务支出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129.85</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二、政府性基金预算拨款收入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二、外交支出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三、国有资本经营预算拨款收入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三、国防支出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四、财政专户管理资金收入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四、公共安全支出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五、事业收入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五、教育支出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六、事业单位经营收入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六、科学技术支出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七、上级补助收入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七、文化旅游体育与传媒支出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八、附属单位上缴收入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八、社会保障和就业支出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25.58</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九、其他收入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九、社会保险基金支出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十、卫生健康支出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6.82</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十一、节能环保支出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十二、城乡社区支出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十三、农林水支出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十四、交通运输支出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十五、资源勘探工业信息等支出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十六、商业服务业等支出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十七、金融支出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18</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十八、援助其他地区支出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19</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十九、自然资源海洋气象等支出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20</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二十、住房保障支出</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10.7</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21</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二十一、粮油物资储备支出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22</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二十二、国有资本经营预算支出</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二十三、灾害防治及应急管理支出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二十四、预备费</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二十五、其他支出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二十六、转移性支出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27</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二十七、债务还本支出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28</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二十八、债务付息支出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29</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二十九、债务发行费用支出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30</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三十、抗疫特别国债安排的支出</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31</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本年收入合计</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本年支出合计</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32</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上年结转结余</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年终结转结余</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33</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其中财政拨款结转结余</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非财政拨款结转结余</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收入总计</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支出总计</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r>
    </w:tbl>
    <w:p>
      <w:pPr>
        <w:ind w:right="58" w:rightChars="24"/>
        <w:jc w:val="center"/>
        <w:sectPr>
          <w:footerReference r:id="rId8" w:type="default"/>
          <w:footerReference r:id="rId9" w:type="even"/>
          <w:pgSz w:w="16840" w:h="11900" w:orient="landscape"/>
          <w:pgMar w:top="1361" w:right="1020" w:bottom="1134" w:left="1020" w:header="720" w:footer="720" w:gutter="0"/>
          <w:cols w:space="720" w:num="1"/>
          <w:docGrid w:linePitch="326" w:charSpace="0"/>
        </w:sectPr>
      </w:pPr>
    </w:p>
    <w:tbl>
      <w:tblPr>
        <w:tblStyle w:val="10"/>
        <w:tblW w:w="15182" w:type="dxa"/>
        <w:tblInd w:w="94" w:type="dxa"/>
        <w:tblLayout w:type="autofit"/>
        <w:tblCellMar>
          <w:top w:w="0" w:type="dxa"/>
          <w:left w:w="108" w:type="dxa"/>
          <w:bottom w:w="0" w:type="dxa"/>
          <w:right w:w="108" w:type="dxa"/>
        </w:tblCellMar>
      </w:tblPr>
      <w:tblGrid>
        <w:gridCol w:w="475"/>
        <w:gridCol w:w="997"/>
        <w:gridCol w:w="3597"/>
        <w:gridCol w:w="830"/>
        <w:gridCol w:w="1628"/>
        <w:gridCol w:w="1559"/>
        <w:gridCol w:w="2340"/>
        <w:gridCol w:w="1771"/>
        <w:gridCol w:w="1985"/>
      </w:tblGrid>
      <w:tr>
        <w:tblPrEx>
          <w:tblCellMar>
            <w:top w:w="0" w:type="dxa"/>
            <w:left w:w="108" w:type="dxa"/>
            <w:bottom w:w="0" w:type="dxa"/>
            <w:right w:w="108" w:type="dxa"/>
          </w:tblCellMar>
        </w:tblPrEx>
        <w:trPr>
          <w:trHeight w:val="360" w:hRule="atLeast"/>
        </w:trPr>
        <w:tc>
          <w:tcPr>
            <w:tcW w:w="15182" w:type="dxa"/>
            <w:gridSpan w:val="9"/>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26" w:type="dxa"/>
            <w:gridSpan w:val="7"/>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w:t>
            </w:r>
            <w:r>
              <w:rPr>
                <w:b/>
                <w:color w:val="000000"/>
                <w:sz w:val="22"/>
                <w:szCs w:val="22"/>
              </w:rPr>
              <w:t>[20200</w:t>
            </w:r>
            <w:r>
              <w:rPr>
                <w:rFonts w:hint="eastAsia" w:eastAsiaTheme="minorEastAsia"/>
                <w:b/>
                <w:color w:val="000000"/>
                <w:sz w:val="22"/>
                <w:szCs w:val="22"/>
                <w:lang w:eastAsia="zh-CN"/>
              </w:rPr>
              <w:t>3</w:t>
            </w:r>
            <w:r>
              <w:rPr>
                <w:b/>
                <w:color w:val="000000"/>
                <w:sz w:val="22"/>
                <w:szCs w:val="22"/>
              </w:rPr>
              <w:t>]</w:t>
            </w:r>
            <w:r>
              <w:rPr>
                <w:rFonts w:hint="eastAsia" w:ascii="宋体" w:hAnsi="宋体" w:eastAsia="宋体" w:cs="宋体"/>
                <w:b/>
                <w:color w:val="000000"/>
                <w:sz w:val="22"/>
                <w:szCs w:val="22"/>
              </w:rPr>
              <w:t>行政审批局事业</w:t>
            </w:r>
          </w:p>
        </w:tc>
        <w:tc>
          <w:tcPr>
            <w:tcW w:w="1771"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1985"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9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6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基本支出收入</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项目支出收入</w:t>
            </w:r>
          </w:p>
        </w:tc>
        <w:tc>
          <w:tcPr>
            <w:tcW w:w="23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事业单位经营收入</w:t>
            </w:r>
          </w:p>
        </w:tc>
        <w:tc>
          <w:tcPr>
            <w:tcW w:w="17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上缴补助收入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对附属单位上缴收入</w:t>
            </w:r>
          </w:p>
        </w:tc>
      </w:tr>
      <w:tr>
        <w:tblPrEx>
          <w:tblCellMar>
            <w:top w:w="0" w:type="dxa"/>
            <w:left w:w="108" w:type="dxa"/>
            <w:bottom w:w="0" w:type="dxa"/>
            <w:right w:w="108" w:type="dxa"/>
          </w:tblCellMar>
        </w:tblPrEx>
        <w:trPr>
          <w:trHeight w:val="360" w:hRule="atLeast"/>
        </w:trPr>
        <w:tc>
          <w:tcPr>
            <w:tcW w:w="47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6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3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129.85</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129.85</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25.58</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25.58</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outlineLvl w:val="1"/>
        <w:rPr>
          <w:rFonts w:ascii="方正小标宋_GBK" w:hAnsi="方正小标宋_GBK" w:eastAsia="方正小标宋_GBK" w:cs="方正小标宋_GBK"/>
          <w:b/>
          <w:color w:val="000000"/>
          <w:sz w:val="36"/>
          <w:lang w:eastAsia="zh-CN"/>
        </w:rPr>
      </w:pPr>
    </w:p>
    <w:tbl>
      <w:tblPr>
        <w:tblStyle w:val="10"/>
        <w:tblW w:w="17465" w:type="dxa"/>
        <w:jc w:val="center"/>
        <w:tblLayout w:type="autofit"/>
        <w:tblCellMar>
          <w:top w:w="0" w:type="dxa"/>
          <w:left w:w="108" w:type="dxa"/>
          <w:bottom w:w="0" w:type="dxa"/>
          <w:right w:w="108" w:type="dxa"/>
        </w:tblCellMar>
      </w:tblPr>
      <w:tblGrid>
        <w:gridCol w:w="851"/>
        <w:gridCol w:w="726"/>
        <w:gridCol w:w="997"/>
        <w:gridCol w:w="3580"/>
        <w:gridCol w:w="931"/>
        <w:gridCol w:w="1266"/>
        <w:gridCol w:w="1275"/>
        <w:gridCol w:w="2067"/>
        <w:gridCol w:w="2057"/>
        <w:gridCol w:w="1894"/>
        <w:gridCol w:w="1821"/>
      </w:tblGrid>
      <w:tr>
        <w:tblPrEx>
          <w:tblCellMar>
            <w:top w:w="0" w:type="dxa"/>
            <w:left w:w="108" w:type="dxa"/>
            <w:bottom w:w="0" w:type="dxa"/>
            <w:right w:w="108" w:type="dxa"/>
          </w:tblCellMar>
        </w:tblPrEx>
        <w:trPr>
          <w:trHeight w:val="360" w:hRule="atLeast"/>
          <w:jc w:val="center"/>
        </w:trPr>
        <w:tc>
          <w:tcPr>
            <w:tcW w:w="17465" w:type="dxa"/>
            <w:gridSpan w:val="11"/>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单位预算支出总表</w:t>
            </w:r>
          </w:p>
        </w:tc>
      </w:tr>
      <w:tr>
        <w:tblPrEx>
          <w:tblCellMar>
            <w:top w:w="0" w:type="dxa"/>
            <w:left w:w="108" w:type="dxa"/>
            <w:bottom w:w="0" w:type="dxa"/>
            <w:right w:w="108" w:type="dxa"/>
          </w:tblCellMar>
        </w:tblPrEx>
        <w:trPr>
          <w:gridBefore w:val="1"/>
          <w:gridAfter w:val="1"/>
          <w:wBefore w:w="851" w:type="dxa"/>
          <w:wAfter w:w="1821" w:type="dxa"/>
          <w:trHeight w:val="360" w:hRule="atLeast"/>
          <w:jc w:val="center"/>
        </w:trPr>
        <w:tc>
          <w:tcPr>
            <w:tcW w:w="10842" w:type="dxa"/>
            <w:gridSpan w:val="7"/>
            <w:tcBorders>
              <w:top w:val="nil"/>
              <w:left w:val="nil"/>
              <w:bottom w:val="nil"/>
              <w:right w:val="nil"/>
            </w:tcBorders>
            <w:shd w:val="clear" w:color="auto" w:fill="auto"/>
            <w:noWrap/>
            <w:vAlign w:val="center"/>
          </w:tcPr>
          <w:p>
            <w:pPr>
              <w:ind w:left="50" w:leftChars="21"/>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w:t>
            </w:r>
            <w:r>
              <w:rPr>
                <w:b/>
                <w:color w:val="000000"/>
                <w:sz w:val="22"/>
                <w:szCs w:val="22"/>
              </w:rPr>
              <w:t>[20200</w:t>
            </w:r>
            <w:r>
              <w:rPr>
                <w:rFonts w:hint="eastAsia" w:eastAsiaTheme="minorEastAsia"/>
                <w:b/>
                <w:color w:val="000000"/>
                <w:sz w:val="22"/>
                <w:szCs w:val="22"/>
                <w:lang w:eastAsia="zh-CN"/>
              </w:rPr>
              <w:t>3</w:t>
            </w:r>
            <w:r>
              <w:rPr>
                <w:b/>
                <w:color w:val="000000"/>
                <w:sz w:val="22"/>
                <w:szCs w:val="22"/>
              </w:rPr>
              <w:t>]</w:t>
            </w:r>
            <w:r>
              <w:rPr>
                <w:rFonts w:hint="eastAsia" w:ascii="宋体" w:hAnsi="宋体" w:eastAsia="宋体" w:cs="宋体"/>
                <w:b/>
                <w:color w:val="000000"/>
                <w:sz w:val="22"/>
                <w:szCs w:val="22"/>
              </w:rPr>
              <w:t>行政审批局事业</w:t>
            </w:r>
          </w:p>
        </w:tc>
        <w:tc>
          <w:tcPr>
            <w:tcW w:w="205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189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gridBefore w:val="1"/>
          <w:gridAfter w:val="1"/>
          <w:wBefore w:w="851" w:type="dxa"/>
          <w:wAfter w:w="1821" w:type="dxa"/>
          <w:trHeight w:val="360" w:hRule="atLeast"/>
          <w:jc w:val="center"/>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9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93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26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c>
          <w:tcPr>
            <w:tcW w:w="20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事业单位经营支出</w:t>
            </w:r>
          </w:p>
        </w:tc>
        <w:tc>
          <w:tcPr>
            <w:tcW w:w="205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上缴上级支出</w:t>
            </w:r>
          </w:p>
        </w:tc>
        <w:tc>
          <w:tcPr>
            <w:tcW w:w="189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对附属单位补助支出</w:t>
            </w:r>
          </w:p>
        </w:tc>
      </w:tr>
      <w:tr>
        <w:tblPrEx>
          <w:tblCellMar>
            <w:top w:w="0" w:type="dxa"/>
            <w:left w:w="108" w:type="dxa"/>
            <w:bottom w:w="0" w:type="dxa"/>
            <w:right w:w="108" w:type="dxa"/>
          </w:tblCellMar>
        </w:tblPrEx>
        <w:trPr>
          <w:gridBefore w:val="1"/>
          <w:gridAfter w:val="1"/>
          <w:wBefore w:w="851" w:type="dxa"/>
          <w:wAfter w:w="1821" w:type="dxa"/>
          <w:trHeight w:val="360"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93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26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20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1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129.85</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129.85</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25.58</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25.58</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17.05</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17.05</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17.05</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17.05</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w:t>
            </w:r>
            <w:r>
              <w:rPr>
                <w:rFonts w:hint="eastAsia" w:ascii="Calibri" w:hAnsi="Calibri" w:eastAsia="宋体" w:cs="Calibri"/>
                <w:color w:val="000000"/>
                <w:sz w:val="22"/>
                <w:szCs w:val="22"/>
                <w:lang w:eastAsia="zh-CN"/>
              </w:rPr>
              <w:t>6</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职业年金缴费支出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8.53</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8.53</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9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tbl>
      <w:tblPr>
        <w:tblStyle w:val="10"/>
        <w:tblW w:w="14397" w:type="dxa"/>
        <w:jc w:val="center"/>
        <w:tblLayout w:type="autofit"/>
        <w:tblCellMar>
          <w:top w:w="0" w:type="dxa"/>
          <w:left w:w="108" w:type="dxa"/>
          <w:bottom w:w="0" w:type="dxa"/>
          <w:right w:w="108" w:type="dxa"/>
        </w:tblCellMar>
      </w:tblPr>
      <w:tblGrid>
        <w:gridCol w:w="766"/>
        <w:gridCol w:w="4424"/>
        <w:gridCol w:w="3083"/>
        <w:gridCol w:w="2980"/>
        <w:gridCol w:w="3144"/>
      </w:tblGrid>
      <w:tr>
        <w:tblPrEx>
          <w:tblCellMar>
            <w:top w:w="0" w:type="dxa"/>
            <w:left w:w="108" w:type="dxa"/>
            <w:bottom w:w="0" w:type="dxa"/>
            <w:right w:w="108" w:type="dxa"/>
          </w:tblCellMar>
        </w:tblPrEx>
        <w:trPr>
          <w:trHeight w:val="360" w:hRule="atLeast"/>
          <w:jc w:val="center"/>
        </w:trPr>
        <w:tc>
          <w:tcPr>
            <w:tcW w:w="14397" w:type="dxa"/>
            <w:gridSpan w:val="5"/>
            <w:tcBorders>
              <w:top w:val="nil"/>
              <w:left w:val="nil"/>
              <w:bottom w:val="nil"/>
              <w:right w:val="nil"/>
            </w:tcBorders>
            <w:shd w:val="clear" w:color="auto" w:fill="auto"/>
            <w:noWrap/>
            <w:vAlign w:val="center"/>
          </w:tcPr>
          <w:p>
            <w:pPr>
              <w:rPr>
                <w:rFonts w:ascii="方正小标宋_GBK" w:hAnsi="宋体" w:eastAsia="方正小标宋_GBK" w:cs="宋体"/>
                <w:b/>
                <w:color w:val="000000"/>
                <w:sz w:val="36"/>
                <w:szCs w:val="36"/>
                <w:lang w:eastAsia="zh-CN"/>
              </w:rPr>
            </w:pPr>
          </w:p>
          <w:p>
            <w:pPr>
              <w:ind w:right="458" w:rightChars="191"/>
              <w:jc w:val="center"/>
              <w:rPr>
                <w:rFonts w:ascii="方正小标宋_GBK" w:hAnsi="宋体" w:eastAsia="方正小标宋_GBK" w:cs="宋体"/>
                <w:b/>
                <w:color w:val="000000"/>
                <w:sz w:val="36"/>
                <w:szCs w:val="36"/>
              </w:rPr>
            </w:pPr>
            <w:r>
              <w:rPr>
                <w:rFonts w:hint="eastAsia" w:ascii="方正小标宋_GBK" w:hAnsi="宋体" w:eastAsia="方正小标宋_GBK" w:cs="宋体"/>
                <w:b/>
                <w:color w:val="000000"/>
                <w:sz w:val="36"/>
                <w:szCs w:val="36"/>
              </w:rPr>
              <w:t>单位预算财政拨款收支总表</w:t>
            </w:r>
          </w:p>
        </w:tc>
      </w:tr>
      <w:tr>
        <w:tblPrEx>
          <w:tblCellMar>
            <w:top w:w="0" w:type="dxa"/>
            <w:left w:w="108" w:type="dxa"/>
            <w:bottom w:w="0" w:type="dxa"/>
            <w:right w:w="108" w:type="dxa"/>
          </w:tblCellMar>
        </w:tblPrEx>
        <w:trPr>
          <w:trHeight w:val="360" w:hRule="atLeast"/>
          <w:jc w:val="center"/>
        </w:trPr>
        <w:tc>
          <w:tcPr>
            <w:tcW w:w="8273" w:type="dxa"/>
            <w:gridSpan w:val="3"/>
            <w:tcBorders>
              <w:top w:val="nil"/>
              <w:left w:val="nil"/>
              <w:bottom w:val="nil"/>
              <w:right w:val="nil"/>
            </w:tcBorders>
            <w:shd w:val="clear" w:color="auto" w:fill="auto"/>
            <w:noWrap/>
            <w:vAlign w:val="center"/>
          </w:tcPr>
          <w:p>
            <w:pPr>
              <w:ind w:left="96" w:leftChars="40" w:right="384" w:firstLine="649" w:firstLineChars="294"/>
              <w:rPr>
                <w:rFonts w:ascii="宋体" w:hAnsi="宋体" w:eastAsia="宋体" w:cs="宋体"/>
                <w:b/>
                <w:color w:val="000000"/>
                <w:sz w:val="22"/>
                <w:szCs w:val="22"/>
              </w:rPr>
            </w:pPr>
            <w:r>
              <w:rPr>
                <w:rFonts w:hint="eastAsia" w:ascii="宋体" w:hAnsi="宋体" w:eastAsia="宋体" w:cs="宋体"/>
                <w:b/>
                <w:color w:val="000000"/>
                <w:sz w:val="22"/>
                <w:szCs w:val="22"/>
              </w:rPr>
              <w:t>预算单位编码及名称：</w:t>
            </w:r>
            <w:r>
              <w:rPr>
                <w:b/>
                <w:color w:val="000000"/>
                <w:sz w:val="22"/>
                <w:szCs w:val="22"/>
              </w:rPr>
              <w:t>[20200</w:t>
            </w:r>
            <w:r>
              <w:rPr>
                <w:rFonts w:hint="eastAsia" w:eastAsiaTheme="minorEastAsia"/>
                <w:b/>
                <w:color w:val="000000"/>
                <w:sz w:val="22"/>
                <w:szCs w:val="22"/>
                <w:lang w:eastAsia="zh-CN"/>
              </w:rPr>
              <w:t>3</w:t>
            </w:r>
            <w:r>
              <w:rPr>
                <w:b/>
                <w:color w:val="000000"/>
                <w:sz w:val="22"/>
                <w:szCs w:val="22"/>
              </w:rPr>
              <w:t>]</w:t>
            </w:r>
            <w:r>
              <w:rPr>
                <w:rFonts w:hint="eastAsia" w:ascii="宋体" w:hAnsi="宋体" w:eastAsia="宋体" w:cs="宋体"/>
                <w:b/>
                <w:color w:val="000000"/>
                <w:sz w:val="22"/>
                <w:szCs w:val="22"/>
              </w:rPr>
              <w:t>行政审批局事业</w:t>
            </w:r>
          </w:p>
        </w:tc>
        <w:tc>
          <w:tcPr>
            <w:tcW w:w="2980" w:type="dxa"/>
            <w:tcBorders>
              <w:top w:val="nil"/>
              <w:left w:val="nil"/>
              <w:bottom w:val="nil"/>
              <w:right w:val="nil"/>
            </w:tcBorders>
            <w:shd w:val="clear" w:color="auto" w:fill="auto"/>
            <w:noWrap/>
            <w:vAlign w:val="center"/>
          </w:tcPr>
          <w:p>
            <w:pPr>
              <w:ind w:left="-449" w:leftChars="-187" w:right="518" w:rightChars="216"/>
              <w:jc w:val="right"/>
              <w:rPr>
                <w:rFonts w:ascii="宋体" w:hAnsi="宋体" w:eastAsia="宋体" w:cs="宋体"/>
                <w:b/>
                <w:color w:val="000000"/>
                <w:sz w:val="22"/>
                <w:szCs w:val="22"/>
              </w:rPr>
            </w:pPr>
            <w:r>
              <w:rPr>
                <w:rFonts w:hint="eastAsia" w:ascii="宋体" w:hAnsi="宋体" w:eastAsia="宋体" w:cs="宋体"/>
                <w:b/>
                <w:color w:val="000000"/>
                <w:sz w:val="22"/>
                <w:szCs w:val="22"/>
              </w:rPr>
              <w:t>预算年度：</w:t>
            </w:r>
            <w:r>
              <w:rPr>
                <w:b/>
                <w:color w:val="000000"/>
                <w:sz w:val="22"/>
                <w:szCs w:val="22"/>
              </w:rPr>
              <w:t>2022</w:t>
            </w:r>
          </w:p>
        </w:tc>
        <w:tc>
          <w:tcPr>
            <w:tcW w:w="314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rPr>
            </w:pPr>
            <w:r>
              <w:rPr>
                <w:rFonts w:hint="eastAsia" w:ascii="宋体" w:hAnsi="宋体" w:eastAsia="宋体" w:cs="宋体"/>
                <w:b/>
                <w:color w:val="000000"/>
                <w:sz w:val="22"/>
                <w:szCs w:val="22"/>
              </w:rPr>
              <w:t>单位：万元</w:t>
            </w:r>
          </w:p>
        </w:tc>
      </w:tr>
      <w:tr>
        <w:tblPrEx>
          <w:tblCellMar>
            <w:top w:w="0" w:type="dxa"/>
            <w:left w:w="108" w:type="dxa"/>
            <w:bottom w:w="0" w:type="dxa"/>
            <w:right w:w="108" w:type="dxa"/>
          </w:tblCellMar>
        </w:tblPrEx>
        <w:trPr>
          <w:trHeight w:val="360" w:hRule="atLeast"/>
          <w:jc w:val="center"/>
        </w:trPr>
        <w:tc>
          <w:tcPr>
            <w:tcW w:w="7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left="-475" w:leftChars="-198" w:firstLine="475" w:firstLineChars="216"/>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7507" w:type="dxa"/>
            <w:gridSpan w:val="2"/>
            <w:tcBorders>
              <w:top w:val="single" w:color="auto" w:sz="4" w:space="0"/>
              <w:left w:val="nil"/>
              <w:bottom w:val="single" w:color="auto" w:sz="4" w:space="0"/>
              <w:right w:val="single" w:color="auto" w:sz="4" w:space="0"/>
            </w:tcBorders>
            <w:shd w:val="clear" w:color="auto" w:fill="auto"/>
            <w:noWrap/>
            <w:vAlign w:val="center"/>
          </w:tcPr>
          <w:p>
            <w:pPr>
              <w:ind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收入</w:t>
            </w:r>
          </w:p>
        </w:tc>
        <w:tc>
          <w:tcPr>
            <w:tcW w:w="612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w:t>
            </w:r>
          </w:p>
        </w:tc>
      </w:tr>
      <w:tr>
        <w:tblPrEx>
          <w:tblCellMar>
            <w:top w:w="0" w:type="dxa"/>
            <w:left w:w="108" w:type="dxa"/>
            <w:bottom w:w="0" w:type="dxa"/>
            <w:right w:w="108" w:type="dxa"/>
          </w:tblCellMar>
        </w:tblPrEx>
        <w:trPr>
          <w:trHeight w:val="360"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4424" w:type="dxa"/>
            <w:tcBorders>
              <w:top w:val="nil"/>
              <w:left w:val="nil"/>
              <w:bottom w:val="single" w:color="auto" w:sz="4" w:space="0"/>
              <w:right w:val="single" w:color="auto" w:sz="4" w:space="0"/>
            </w:tcBorders>
            <w:shd w:val="clear" w:color="auto" w:fill="auto"/>
            <w:noWrap/>
            <w:vAlign w:val="center"/>
          </w:tcPr>
          <w:p>
            <w:pPr>
              <w:ind w:left="-466" w:leftChars="-194" w:firstLine="464" w:firstLineChars="211"/>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30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c>
          <w:tcPr>
            <w:tcW w:w="2980" w:type="dxa"/>
            <w:tcBorders>
              <w:top w:val="nil"/>
              <w:left w:val="nil"/>
              <w:bottom w:val="single" w:color="auto" w:sz="4" w:space="0"/>
              <w:right w:val="single" w:color="auto" w:sz="4" w:space="0"/>
            </w:tcBorders>
            <w:shd w:val="clear" w:color="auto" w:fill="auto"/>
            <w:noWrap/>
            <w:vAlign w:val="center"/>
          </w:tcPr>
          <w:p>
            <w:pPr>
              <w:ind w:left="252" w:leftChars="105"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3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r>
      <w:tr>
        <w:tblPrEx>
          <w:tblCellMar>
            <w:top w:w="0" w:type="dxa"/>
            <w:left w:w="108" w:type="dxa"/>
            <w:bottom w:w="0" w:type="dxa"/>
            <w:right w:w="108" w:type="dxa"/>
          </w:tblCellMar>
        </w:tblPrEx>
        <w:trPr>
          <w:trHeight w:val="360"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442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30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29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3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一、一般公共预算拨款收入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一、一般公共服务支出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129.85</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二、政府性基金预算拨款收入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二、外交支出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三、国有资本经营预算拨款收入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三、国防支出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四、财政专户管理资金收入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四、公共安全支出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五、事业收入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五、教育支出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六、事业单位经营收入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六、科学技术支出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七、上级补助收入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七、文化旅游体育与传媒支出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八、附属单位上缴收入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八、社会保障和就业支出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25.58</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九、其他收入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九、社会保险基金支出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十、卫生健康支出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6.82</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十一、节能环保支出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十二、城乡社区支出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十三、农林水支出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十四、交通运输支出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十五、资源勘探工业信息等支出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十六、商业服务业等支出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17</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十七、金融支出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18</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十八、援助其他地区支出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19</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十九、自然资源海洋气象等支出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20</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二十、住房保障支出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10.7</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21</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二十一、粮油物资储备支出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22</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二十二、国有资本经营预算支出</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二十三、灾害防治及应急管理支出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二十四、预备费</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二十五、其他支出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二十六、转移性支出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27</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二十七、债务还本支出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28</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二十八、债务付息支出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29</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二十九、债务发行费用支出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30</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三十、抗疫特别国债安排的支出</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31</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本年收入合计</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本年支出合计</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32</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上年结转结余</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年终结转结余</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33</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其中财政拨款结转结余</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非财政拨款结转结余</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7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收入总计</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支出总计</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r>
    </w:tbl>
    <w:p>
      <w:pPr>
        <w:rPr>
          <w:rFonts w:eastAsiaTheme="minorEastAsia"/>
          <w:lang w:eastAsia="zh-CN"/>
        </w:rPr>
      </w:pPr>
    </w:p>
    <w:p>
      <w:pPr>
        <w:rPr>
          <w:rFonts w:eastAsiaTheme="minorEastAsia"/>
          <w:lang w:eastAsia="zh-CN"/>
        </w:rPr>
      </w:pPr>
    </w:p>
    <w:tbl>
      <w:tblPr>
        <w:tblStyle w:val="10"/>
        <w:tblW w:w="13502" w:type="dxa"/>
        <w:jc w:val="center"/>
        <w:tblLayout w:type="autofit"/>
        <w:tblCellMar>
          <w:top w:w="0" w:type="dxa"/>
          <w:left w:w="108" w:type="dxa"/>
          <w:bottom w:w="0" w:type="dxa"/>
          <w:right w:w="108" w:type="dxa"/>
        </w:tblCellMar>
      </w:tblPr>
      <w:tblGrid>
        <w:gridCol w:w="1191"/>
        <w:gridCol w:w="2315"/>
        <w:gridCol w:w="2315"/>
        <w:gridCol w:w="1191"/>
        <w:gridCol w:w="4001"/>
        <w:gridCol w:w="4003"/>
      </w:tblGrid>
      <w:tr>
        <w:tblPrEx>
          <w:tblCellMar>
            <w:top w:w="0" w:type="dxa"/>
            <w:left w:w="108" w:type="dxa"/>
            <w:bottom w:w="0" w:type="dxa"/>
            <w:right w:w="108" w:type="dxa"/>
          </w:tblCellMar>
        </w:tblPrEx>
        <w:trPr>
          <w:trHeight w:val="360" w:hRule="atLeast"/>
          <w:jc w:val="center"/>
        </w:trPr>
        <w:tc>
          <w:tcPr>
            <w:tcW w:w="13502"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tbl>
            <w:tblPr>
              <w:tblStyle w:val="10"/>
              <w:tblW w:w="14705" w:type="dxa"/>
              <w:jc w:val="center"/>
              <w:tblLayout w:type="autofit"/>
              <w:tblCellMar>
                <w:top w:w="0" w:type="dxa"/>
                <w:left w:w="108" w:type="dxa"/>
                <w:bottom w:w="0" w:type="dxa"/>
                <w:right w:w="108" w:type="dxa"/>
              </w:tblCellMar>
            </w:tblPr>
            <w:tblGrid>
              <w:gridCol w:w="642"/>
              <w:gridCol w:w="557"/>
              <w:gridCol w:w="1194"/>
              <w:gridCol w:w="2460"/>
              <w:gridCol w:w="1128"/>
              <w:gridCol w:w="1389"/>
              <w:gridCol w:w="1230"/>
              <w:gridCol w:w="1168"/>
              <w:gridCol w:w="1978"/>
              <w:gridCol w:w="2033"/>
              <w:gridCol w:w="926"/>
            </w:tblGrid>
            <w:tr>
              <w:tblPrEx>
                <w:tblCellMar>
                  <w:top w:w="0" w:type="dxa"/>
                  <w:left w:w="108" w:type="dxa"/>
                  <w:bottom w:w="0" w:type="dxa"/>
                  <w:right w:w="108" w:type="dxa"/>
                </w:tblCellMar>
              </w:tblPrEx>
              <w:trPr>
                <w:trHeight w:val="360" w:hRule="atLeast"/>
                <w:jc w:val="center"/>
              </w:trPr>
              <w:tc>
                <w:tcPr>
                  <w:tcW w:w="14705" w:type="dxa"/>
                  <w:gridSpan w:val="11"/>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单位预算一般公共预算财政拨款支出表</w:t>
                  </w:r>
                </w:p>
              </w:tc>
            </w:tr>
            <w:tr>
              <w:tblPrEx>
                <w:tblCellMar>
                  <w:top w:w="0" w:type="dxa"/>
                  <w:left w:w="108" w:type="dxa"/>
                  <w:bottom w:w="0" w:type="dxa"/>
                  <w:right w:w="108" w:type="dxa"/>
                </w:tblCellMar>
              </w:tblPrEx>
              <w:trPr>
                <w:gridBefore w:val="1"/>
                <w:gridAfter w:val="1"/>
                <w:wBefore w:w="642" w:type="dxa"/>
                <w:wAfter w:w="926" w:type="dxa"/>
                <w:trHeight w:val="360" w:hRule="atLeast"/>
                <w:jc w:val="center"/>
              </w:trPr>
              <w:tc>
                <w:tcPr>
                  <w:tcW w:w="9126" w:type="dxa"/>
                  <w:gridSpan w:val="7"/>
                  <w:tcBorders>
                    <w:top w:val="nil"/>
                    <w:left w:val="nil"/>
                    <w:bottom w:val="nil"/>
                    <w:right w:val="nil"/>
                  </w:tcBorders>
                  <w:shd w:val="clear" w:color="auto" w:fill="auto"/>
                  <w:noWrap/>
                  <w:vAlign w:val="center"/>
                </w:tcPr>
                <w:p>
                  <w:pPr>
                    <w:ind w:left="50" w:leftChars="21"/>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w:t>
                  </w:r>
                  <w:r>
                    <w:rPr>
                      <w:b/>
                      <w:color w:val="000000"/>
                      <w:sz w:val="22"/>
                      <w:szCs w:val="22"/>
                    </w:rPr>
                    <w:t>[20200</w:t>
                  </w:r>
                  <w:r>
                    <w:rPr>
                      <w:rFonts w:hint="eastAsia" w:eastAsiaTheme="minorEastAsia"/>
                      <w:b/>
                      <w:color w:val="000000"/>
                      <w:sz w:val="22"/>
                      <w:szCs w:val="22"/>
                      <w:lang w:eastAsia="zh-CN"/>
                    </w:rPr>
                    <w:t>3</w:t>
                  </w:r>
                  <w:r>
                    <w:rPr>
                      <w:b/>
                      <w:color w:val="000000"/>
                      <w:sz w:val="22"/>
                      <w:szCs w:val="22"/>
                    </w:rPr>
                    <w:t>]</w:t>
                  </w:r>
                  <w:r>
                    <w:rPr>
                      <w:rFonts w:hint="eastAsia" w:ascii="宋体" w:hAnsi="宋体" w:eastAsia="宋体" w:cs="宋体"/>
                      <w:b/>
                      <w:color w:val="000000"/>
                      <w:sz w:val="22"/>
                      <w:szCs w:val="22"/>
                    </w:rPr>
                    <w:t>行政审批局事业</w:t>
                  </w:r>
                </w:p>
              </w:tc>
              <w:tc>
                <w:tcPr>
                  <w:tcW w:w="197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2033" w:type="dxa"/>
                  <w:tcBorders>
                    <w:top w:val="nil"/>
                    <w:left w:val="nil"/>
                    <w:bottom w:val="nil"/>
                    <w:right w:val="nil"/>
                  </w:tcBorders>
                  <w:shd w:val="clear" w:color="auto" w:fill="auto"/>
                  <w:noWrap/>
                  <w:vAlign w:val="center"/>
                </w:tcPr>
                <w:p>
                  <w:pPr>
                    <w:ind w:left="264" w:leftChars="110"/>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gridBefore w:val="1"/>
                <w:gridAfter w:val="1"/>
                <w:wBefore w:w="642" w:type="dxa"/>
                <w:wAfter w:w="926" w:type="dxa"/>
                <w:trHeight w:val="360" w:hRule="atLeast"/>
                <w:jc w:val="center"/>
              </w:trPr>
              <w:tc>
                <w:tcPr>
                  <w:tcW w:w="5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119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46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c>
                <w:tcPr>
                  <w:tcW w:w="116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事业单位经营支出</w:t>
                  </w:r>
                </w:p>
              </w:tc>
              <w:tc>
                <w:tcPr>
                  <w:tcW w:w="197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上缴上级支出</w:t>
                  </w:r>
                </w:p>
              </w:tc>
              <w:tc>
                <w:tcPr>
                  <w:tcW w:w="203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对附属单位补助支出</w:t>
                  </w:r>
                </w:p>
              </w:tc>
            </w:tr>
            <w:tr>
              <w:tblPrEx>
                <w:tblCellMar>
                  <w:top w:w="0" w:type="dxa"/>
                  <w:left w:w="108" w:type="dxa"/>
                  <w:bottom w:w="0" w:type="dxa"/>
                  <w:right w:w="108" w:type="dxa"/>
                </w:tblCellMar>
              </w:tblPrEx>
              <w:trPr>
                <w:gridBefore w:val="1"/>
                <w:gridAfter w:val="1"/>
                <w:wBefore w:w="642" w:type="dxa"/>
                <w:wAfter w:w="926" w:type="dxa"/>
                <w:trHeight w:val="360" w:hRule="atLeast"/>
                <w:jc w:val="center"/>
              </w:trPr>
              <w:tc>
                <w:tcPr>
                  <w:tcW w:w="5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1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4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38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1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97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2033" w:type="dxa"/>
                  <w:tcBorders>
                    <w:top w:val="nil"/>
                    <w:left w:val="nil"/>
                    <w:bottom w:val="single" w:color="auto" w:sz="4" w:space="0"/>
                    <w:right w:val="single" w:color="auto" w:sz="4" w:space="0"/>
                  </w:tcBorders>
                  <w:shd w:val="clear" w:color="auto" w:fill="auto"/>
                  <w:noWrap/>
                  <w:vAlign w:val="center"/>
                </w:tcPr>
                <w:p>
                  <w:pPr>
                    <w:ind w:left="264" w:hanging="264" w:hangingChars="120"/>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129.85</w:t>
                  </w: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129.85</w:t>
                  </w: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25.58</w:t>
                  </w: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25.58</w:t>
                  </w: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6.82</w:t>
                  </w: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642" w:type="dxa"/>
                <w:wAfter w:w="926" w:type="dxa"/>
                <w:trHeight w:val="330" w:hRule="atLeast"/>
                <w:jc w:val="center"/>
              </w:trPr>
              <w:tc>
                <w:tcPr>
                  <w:tcW w:w="5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1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1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38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172.95</w:t>
                  </w:r>
                </w:p>
              </w:tc>
              <w:tc>
                <w:tcPr>
                  <w:tcW w:w="12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7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3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rPr>
                <w:rFonts w:eastAsiaTheme="minorEastAsia"/>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tbl>
            <w:tblPr>
              <w:tblStyle w:val="10"/>
              <w:tblW w:w="14813" w:type="dxa"/>
              <w:tblInd w:w="0" w:type="dxa"/>
              <w:tblLayout w:type="autofit"/>
              <w:tblCellMar>
                <w:top w:w="0" w:type="dxa"/>
                <w:left w:w="108" w:type="dxa"/>
                <w:bottom w:w="0" w:type="dxa"/>
                <w:right w:w="108" w:type="dxa"/>
              </w:tblCellMar>
            </w:tblPr>
            <w:tblGrid>
              <w:gridCol w:w="108"/>
              <w:gridCol w:w="658"/>
              <w:gridCol w:w="4420"/>
              <w:gridCol w:w="3080"/>
              <w:gridCol w:w="2977"/>
              <w:gridCol w:w="3141"/>
              <w:gridCol w:w="416"/>
            </w:tblGrid>
            <w:tr>
              <w:tblPrEx>
                <w:tblCellMar>
                  <w:top w:w="0" w:type="dxa"/>
                  <w:left w:w="108" w:type="dxa"/>
                  <w:bottom w:w="0" w:type="dxa"/>
                  <w:right w:w="108" w:type="dxa"/>
                </w:tblCellMar>
              </w:tblPrEx>
              <w:trPr>
                <w:gridBefore w:val="1"/>
                <w:wBefore w:w="108" w:type="dxa"/>
                <w:trHeight w:val="360" w:hRule="atLeast"/>
              </w:trPr>
              <w:tc>
                <w:tcPr>
                  <w:tcW w:w="14705"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p>
              </w:tc>
            </w:tr>
            <w:tr>
              <w:tblPrEx>
                <w:tblCellMar>
                  <w:top w:w="0" w:type="dxa"/>
                  <w:left w:w="108" w:type="dxa"/>
                  <w:bottom w:w="0" w:type="dxa"/>
                  <w:right w:w="108" w:type="dxa"/>
                </w:tblCellMar>
              </w:tblPrEx>
              <w:trPr>
                <w:gridAfter w:val="1"/>
                <w:wAfter w:w="416" w:type="dxa"/>
                <w:trHeight w:val="360" w:hRule="atLeast"/>
                <w:jc w:val="center"/>
              </w:trPr>
              <w:tc>
                <w:tcPr>
                  <w:tcW w:w="14397" w:type="dxa"/>
                  <w:gridSpan w:val="6"/>
                  <w:tcBorders>
                    <w:top w:val="nil"/>
                    <w:left w:val="nil"/>
                    <w:bottom w:val="nil"/>
                    <w:right w:val="nil"/>
                  </w:tcBorders>
                  <w:shd w:val="clear" w:color="auto" w:fill="auto"/>
                  <w:noWrap/>
                  <w:vAlign w:val="center"/>
                </w:tcPr>
                <w:p>
                  <w:pPr>
                    <w:rPr>
                      <w:rFonts w:ascii="方正小标宋_GBK" w:hAnsi="宋体" w:eastAsia="方正小标宋_GBK" w:cs="宋体"/>
                      <w:b/>
                      <w:color w:val="000000"/>
                      <w:sz w:val="36"/>
                      <w:szCs w:val="36"/>
                      <w:lang w:eastAsia="zh-CN"/>
                    </w:rPr>
                  </w:pPr>
                </w:p>
                <w:p>
                  <w:pPr>
                    <w:ind w:right="458" w:rightChars="191"/>
                    <w:jc w:val="center"/>
                    <w:rPr>
                      <w:rFonts w:ascii="方正小标宋_GBK" w:hAnsi="宋体" w:eastAsia="方正小标宋_GBK" w:cs="宋体"/>
                      <w:b/>
                      <w:color w:val="000000"/>
                      <w:sz w:val="36"/>
                      <w:szCs w:val="36"/>
                    </w:rPr>
                  </w:pPr>
                  <w:r>
                    <w:rPr>
                      <w:rFonts w:hint="eastAsia" w:ascii="方正小标宋_GBK" w:hAnsi="宋体" w:eastAsia="方正小标宋_GBK" w:cs="宋体"/>
                      <w:b/>
                      <w:color w:val="000000"/>
                      <w:sz w:val="36"/>
                      <w:szCs w:val="36"/>
                    </w:rPr>
                    <w:t>单位预算财政拨款收支总表</w:t>
                  </w:r>
                </w:p>
              </w:tc>
            </w:tr>
            <w:tr>
              <w:tblPrEx>
                <w:tblCellMar>
                  <w:top w:w="0" w:type="dxa"/>
                  <w:left w:w="108" w:type="dxa"/>
                  <w:bottom w:w="0" w:type="dxa"/>
                  <w:right w:w="108" w:type="dxa"/>
                </w:tblCellMar>
              </w:tblPrEx>
              <w:trPr>
                <w:gridAfter w:val="1"/>
                <w:wAfter w:w="416" w:type="dxa"/>
                <w:trHeight w:val="360" w:hRule="atLeast"/>
                <w:jc w:val="center"/>
              </w:trPr>
              <w:tc>
                <w:tcPr>
                  <w:tcW w:w="8273" w:type="dxa"/>
                  <w:gridSpan w:val="4"/>
                  <w:tcBorders>
                    <w:top w:val="nil"/>
                    <w:left w:val="nil"/>
                    <w:bottom w:val="nil"/>
                    <w:right w:val="nil"/>
                  </w:tcBorders>
                  <w:shd w:val="clear" w:color="auto" w:fill="auto"/>
                  <w:noWrap/>
                  <w:vAlign w:val="center"/>
                </w:tcPr>
                <w:p>
                  <w:pPr>
                    <w:ind w:left="96" w:leftChars="40" w:right="384" w:firstLine="649" w:firstLineChars="294"/>
                    <w:rPr>
                      <w:rFonts w:ascii="宋体" w:hAnsi="宋体" w:eastAsia="宋体" w:cs="宋体"/>
                      <w:b/>
                      <w:color w:val="000000"/>
                      <w:sz w:val="22"/>
                      <w:szCs w:val="22"/>
                    </w:rPr>
                  </w:pPr>
                  <w:r>
                    <w:rPr>
                      <w:rFonts w:hint="eastAsia" w:ascii="宋体" w:hAnsi="宋体" w:eastAsia="宋体" w:cs="宋体"/>
                      <w:b/>
                      <w:color w:val="000000"/>
                      <w:sz w:val="22"/>
                      <w:szCs w:val="22"/>
                    </w:rPr>
                    <w:t>预算单位编码及名称：</w:t>
                  </w:r>
                  <w:r>
                    <w:rPr>
                      <w:b/>
                      <w:color w:val="000000"/>
                      <w:sz w:val="22"/>
                      <w:szCs w:val="22"/>
                    </w:rPr>
                    <w:t>[20200</w:t>
                  </w:r>
                  <w:r>
                    <w:rPr>
                      <w:rFonts w:hint="eastAsia" w:eastAsiaTheme="minorEastAsia"/>
                      <w:b/>
                      <w:color w:val="000000"/>
                      <w:sz w:val="22"/>
                      <w:szCs w:val="22"/>
                      <w:lang w:eastAsia="zh-CN"/>
                    </w:rPr>
                    <w:t>3</w:t>
                  </w:r>
                  <w:r>
                    <w:rPr>
                      <w:b/>
                      <w:color w:val="000000"/>
                      <w:sz w:val="22"/>
                      <w:szCs w:val="22"/>
                    </w:rPr>
                    <w:t>]</w:t>
                  </w:r>
                  <w:r>
                    <w:rPr>
                      <w:rFonts w:hint="eastAsia" w:ascii="宋体" w:hAnsi="宋体" w:eastAsia="宋体" w:cs="宋体"/>
                      <w:b/>
                      <w:color w:val="000000"/>
                      <w:sz w:val="22"/>
                      <w:szCs w:val="22"/>
                    </w:rPr>
                    <w:t>行政审批局事业</w:t>
                  </w:r>
                </w:p>
              </w:tc>
              <w:tc>
                <w:tcPr>
                  <w:tcW w:w="2980" w:type="dxa"/>
                  <w:tcBorders>
                    <w:top w:val="nil"/>
                    <w:left w:val="nil"/>
                    <w:bottom w:val="nil"/>
                    <w:right w:val="nil"/>
                  </w:tcBorders>
                  <w:shd w:val="clear" w:color="auto" w:fill="auto"/>
                  <w:noWrap/>
                  <w:vAlign w:val="center"/>
                </w:tcPr>
                <w:p>
                  <w:pPr>
                    <w:ind w:left="-449" w:leftChars="-187" w:right="518" w:rightChars="216"/>
                    <w:jc w:val="right"/>
                    <w:rPr>
                      <w:rFonts w:ascii="宋体" w:hAnsi="宋体" w:eastAsia="宋体" w:cs="宋体"/>
                      <w:b/>
                      <w:color w:val="000000"/>
                      <w:sz w:val="22"/>
                      <w:szCs w:val="22"/>
                    </w:rPr>
                  </w:pPr>
                  <w:r>
                    <w:rPr>
                      <w:rFonts w:hint="eastAsia" w:ascii="宋体" w:hAnsi="宋体" w:eastAsia="宋体" w:cs="宋体"/>
                      <w:b/>
                      <w:color w:val="000000"/>
                      <w:sz w:val="22"/>
                      <w:szCs w:val="22"/>
                    </w:rPr>
                    <w:t>预算年度：</w:t>
                  </w:r>
                  <w:r>
                    <w:rPr>
                      <w:b/>
                      <w:color w:val="000000"/>
                      <w:sz w:val="22"/>
                      <w:szCs w:val="22"/>
                    </w:rPr>
                    <w:t>2022</w:t>
                  </w:r>
                </w:p>
              </w:tc>
              <w:tc>
                <w:tcPr>
                  <w:tcW w:w="314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rPr>
                  </w:pPr>
                  <w:r>
                    <w:rPr>
                      <w:rFonts w:hint="eastAsia" w:ascii="宋体" w:hAnsi="宋体" w:eastAsia="宋体" w:cs="宋体"/>
                      <w:b/>
                      <w:color w:val="000000"/>
                      <w:sz w:val="22"/>
                      <w:szCs w:val="22"/>
                    </w:rPr>
                    <w:t>单位：万元</w:t>
                  </w:r>
                </w:p>
              </w:tc>
            </w:tr>
            <w:tr>
              <w:tblPrEx>
                <w:tblCellMar>
                  <w:top w:w="0" w:type="dxa"/>
                  <w:left w:w="108" w:type="dxa"/>
                  <w:bottom w:w="0" w:type="dxa"/>
                  <w:right w:w="108" w:type="dxa"/>
                </w:tblCellMar>
              </w:tblPrEx>
              <w:trPr>
                <w:gridAfter w:val="1"/>
                <w:wAfter w:w="416" w:type="dxa"/>
                <w:trHeight w:val="360" w:hRule="atLeast"/>
                <w:jc w:val="center"/>
              </w:trPr>
              <w:tc>
                <w:tcPr>
                  <w:tcW w:w="76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left="-475" w:leftChars="-198" w:firstLine="475" w:firstLineChars="216"/>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7507" w:type="dxa"/>
                  <w:gridSpan w:val="2"/>
                  <w:tcBorders>
                    <w:top w:val="single" w:color="auto" w:sz="4" w:space="0"/>
                    <w:left w:val="nil"/>
                    <w:bottom w:val="single" w:color="auto" w:sz="4" w:space="0"/>
                    <w:right w:val="single" w:color="auto" w:sz="4" w:space="0"/>
                  </w:tcBorders>
                  <w:shd w:val="clear" w:color="auto" w:fill="auto"/>
                  <w:noWrap/>
                  <w:vAlign w:val="center"/>
                </w:tcPr>
                <w:p>
                  <w:pPr>
                    <w:ind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收入</w:t>
                  </w:r>
                </w:p>
              </w:tc>
              <w:tc>
                <w:tcPr>
                  <w:tcW w:w="612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w:t>
                  </w:r>
                </w:p>
              </w:tc>
            </w:tr>
            <w:tr>
              <w:tblPrEx>
                <w:tblCellMar>
                  <w:top w:w="0" w:type="dxa"/>
                  <w:left w:w="108" w:type="dxa"/>
                  <w:bottom w:w="0" w:type="dxa"/>
                  <w:right w:w="108" w:type="dxa"/>
                </w:tblCellMar>
              </w:tblPrEx>
              <w:trPr>
                <w:gridAfter w:val="1"/>
                <w:wAfter w:w="416" w:type="dxa"/>
                <w:trHeight w:val="360" w:hRule="atLeast"/>
                <w:jc w:val="center"/>
              </w:trPr>
              <w:tc>
                <w:tcPr>
                  <w:tcW w:w="76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4424" w:type="dxa"/>
                  <w:tcBorders>
                    <w:top w:val="nil"/>
                    <w:left w:val="nil"/>
                    <w:bottom w:val="single" w:color="auto" w:sz="4" w:space="0"/>
                    <w:right w:val="single" w:color="auto" w:sz="4" w:space="0"/>
                  </w:tcBorders>
                  <w:shd w:val="clear" w:color="auto" w:fill="auto"/>
                  <w:noWrap/>
                  <w:vAlign w:val="center"/>
                </w:tcPr>
                <w:p>
                  <w:pPr>
                    <w:ind w:left="-466" w:leftChars="-194" w:firstLine="464" w:firstLineChars="211"/>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30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c>
                <w:tcPr>
                  <w:tcW w:w="2980" w:type="dxa"/>
                  <w:tcBorders>
                    <w:top w:val="nil"/>
                    <w:left w:val="nil"/>
                    <w:bottom w:val="single" w:color="auto" w:sz="4" w:space="0"/>
                    <w:right w:val="single" w:color="auto" w:sz="4" w:space="0"/>
                  </w:tcBorders>
                  <w:shd w:val="clear" w:color="auto" w:fill="auto"/>
                  <w:noWrap/>
                  <w:vAlign w:val="center"/>
                </w:tcPr>
                <w:p>
                  <w:pPr>
                    <w:ind w:left="252" w:leftChars="105"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3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r>
            <w:tr>
              <w:tblPrEx>
                <w:tblCellMar>
                  <w:top w:w="0" w:type="dxa"/>
                  <w:left w:w="108" w:type="dxa"/>
                  <w:bottom w:w="0" w:type="dxa"/>
                  <w:right w:w="108" w:type="dxa"/>
                </w:tblCellMar>
              </w:tblPrEx>
              <w:trPr>
                <w:gridAfter w:val="1"/>
                <w:wAfter w:w="416" w:type="dxa"/>
                <w:trHeight w:val="36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442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30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29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3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一、一般公共预算拨款收入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一、一般公共服务支出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129.85</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二、政府性基金预算拨款收入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二、外交支出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三、国有资本经营预算拨款收入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三、国防支出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四、财政专户管理资金收入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四、公共安全支出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五、事业收入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五、教育支出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六、事业单位经营收入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六、科学技术支出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七、上级补助收入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七、文化旅游体育与传媒支出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八、附属单位上缴收入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八、社会保障和就业支出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25.58</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九、其他收入</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九、社会保险基金支出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十、卫生健康支出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6.82</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十一、节能环保支出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十二、城乡社区支出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十三、农林水支出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十四、交通运输支出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十五、资源勘探工业信息等支出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十六、商业服务业等支出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17</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十七、金融支出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18</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十八、援助其他地区支出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19</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十九、自然资源海洋气象等支出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20</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二十、住房保障支出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10.7</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21</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二十一、粮油物资储备支出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22</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二十二、国有资本经营预算支出</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二十三、灾害防治及应急管理支出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二十四、预备费</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二十五、其他支出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二十六、转移性支出</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27</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二十七、债务还本支出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28</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二十八、债务付息支出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29</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二十九、债务发行费用支出</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30</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三十、抗疫特别国债安排的支出</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31</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本年收入合计</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本年支出合计</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32</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上年结转结余</w:t>
                  </w:r>
                </w:p>
              </w:tc>
              <w:tc>
                <w:tcPr>
                  <w:tcW w:w="308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年终结转结余</w:t>
                  </w:r>
                </w:p>
              </w:tc>
              <w:tc>
                <w:tcPr>
                  <w:tcW w:w="314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33</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其中财政拨款结转结余</w:t>
                  </w:r>
                </w:p>
              </w:tc>
              <w:tc>
                <w:tcPr>
                  <w:tcW w:w="308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14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非财政拨款结转结余</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gridAfter w:val="1"/>
                <w:wAfter w:w="416" w:type="dxa"/>
                <w:trHeight w:val="330" w:hRule="atLeast"/>
                <w:jc w:val="center"/>
              </w:trPr>
              <w:tc>
                <w:tcPr>
                  <w:tcW w:w="766" w:type="dxa"/>
                  <w:gridSpan w:val="2"/>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收入总计</w:t>
                  </w:r>
                </w:p>
              </w:tc>
              <w:tc>
                <w:tcPr>
                  <w:tcW w:w="3083"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c>
                <w:tcPr>
                  <w:tcW w:w="29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支出总计</w:t>
                  </w:r>
                </w:p>
              </w:tc>
              <w:tc>
                <w:tcPr>
                  <w:tcW w:w="3144"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172.95</w:t>
                  </w:r>
                </w:p>
              </w:tc>
            </w:tr>
          </w:tbl>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tbl>
            <w:tblPr>
              <w:tblStyle w:val="10"/>
              <w:tblW w:w="14387" w:type="dxa"/>
              <w:tblInd w:w="0" w:type="dxa"/>
              <w:tblLayout w:type="autofit"/>
              <w:tblCellMar>
                <w:top w:w="0" w:type="dxa"/>
                <w:left w:w="108" w:type="dxa"/>
                <w:bottom w:w="0" w:type="dxa"/>
                <w:right w:w="108" w:type="dxa"/>
              </w:tblCellMar>
            </w:tblPr>
            <w:tblGrid>
              <w:gridCol w:w="759"/>
              <w:gridCol w:w="1470"/>
              <w:gridCol w:w="5033"/>
              <w:gridCol w:w="2047"/>
              <w:gridCol w:w="2539"/>
              <w:gridCol w:w="2539"/>
            </w:tblGrid>
            <w:tr>
              <w:tblPrEx>
                <w:tblCellMar>
                  <w:top w:w="0" w:type="dxa"/>
                  <w:left w:w="108" w:type="dxa"/>
                  <w:bottom w:w="0" w:type="dxa"/>
                  <w:right w:w="108" w:type="dxa"/>
                </w:tblCellMar>
              </w:tblPrEx>
              <w:trPr>
                <w:trHeight w:val="360" w:hRule="atLeast"/>
              </w:trPr>
              <w:tc>
                <w:tcPr>
                  <w:tcW w:w="14387"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p>
                <w:p>
                  <w:pPr>
                    <w:jc w:val="center"/>
                    <w:rPr>
                      <w:rFonts w:ascii="方正小标宋_GBK" w:hAnsi="宋体" w:eastAsia="方正小标宋_GBK" w:cs="宋体"/>
                      <w:color w:val="000000"/>
                      <w:sz w:val="36"/>
                      <w:szCs w:val="36"/>
                      <w:lang w:eastAsia="zh-CN"/>
                    </w:rPr>
                  </w:pPr>
                </w:p>
                <w:p>
                  <w:pPr>
                    <w:jc w:val="center"/>
                    <w:rPr>
                      <w:rFonts w:ascii="方正小标宋_GBK" w:hAnsi="宋体" w:eastAsia="方正小标宋_GBK" w:cs="宋体"/>
                      <w:color w:val="000000"/>
                      <w:sz w:val="36"/>
                      <w:szCs w:val="36"/>
                      <w:lang w:eastAsia="zh-CN"/>
                    </w:rPr>
                  </w:pPr>
                  <w:r>
                    <w:rPr>
                      <w:rFonts w:hint="eastAsia" w:ascii="方正小标宋_GBK" w:hAnsi="宋体" w:eastAsia="方正小标宋_GBK" w:cs="宋体"/>
                      <w:color w:val="000000"/>
                      <w:sz w:val="36"/>
                      <w:szCs w:val="36"/>
                      <w:lang w:eastAsia="zh-CN"/>
                    </w:rPr>
                    <w:t>单位预算一般公共预算基本支出表</w:t>
                  </w:r>
                </w:p>
              </w:tc>
            </w:tr>
            <w:tr>
              <w:tblPrEx>
                <w:tblCellMar>
                  <w:top w:w="0" w:type="dxa"/>
                  <w:left w:w="108" w:type="dxa"/>
                  <w:bottom w:w="0" w:type="dxa"/>
                  <w:right w:w="108" w:type="dxa"/>
                </w:tblCellMar>
              </w:tblPrEx>
              <w:trPr>
                <w:trHeight w:val="360" w:hRule="atLeast"/>
              </w:trPr>
              <w:tc>
                <w:tcPr>
                  <w:tcW w:w="9309"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预算单位编码及名称：[202003]涞水县行政审批局事业</w:t>
                  </w:r>
                </w:p>
              </w:tc>
              <w:tc>
                <w:tcPr>
                  <w:tcW w:w="2539"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2539"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50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单位预算支出经济分类科目</w:t>
                  </w:r>
                </w:p>
              </w:tc>
              <w:tc>
                <w:tcPr>
                  <w:tcW w:w="7125"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本年一般公共预算基本支出</w:t>
                  </w:r>
                </w:p>
              </w:tc>
            </w:tr>
            <w:tr>
              <w:tblPrEx>
                <w:tblCellMar>
                  <w:top w:w="0" w:type="dxa"/>
                  <w:left w:w="108" w:type="dxa"/>
                  <w:bottom w:w="0" w:type="dxa"/>
                  <w:right w:w="108" w:type="dxa"/>
                </w:tblCellMar>
              </w:tblPrEx>
              <w:trPr>
                <w:trHeight w:val="67"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03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204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5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67" w:hRule="atLeast"/>
              </w:trPr>
              <w:tc>
                <w:tcPr>
                  <w:tcW w:w="7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4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03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04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5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5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工资福利支出</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163.42</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163.42</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基本工资</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65.27</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65.27</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30102</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津贴补贴</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15.89</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15.89</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30103</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奖金</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30107</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绩效工资</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37.88</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37.88</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30108</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机关事业单位基本养老保险缴费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17.05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17.05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30109</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职业年金缴费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8.53</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30110</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城镇职工基本医疗保险缴费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6.82</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6.82</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30112</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其他社会保障缴费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1.28</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1.28</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30113</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住房公积金</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10.7</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10.7</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商品和服务支出</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9.53</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9.53</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30201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办公费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4.62</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4.62</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30207</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邮电费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30208</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取暖费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30211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差旅费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30217</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公务接待费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30226</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劳务费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30228</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工会经费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1.18</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1.18</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30229</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福利费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1.63</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1.63</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30231</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公务用车运行维护费</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67"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30239</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其他交通费用</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7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147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　</w:t>
                  </w:r>
                </w:p>
              </w:tc>
              <w:tc>
                <w:tcPr>
                  <w:tcW w:w="503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合计</w:t>
                  </w:r>
                </w:p>
              </w:tc>
              <w:tc>
                <w:tcPr>
                  <w:tcW w:w="204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172.95</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163.42</w:t>
                  </w:r>
                </w:p>
              </w:tc>
              <w:tc>
                <w:tcPr>
                  <w:tcW w:w="253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9.53</w:t>
                  </w:r>
                </w:p>
              </w:tc>
            </w:tr>
          </w:tbl>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jc w:val="center"/>
        </w:trPr>
        <w:tc>
          <w:tcPr>
            <w:tcW w:w="630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w:t>
            </w:r>
            <w:r>
              <w:rPr>
                <w:b/>
                <w:color w:val="000000"/>
                <w:sz w:val="22"/>
                <w:szCs w:val="22"/>
              </w:rPr>
              <w:t>[20200</w:t>
            </w:r>
            <w:r>
              <w:rPr>
                <w:rFonts w:hint="eastAsia" w:eastAsiaTheme="minorEastAsia"/>
                <w:b/>
                <w:color w:val="000000"/>
                <w:sz w:val="22"/>
                <w:szCs w:val="22"/>
                <w:lang w:eastAsia="zh-CN"/>
              </w:rPr>
              <w:t>3</w:t>
            </w:r>
            <w:r>
              <w:rPr>
                <w:b/>
                <w:color w:val="000000"/>
                <w:sz w:val="22"/>
                <w:szCs w:val="22"/>
              </w:rPr>
              <w:t>]</w:t>
            </w:r>
            <w:r>
              <w:rPr>
                <w:rFonts w:hint="eastAsia" w:ascii="宋体" w:hAnsi="宋体" w:eastAsia="宋体" w:cs="宋体"/>
                <w:b/>
                <w:color w:val="000000"/>
                <w:sz w:val="22"/>
                <w:szCs w:val="22"/>
              </w:rPr>
              <w:t>行政审批局事业</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6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3502"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注：本单位无政府基金预算，空表列式。</w:t>
            </w:r>
          </w:p>
        </w:tc>
      </w:tr>
    </w:tbl>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tbl>
      <w:tblPr>
        <w:tblStyle w:val="10"/>
        <w:tblW w:w="14188" w:type="dxa"/>
        <w:jc w:val="center"/>
        <w:tblLayout w:type="autofit"/>
        <w:tblCellMar>
          <w:top w:w="0" w:type="dxa"/>
          <w:left w:w="108" w:type="dxa"/>
          <w:bottom w:w="0" w:type="dxa"/>
          <w:right w:w="108" w:type="dxa"/>
        </w:tblCellMar>
      </w:tblPr>
      <w:tblGrid>
        <w:gridCol w:w="1068"/>
        <w:gridCol w:w="2076"/>
        <w:gridCol w:w="2075"/>
        <w:gridCol w:w="1067"/>
        <w:gridCol w:w="3587"/>
        <w:gridCol w:w="4315"/>
      </w:tblGrid>
      <w:tr>
        <w:tblPrEx>
          <w:tblCellMar>
            <w:top w:w="0" w:type="dxa"/>
            <w:left w:w="108" w:type="dxa"/>
            <w:bottom w:w="0" w:type="dxa"/>
            <w:right w:w="108" w:type="dxa"/>
          </w:tblCellMar>
        </w:tblPrEx>
        <w:trPr>
          <w:trHeight w:val="360" w:hRule="atLeast"/>
          <w:jc w:val="center"/>
        </w:trPr>
        <w:tc>
          <w:tcPr>
            <w:tcW w:w="14188"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jc w:val="center"/>
        </w:trPr>
        <w:tc>
          <w:tcPr>
            <w:tcW w:w="628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w:t>
            </w:r>
            <w:r>
              <w:rPr>
                <w:b/>
                <w:color w:val="000000"/>
                <w:sz w:val="22"/>
                <w:szCs w:val="22"/>
              </w:rPr>
              <w:t>[20200</w:t>
            </w:r>
            <w:r>
              <w:rPr>
                <w:rFonts w:hint="eastAsia" w:eastAsiaTheme="minorEastAsia"/>
                <w:b/>
                <w:color w:val="000000"/>
                <w:sz w:val="22"/>
                <w:szCs w:val="22"/>
                <w:lang w:eastAsia="zh-CN"/>
              </w:rPr>
              <w:t>3</w:t>
            </w:r>
            <w:r>
              <w:rPr>
                <w:b/>
                <w:color w:val="000000"/>
                <w:sz w:val="22"/>
                <w:szCs w:val="22"/>
              </w:rPr>
              <w:t>]</w:t>
            </w:r>
            <w:r>
              <w:rPr>
                <w:rFonts w:hint="eastAsia" w:ascii="宋体" w:hAnsi="宋体" w:eastAsia="宋体" w:cs="宋体"/>
                <w:b/>
                <w:color w:val="000000"/>
                <w:sz w:val="22"/>
                <w:szCs w:val="22"/>
              </w:rPr>
              <w:t>行政审批局事业</w:t>
            </w:r>
          </w:p>
        </w:tc>
        <w:tc>
          <w:tcPr>
            <w:tcW w:w="3587"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4315"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4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43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188"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注：本单位无国有资本经营预算，空表列式。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10"/>
        <w:tblW w:w="13620" w:type="dxa"/>
        <w:jc w:val="center"/>
        <w:tblLayout w:type="autofit"/>
        <w:tblCellMar>
          <w:top w:w="0" w:type="dxa"/>
          <w:left w:w="108" w:type="dxa"/>
          <w:bottom w:w="0" w:type="dxa"/>
          <w:right w:w="108" w:type="dxa"/>
        </w:tblCellMar>
      </w:tblPr>
      <w:tblGrid>
        <w:gridCol w:w="527"/>
        <w:gridCol w:w="4760"/>
        <w:gridCol w:w="527"/>
        <w:gridCol w:w="2519"/>
        <w:gridCol w:w="2270"/>
        <w:gridCol w:w="3017"/>
      </w:tblGrid>
      <w:tr>
        <w:tblPrEx>
          <w:tblCellMar>
            <w:top w:w="0" w:type="dxa"/>
            <w:left w:w="108" w:type="dxa"/>
            <w:bottom w:w="0" w:type="dxa"/>
            <w:right w:w="108" w:type="dxa"/>
          </w:tblCellMar>
        </w:tblPrEx>
        <w:trPr>
          <w:trHeight w:val="360" w:hRule="atLeast"/>
          <w:jc w:val="center"/>
        </w:trPr>
        <w:tc>
          <w:tcPr>
            <w:tcW w:w="13620" w:type="dxa"/>
            <w:gridSpan w:val="6"/>
            <w:tcBorders>
              <w:top w:val="nil"/>
              <w:left w:val="nil"/>
              <w:bottom w:val="nil"/>
              <w:right w:val="nil"/>
            </w:tcBorders>
            <w:shd w:val="clear" w:color="auto" w:fill="auto"/>
            <w:noWrap/>
            <w:vAlign w:val="center"/>
          </w:tcPr>
          <w:p>
            <w:pP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jc w:val="center"/>
        </w:trPr>
        <w:tc>
          <w:tcPr>
            <w:tcW w:w="8333"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w:t>
            </w:r>
            <w:r>
              <w:rPr>
                <w:b/>
                <w:color w:val="000000"/>
                <w:sz w:val="22"/>
                <w:szCs w:val="22"/>
              </w:rPr>
              <w:t>[20200</w:t>
            </w:r>
            <w:r>
              <w:rPr>
                <w:rFonts w:hint="eastAsia" w:eastAsiaTheme="minorEastAsia"/>
                <w:b/>
                <w:color w:val="000000"/>
                <w:sz w:val="22"/>
                <w:szCs w:val="22"/>
                <w:lang w:eastAsia="zh-CN"/>
              </w:rPr>
              <w:t>3</w:t>
            </w:r>
            <w:r>
              <w:rPr>
                <w:b/>
                <w:color w:val="000000"/>
                <w:sz w:val="22"/>
                <w:szCs w:val="22"/>
              </w:rPr>
              <w:t>]</w:t>
            </w:r>
            <w:r>
              <w:rPr>
                <w:rFonts w:hint="eastAsia" w:ascii="宋体" w:hAnsi="宋体" w:eastAsia="宋体" w:cs="宋体"/>
                <w:b/>
                <w:color w:val="000000"/>
                <w:sz w:val="22"/>
                <w:szCs w:val="22"/>
              </w:rPr>
              <w:t>行政审批局事业</w:t>
            </w:r>
          </w:p>
        </w:tc>
        <w:tc>
          <w:tcPr>
            <w:tcW w:w="2270"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预算年度：2022</w:t>
            </w:r>
          </w:p>
        </w:tc>
        <w:tc>
          <w:tcPr>
            <w:tcW w:w="301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7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30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5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0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476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52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“三公”经费小计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其中：教学科研人员因公出国（境）费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其他因公出国（境）费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二、公务用车购置及运维费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其中：公务用车购置费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公务用车运行维护费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三、公务接待费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四、会议费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五、培训费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ind w:firstLine="550" w:firstLineChars="250"/>
        <w:outlineLvl w:val="1"/>
        <w:rPr>
          <w:rFonts w:ascii="方正小标宋_GBK" w:hAnsi="方正小标宋_GBK" w:eastAsia="方正小标宋_GBK" w:cs="方正小标宋_GBK"/>
          <w:color w:val="000000"/>
          <w:sz w:val="36"/>
          <w:lang w:eastAsia="zh-CN"/>
        </w:rPr>
      </w:pPr>
      <w:r>
        <w:rPr>
          <w:rFonts w:hint="eastAsia" w:ascii="宋体" w:hAnsi="宋体" w:eastAsia="宋体" w:cs="宋体"/>
          <w:color w:val="000000"/>
          <w:sz w:val="22"/>
          <w:szCs w:val="22"/>
          <w:lang w:eastAsia="zh-CN"/>
        </w:rPr>
        <w:t>注：本单位无三公经费预算，空表列式。</w:t>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rPr>
          <w:rFonts w:eastAsiaTheme="minorEastAsia"/>
          <w:lang w:eastAsia="zh-CN"/>
        </w:rPr>
        <w:sectPr>
          <w:pgSz w:w="16840" w:h="11900" w:orient="landscape"/>
          <w:pgMar w:top="709" w:right="1020" w:bottom="1134" w:left="1020" w:header="720" w:footer="720" w:gutter="0"/>
          <w:cols w:space="720" w:num="1"/>
        </w:sectPr>
      </w:pPr>
    </w:p>
    <w:p>
      <w:pPr>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县行政审批事业</w:t>
      </w:r>
    </w:p>
    <w:p>
      <w:pPr>
        <w:jc w:val="center"/>
      </w:pPr>
      <w:r>
        <w:rPr>
          <w:rFonts w:ascii="方正小标宋_GBK" w:hAnsi="方正小标宋_GBK" w:eastAsia="方正小标宋_GBK" w:cs="方正小标宋_GBK"/>
          <w:color w:val="000000"/>
          <w:sz w:val="44"/>
        </w:rPr>
        <w:t>2022年单位预算信息公开情况说明</w:t>
      </w:r>
    </w:p>
    <w:p>
      <w:pPr>
        <w:spacing w:line="500" w:lineRule="exact"/>
        <w:ind w:firstLine="560"/>
        <w:rPr>
          <w:rFonts w:ascii="仿宋" w:hAnsi="仿宋" w:eastAsia="仿宋"/>
          <w:sz w:val="32"/>
          <w:szCs w:val="32"/>
        </w:rPr>
      </w:pPr>
      <w:r>
        <w:rPr>
          <w:rFonts w:ascii="仿宋" w:hAnsi="仿宋" w:eastAsia="仿宋"/>
          <w:color w:val="000000"/>
          <w:sz w:val="32"/>
          <w:szCs w:val="32"/>
        </w:rPr>
        <w:t>按照《</w:t>
      </w:r>
      <w:r>
        <w:rPr>
          <w:rFonts w:hint="eastAsia" w:ascii="仿宋" w:hAnsi="仿宋" w:eastAsia="仿宋"/>
          <w:color w:val="000000"/>
          <w:sz w:val="32"/>
          <w:szCs w:val="32"/>
          <w:lang w:val="en-US" w:eastAsia="zh-CN"/>
        </w:rPr>
        <w:t>中华人民共和国</w:t>
      </w:r>
      <w:bookmarkStart w:id="9" w:name="_GoBack"/>
      <w:bookmarkEnd w:id="9"/>
      <w:r>
        <w:rPr>
          <w:rFonts w:ascii="仿宋" w:hAnsi="仿宋" w:eastAsia="仿宋"/>
          <w:color w:val="000000"/>
          <w:sz w:val="32"/>
          <w:szCs w:val="32"/>
        </w:rPr>
        <w:t>预算法》、《地方预决算公开操作规程》和《关于进一步推进预算公开工作的实施意见》规定，现将涞水县行政审批局</w:t>
      </w:r>
      <w:r>
        <w:rPr>
          <w:rFonts w:hint="eastAsia" w:ascii="仿宋" w:hAnsi="仿宋" w:eastAsia="仿宋"/>
          <w:color w:val="000000"/>
          <w:sz w:val="32"/>
          <w:szCs w:val="32"/>
        </w:rPr>
        <w:t>（事业）</w:t>
      </w:r>
      <w:r>
        <w:rPr>
          <w:rFonts w:ascii="仿宋" w:hAnsi="仿宋" w:eastAsia="仿宋"/>
          <w:color w:val="000000"/>
          <w:sz w:val="32"/>
          <w:szCs w:val="32"/>
        </w:rPr>
        <w:t>2022年单位预算公开如下：</w:t>
      </w:r>
    </w:p>
    <w:p>
      <w:pPr>
        <w:pStyle w:val="39"/>
        <w:spacing w:line="500" w:lineRule="exact"/>
        <w:ind w:firstLineChars="0"/>
        <w:rPr>
          <w:rFonts w:ascii="黑体" w:hAnsi="黑体" w:eastAsia="黑体" w:cs="黑体"/>
          <w:sz w:val="32"/>
          <w:szCs w:val="32"/>
        </w:rPr>
      </w:pPr>
      <w:r>
        <w:rPr>
          <w:rFonts w:hint="eastAsia" w:ascii="黑体" w:hAnsi="黑体" w:eastAsia="黑体" w:cs="黑体"/>
          <w:sz w:val="32"/>
          <w:szCs w:val="32"/>
        </w:rPr>
        <w:t>一、单位职责及机构设置情况</w:t>
      </w:r>
    </w:p>
    <w:p>
      <w:pPr>
        <w:spacing w:line="500" w:lineRule="exact"/>
        <w:ind w:left="602"/>
        <w:rPr>
          <w:rFonts w:ascii="黑体" w:hAnsi="黑体" w:eastAsia="黑体" w:cs="仿宋_GB2312"/>
          <w:bCs/>
          <w:sz w:val="32"/>
          <w:szCs w:val="32"/>
        </w:rPr>
      </w:pPr>
      <w:r>
        <w:rPr>
          <w:rFonts w:hint="eastAsia" w:ascii="黑体" w:hAnsi="黑体" w:eastAsia="黑体"/>
          <w:bCs/>
          <w:sz w:val="32"/>
          <w:szCs w:val="32"/>
        </w:rPr>
        <w:t>单位职责：</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1</w:t>
      </w:r>
      <w:r>
        <w:rPr>
          <w:rFonts w:hint="eastAsia" w:ascii="仿宋" w:hAnsi="仿宋" w:eastAsia="仿宋" w:cs="仿宋"/>
          <w:color w:val="333333"/>
          <w:spacing w:val="10"/>
          <w:sz w:val="32"/>
          <w:szCs w:val="32"/>
          <w:shd w:val="clear" w:color="auto" w:fill="FFFFFF"/>
        </w:rPr>
        <w:t>、贯彻实施公共资源交易相关法律、法规、政策、制度</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为公共资源交易活动提供场所、设施和服务；</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2</w:t>
      </w:r>
      <w:r>
        <w:rPr>
          <w:rFonts w:hint="eastAsia" w:ascii="仿宋" w:hAnsi="仿宋" w:eastAsia="仿宋" w:cs="仿宋"/>
          <w:color w:val="333333"/>
          <w:spacing w:val="10"/>
          <w:sz w:val="32"/>
          <w:szCs w:val="32"/>
          <w:shd w:val="clear" w:color="auto" w:fill="FFFFFF"/>
        </w:rPr>
        <w:t>、受理公共资源交易项目进场登记</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协调安排开评标时间、活动场所</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并发放公共资源交易项目进场通知书；</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3</w:t>
      </w:r>
      <w:r>
        <w:rPr>
          <w:rFonts w:hint="eastAsia" w:ascii="仿宋" w:hAnsi="仿宋" w:eastAsia="仿宋" w:cs="仿宋"/>
          <w:color w:val="333333"/>
          <w:spacing w:val="10"/>
          <w:sz w:val="32"/>
          <w:szCs w:val="32"/>
          <w:shd w:val="clear" w:color="auto" w:fill="FFFFFF"/>
        </w:rPr>
        <w:t>、依法发布公共资源交易活动信息</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为交易各方提供信息咨询服务；</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4</w:t>
      </w:r>
      <w:r>
        <w:rPr>
          <w:rFonts w:hint="eastAsia" w:ascii="仿宋" w:hAnsi="仿宋" w:eastAsia="仿宋" w:cs="仿宋"/>
          <w:color w:val="333333"/>
          <w:spacing w:val="10"/>
          <w:sz w:val="32"/>
          <w:szCs w:val="32"/>
          <w:shd w:val="clear" w:color="auto" w:fill="FFFFFF"/>
        </w:rPr>
        <w:t>、登记复核经常从事交易活动当事人的进场资格；</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5</w:t>
      </w:r>
      <w:r>
        <w:rPr>
          <w:rFonts w:hint="eastAsia" w:ascii="仿宋" w:hAnsi="仿宋" w:eastAsia="仿宋" w:cs="仿宋"/>
          <w:color w:val="333333"/>
          <w:spacing w:val="10"/>
          <w:sz w:val="32"/>
          <w:szCs w:val="32"/>
          <w:shd w:val="clear" w:color="auto" w:fill="FFFFFF"/>
        </w:rPr>
        <w:t>、对不符合进场交易规定的有关问题提出质疑；</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6</w:t>
      </w:r>
      <w:r>
        <w:rPr>
          <w:rFonts w:hint="eastAsia" w:ascii="仿宋" w:hAnsi="仿宋" w:eastAsia="仿宋" w:cs="仿宋"/>
          <w:color w:val="333333"/>
          <w:spacing w:val="10"/>
          <w:sz w:val="32"/>
          <w:szCs w:val="32"/>
          <w:shd w:val="clear" w:color="auto" w:fill="FFFFFF"/>
        </w:rPr>
        <w:t>、收集和发布相关政策法规信息</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建立公共资源交易从业者场内从业信誉档案和交易活动当事人信息库</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协助有关部门推进公共源交易信用评价体系建设。发现有不良行为的</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及时通报相关行政监督部门；</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7</w:t>
      </w:r>
      <w:r>
        <w:rPr>
          <w:rFonts w:hint="eastAsia" w:ascii="仿宋" w:hAnsi="仿宋" w:eastAsia="仿宋" w:cs="仿宋"/>
          <w:color w:val="333333"/>
          <w:spacing w:val="10"/>
          <w:sz w:val="32"/>
          <w:szCs w:val="32"/>
          <w:shd w:val="clear" w:color="auto" w:fill="FFFFFF"/>
        </w:rPr>
        <w:t>、设立与维护涉及公共资源交易的专家抽取终端；</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8</w:t>
      </w:r>
      <w:r>
        <w:rPr>
          <w:rFonts w:hint="eastAsia" w:ascii="仿宋" w:hAnsi="仿宋" w:eastAsia="仿宋" w:cs="仿宋"/>
          <w:color w:val="333333"/>
          <w:spacing w:val="10"/>
          <w:sz w:val="32"/>
          <w:szCs w:val="32"/>
          <w:shd w:val="clear" w:color="auto" w:fill="FFFFFF"/>
        </w:rPr>
        <w:t>、负责规范进场交易活动程序</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维护公共资源交易场所公共秩序；</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9</w:t>
      </w:r>
      <w:r>
        <w:rPr>
          <w:rFonts w:hint="eastAsia" w:ascii="仿宋" w:hAnsi="仿宋" w:eastAsia="仿宋" w:cs="仿宋"/>
          <w:color w:val="333333"/>
          <w:spacing w:val="10"/>
          <w:sz w:val="32"/>
          <w:szCs w:val="32"/>
          <w:shd w:val="clear" w:color="auto" w:fill="FFFFFF"/>
        </w:rPr>
        <w:t>、按照规定收取有关费用、代收代退公共资源交易活动应当缴存的保证金</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资信金</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10</w:t>
      </w:r>
      <w:r>
        <w:rPr>
          <w:rFonts w:hint="eastAsia" w:ascii="仿宋" w:hAnsi="仿宋" w:eastAsia="仿宋" w:cs="仿宋"/>
          <w:color w:val="333333"/>
          <w:spacing w:val="10"/>
          <w:sz w:val="32"/>
          <w:szCs w:val="32"/>
          <w:shd w:val="clear" w:color="auto" w:fill="FFFFFF"/>
        </w:rPr>
        <w:t>、开展进场交易活动情况的统计、分析及相关资料（含录音录像资料）的存档调阅工作；</w:t>
      </w:r>
    </w:p>
    <w:p>
      <w:pPr>
        <w:spacing w:line="500" w:lineRule="exact"/>
        <w:ind w:firstLine="680" w:firstLineChars="200"/>
        <w:rPr>
          <w:rFonts w:ascii="仿宋" w:hAnsi="仿宋" w:eastAsia="仿宋"/>
          <w:color w:val="333333"/>
          <w:spacing w:val="10"/>
          <w:sz w:val="32"/>
          <w:szCs w:val="32"/>
          <w:shd w:val="clear" w:color="auto" w:fill="FFFFFF"/>
        </w:rPr>
      </w:pPr>
      <w:r>
        <w:rPr>
          <w:rFonts w:ascii="仿宋" w:hAnsi="仿宋" w:eastAsia="仿宋" w:cs="仿宋"/>
          <w:color w:val="333333"/>
          <w:spacing w:val="10"/>
          <w:sz w:val="32"/>
          <w:szCs w:val="32"/>
          <w:shd w:val="clear" w:color="auto" w:fill="FFFFFF"/>
        </w:rPr>
        <w:t>11</w:t>
      </w:r>
      <w:r>
        <w:rPr>
          <w:rFonts w:hint="eastAsia" w:ascii="仿宋" w:hAnsi="仿宋" w:eastAsia="仿宋" w:cs="仿宋"/>
          <w:color w:val="333333"/>
          <w:spacing w:val="10"/>
          <w:sz w:val="32"/>
          <w:szCs w:val="32"/>
          <w:shd w:val="clear" w:color="auto" w:fill="FFFFFF"/>
        </w:rPr>
        <w:t>、负责提供交易全过程、全方位的实时电子监控服务</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见证交易活动；</w:t>
      </w:r>
    </w:p>
    <w:p>
      <w:pPr>
        <w:spacing w:line="500" w:lineRule="exact"/>
        <w:ind w:firstLine="680" w:firstLineChars="200"/>
        <w:rPr>
          <w:rFonts w:ascii="仿宋" w:hAnsi="仿宋" w:eastAsia="仿宋" w:cs="仿宋"/>
          <w:color w:val="333333"/>
          <w:spacing w:val="10"/>
          <w:sz w:val="32"/>
          <w:szCs w:val="32"/>
          <w:shd w:val="clear" w:color="auto" w:fill="FFFFFF"/>
          <w:lang w:eastAsia="zh-CN"/>
        </w:rPr>
      </w:pPr>
      <w:r>
        <w:rPr>
          <w:rFonts w:ascii="仿宋" w:hAnsi="仿宋" w:eastAsia="仿宋" w:cs="仿宋"/>
          <w:color w:val="333333"/>
          <w:spacing w:val="10"/>
          <w:sz w:val="32"/>
          <w:szCs w:val="32"/>
          <w:shd w:val="clear" w:color="auto" w:fill="FFFFFF"/>
        </w:rPr>
        <w:t>12</w:t>
      </w:r>
      <w:r>
        <w:rPr>
          <w:rFonts w:hint="eastAsia" w:ascii="仿宋" w:hAnsi="仿宋" w:eastAsia="仿宋" w:cs="仿宋"/>
          <w:color w:val="333333"/>
          <w:spacing w:val="10"/>
          <w:sz w:val="32"/>
          <w:szCs w:val="32"/>
          <w:shd w:val="clear" w:color="auto" w:fill="FFFFFF"/>
        </w:rPr>
        <w:t>、对交易场所内发现的违法违纪问题</w:t>
      </w:r>
      <w:r>
        <w:rPr>
          <w:rFonts w:ascii="仿宋" w:hAnsi="仿宋" w:eastAsia="仿宋" w:cs="仿宋"/>
          <w:color w:val="333333"/>
          <w:spacing w:val="10"/>
          <w:sz w:val="32"/>
          <w:szCs w:val="32"/>
          <w:shd w:val="clear" w:color="auto" w:fill="FFFFFF"/>
        </w:rPr>
        <w:t>,</w:t>
      </w:r>
      <w:r>
        <w:rPr>
          <w:rFonts w:hint="eastAsia" w:ascii="仿宋" w:hAnsi="仿宋" w:eastAsia="仿宋" w:cs="仿宋"/>
          <w:color w:val="333333"/>
          <w:spacing w:val="10"/>
          <w:sz w:val="32"/>
          <w:szCs w:val="32"/>
          <w:shd w:val="clear" w:color="auto" w:fill="FFFFFF"/>
        </w:rPr>
        <w:t>及时向有关行政监督部门和行政监察机关报告。</w:t>
      </w:r>
    </w:p>
    <w:tbl>
      <w:tblPr>
        <w:tblStyle w:val="10"/>
        <w:tblpPr w:leftFromText="180" w:rightFromText="180" w:vertAnchor="text" w:horzAnchor="page" w:tblpXSpec="center" w:tblpY="269"/>
        <w:tblOverlap w:val="never"/>
        <w:tblW w:w="9304" w:type="dxa"/>
        <w:tblInd w:w="0" w:type="dxa"/>
        <w:tblLayout w:type="fixed"/>
        <w:tblCellMar>
          <w:top w:w="0" w:type="dxa"/>
          <w:left w:w="108" w:type="dxa"/>
          <w:bottom w:w="0" w:type="dxa"/>
          <w:right w:w="108" w:type="dxa"/>
        </w:tblCellMar>
      </w:tblPr>
      <w:tblGrid>
        <w:gridCol w:w="1026"/>
        <w:gridCol w:w="2910"/>
        <w:gridCol w:w="1306"/>
        <w:gridCol w:w="1805"/>
        <w:gridCol w:w="2257"/>
      </w:tblGrid>
      <w:tr>
        <w:tblPrEx>
          <w:tblCellMar>
            <w:top w:w="0" w:type="dxa"/>
            <w:left w:w="108" w:type="dxa"/>
            <w:bottom w:w="0" w:type="dxa"/>
            <w:right w:w="108" w:type="dxa"/>
          </w:tblCellMar>
        </w:tblPrEx>
        <w:trPr>
          <w:trHeight w:val="438" w:hRule="atLeast"/>
        </w:trPr>
        <w:tc>
          <w:tcPr>
            <w:tcW w:w="9304" w:type="dxa"/>
            <w:gridSpan w:val="5"/>
            <w:tcBorders>
              <w:top w:val="nil"/>
              <w:left w:val="nil"/>
              <w:bottom w:val="single" w:color="auto" w:sz="4" w:space="0"/>
              <w:right w:val="nil"/>
            </w:tcBorders>
            <w:vAlign w:val="center"/>
          </w:tcPr>
          <w:p>
            <w:pPr>
              <w:spacing w:line="500" w:lineRule="exact"/>
              <w:ind w:firstLine="482" w:firstLineChars="150"/>
              <w:jc w:val="center"/>
              <w:rPr>
                <w:rFonts w:ascii="仿宋" w:hAnsi="仿宋" w:eastAsia="仿宋" w:cs="仿宋_GB2312"/>
                <w:b/>
                <w:sz w:val="32"/>
                <w:szCs w:val="32"/>
              </w:rPr>
            </w:pPr>
            <w:r>
              <w:rPr>
                <w:rFonts w:hint="eastAsia" w:ascii="仿宋" w:hAnsi="仿宋" w:eastAsia="仿宋" w:cs="仿宋_GB2312"/>
                <w:b/>
                <w:sz w:val="32"/>
                <w:szCs w:val="32"/>
              </w:rPr>
              <w:t>单位机构设置情况</w:t>
            </w:r>
          </w:p>
        </w:tc>
      </w:tr>
      <w:tr>
        <w:tblPrEx>
          <w:tblCellMar>
            <w:top w:w="0" w:type="dxa"/>
            <w:left w:w="108" w:type="dxa"/>
            <w:bottom w:w="0" w:type="dxa"/>
            <w:right w:w="108" w:type="dxa"/>
          </w:tblCellMar>
        </w:tblPrEx>
        <w:trPr>
          <w:trHeight w:val="547" w:hRule="atLeast"/>
        </w:trPr>
        <w:tc>
          <w:tcPr>
            <w:tcW w:w="1026" w:type="dxa"/>
            <w:vMerge w:val="restart"/>
            <w:tcBorders>
              <w:top w:val="nil"/>
              <w:left w:val="single" w:color="auto" w:sz="4" w:space="0"/>
              <w:bottom w:val="single" w:color="000000" w:sz="4" w:space="0"/>
              <w:right w:val="single" w:color="auto" w:sz="4" w:space="0"/>
            </w:tcBorders>
            <w:vAlign w:val="center"/>
          </w:tcPr>
          <w:p>
            <w:pPr>
              <w:spacing w:line="500" w:lineRule="exact"/>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序号</w:t>
            </w:r>
          </w:p>
        </w:tc>
        <w:tc>
          <w:tcPr>
            <w:tcW w:w="2910" w:type="dxa"/>
            <w:vMerge w:val="restart"/>
            <w:tcBorders>
              <w:top w:val="nil"/>
              <w:left w:val="single" w:color="auto" w:sz="4" w:space="0"/>
              <w:bottom w:val="single" w:color="000000" w:sz="4" w:space="0"/>
              <w:right w:val="single" w:color="auto" w:sz="4" w:space="0"/>
            </w:tcBorders>
            <w:vAlign w:val="center"/>
          </w:tcPr>
          <w:p>
            <w:pPr>
              <w:spacing w:line="500" w:lineRule="exact"/>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单位名称</w:t>
            </w:r>
          </w:p>
        </w:tc>
        <w:tc>
          <w:tcPr>
            <w:tcW w:w="1306" w:type="dxa"/>
            <w:vMerge w:val="restart"/>
            <w:tcBorders>
              <w:top w:val="nil"/>
              <w:left w:val="single" w:color="auto" w:sz="4" w:space="0"/>
              <w:bottom w:val="single" w:color="000000" w:sz="4" w:space="0"/>
              <w:right w:val="single" w:color="auto" w:sz="4" w:space="0"/>
            </w:tcBorders>
            <w:vAlign w:val="center"/>
          </w:tcPr>
          <w:p>
            <w:pPr>
              <w:spacing w:line="500" w:lineRule="exact"/>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单位性质</w:t>
            </w:r>
          </w:p>
        </w:tc>
        <w:tc>
          <w:tcPr>
            <w:tcW w:w="1805" w:type="dxa"/>
            <w:vMerge w:val="restart"/>
            <w:tcBorders>
              <w:top w:val="nil"/>
              <w:left w:val="single" w:color="auto" w:sz="4" w:space="0"/>
              <w:bottom w:val="single" w:color="000000" w:sz="4" w:space="0"/>
              <w:right w:val="single" w:color="auto" w:sz="4" w:space="0"/>
            </w:tcBorders>
            <w:vAlign w:val="center"/>
          </w:tcPr>
          <w:p>
            <w:pPr>
              <w:spacing w:line="500" w:lineRule="exact"/>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单位规格</w:t>
            </w:r>
          </w:p>
        </w:tc>
        <w:tc>
          <w:tcPr>
            <w:tcW w:w="2257" w:type="dxa"/>
            <w:vMerge w:val="restart"/>
            <w:tcBorders>
              <w:top w:val="nil"/>
              <w:left w:val="single" w:color="auto" w:sz="4" w:space="0"/>
              <w:bottom w:val="single" w:color="000000" w:sz="4" w:space="0"/>
              <w:right w:val="single" w:color="auto" w:sz="4" w:space="0"/>
            </w:tcBorders>
            <w:vAlign w:val="center"/>
          </w:tcPr>
          <w:p>
            <w:pPr>
              <w:spacing w:line="500" w:lineRule="exact"/>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经费保障形式</w:t>
            </w:r>
          </w:p>
        </w:tc>
      </w:tr>
      <w:tr>
        <w:tblPrEx>
          <w:tblCellMar>
            <w:top w:w="0" w:type="dxa"/>
            <w:left w:w="108" w:type="dxa"/>
            <w:bottom w:w="0" w:type="dxa"/>
            <w:right w:w="108" w:type="dxa"/>
          </w:tblCellMar>
        </w:tblPrEx>
        <w:trPr>
          <w:trHeight w:val="604" w:hRule="atLeast"/>
        </w:trPr>
        <w:tc>
          <w:tcPr>
            <w:tcW w:w="1026" w:type="dxa"/>
            <w:vMerge w:val="continue"/>
            <w:tcBorders>
              <w:top w:val="nil"/>
              <w:left w:val="single" w:color="auto" w:sz="4" w:space="0"/>
              <w:bottom w:val="single" w:color="000000" w:sz="4" w:space="0"/>
              <w:right w:val="single" w:color="auto" w:sz="4" w:space="0"/>
            </w:tcBorders>
            <w:vAlign w:val="center"/>
          </w:tcPr>
          <w:p>
            <w:pPr>
              <w:spacing w:line="500" w:lineRule="exact"/>
              <w:ind w:firstLine="360" w:firstLineChars="150"/>
              <w:rPr>
                <w:rFonts w:cs="仿宋_GB2312" w:asciiTheme="majorEastAsia" w:hAnsiTheme="majorEastAsia" w:eastAsiaTheme="majorEastAsia"/>
                <w:szCs w:val="21"/>
              </w:rPr>
            </w:pPr>
          </w:p>
        </w:tc>
        <w:tc>
          <w:tcPr>
            <w:tcW w:w="2910" w:type="dxa"/>
            <w:vMerge w:val="continue"/>
            <w:tcBorders>
              <w:top w:val="nil"/>
              <w:left w:val="single" w:color="auto" w:sz="4" w:space="0"/>
              <w:bottom w:val="single" w:color="000000" w:sz="4" w:space="0"/>
              <w:right w:val="single" w:color="auto" w:sz="4" w:space="0"/>
            </w:tcBorders>
            <w:vAlign w:val="center"/>
          </w:tcPr>
          <w:p>
            <w:pPr>
              <w:spacing w:line="500" w:lineRule="exact"/>
              <w:ind w:firstLine="360" w:firstLineChars="150"/>
              <w:rPr>
                <w:rFonts w:cs="仿宋_GB2312" w:asciiTheme="majorEastAsia" w:hAnsiTheme="majorEastAsia" w:eastAsiaTheme="majorEastAsia"/>
                <w:szCs w:val="21"/>
              </w:rPr>
            </w:pPr>
          </w:p>
        </w:tc>
        <w:tc>
          <w:tcPr>
            <w:tcW w:w="1306" w:type="dxa"/>
            <w:vMerge w:val="continue"/>
            <w:tcBorders>
              <w:top w:val="nil"/>
              <w:left w:val="single" w:color="auto" w:sz="4" w:space="0"/>
              <w:bottom w:val="single" w:color="000000" w:sz="4" w:space="0"/>
              <w:right w:val="single" w:color="auto" w:sz="4" w:space="0"/>
            </w:tcBorders>
            <w:vAlign w:val="center"/>
          </w:tcPr>
          <w:p>
            <w:pPr>
              <w:spacing w:line="500" w:lineRule="exact"/>
              <w:ind w:firstLine="360" w:firstLineChars="150"/>
              <w:rPr>
                <w:rFonts w:cs="仿宋_GB2312" w:asciiTheme="majorEastAsia" w:hAnsiTheme="majorEastAsia" w:eastAsiaTheme="majorEastAsia"/>
                <w:szCs w:val="21"/>
              </w:rPr>
            </w:pPr>
          </w:p>
        </w:tc>
        <w:tc>
          <w:tcPr>
            <w:tcW w:w="1805" w:type="dxa"/>
            <w:vMerge w:val="continue"/>
            <w:tcBorders>
              <w:top w:val="nil"/>
              <w:left w:val="single" w:color="auto" w:sz="4" w:space="0"/>
              <w:bottom w:val="single" w:color="000000" w:sz="4" w:space="0"/>
              <w:right w:val="single" w:color="auto" w:sz="4" w:space="0"/>
            </w:tcBorders>
            <w:vAlign w:val="center"/>
          </w:tcPr>
          <w:p>
            <w:pPr>
              <w:spacing w:line="500" w:lineRule="exact"/>
              <w:ind w:firstLine="360" w:firstLineChars="150"/>
              <w:rPr>
                <w:rFonts w:cs="仿宋_GB2312" w:asciiTheme="majorEastAsia" w:hAnsiTheme="majorEastAsia" w:eastAsiaTheme="majorEastAsia"/>
                <w:szCs w:val="21"/>
              </w:rPr>
            </w:pPr>
          </w:p>
        </w:tc>
        <w:tc>
          <w:tcPr>
            <w:tcW w:w="2257" w:type="dxa"/>
            <w:vMerge w:val="continue"/>
            <w:tcBorders>
              <w:top w:val="nil"/>
              <w:left w:val="single" w:color="auto" w:sz="4" w:space="0"/>
              <w:bottom w:val="single" w:color="000000" w:sz="4" w:space="0"/>
              <w:right w:val="single" w:color="auto" w:sz="4" w:space="0"/>
            </w:tcBorders>
            <w:vAlign w:val="center"/>
          </w:tcPr>
          <w:p>
            <w:pPr>
              <w:spacing w:line="500" w:lineRule="exact"/>
              <w:ind w:firstLine="360" w:firstLineChars="150"/>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8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9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cs="仿宋_GB2312" w:asciiTheme="majorEastAsia" w:hAnsiTheme="majorEastAsia" w:eastAsiaTheme="majorEastAsia"/>
                <w:szCs w:val="21"/>
                <w:lang w:eastAsia="zh-CN"/>
              </w:rPr>
            </w:pPr>
            <w:r>
              <w:rPr>
                <w:rFonts w:hint="eastAsia" w:cs="仿宋_GB2312" w:asciiTheme="majorEastAsia" w:hAnsiTheme="majorEastAsia" w:eastAsiaTheme="majorEastAsia"/>
                <w:szCs w:val="21"/>
              </w:rPr>
              <w:t>涞水县行政服务中心</w:t>
            </w:r>
          </w:p>
          <w:p>
            <w:pPr>
              <w:spacing w:line="500" w:lineRule="exact"/>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（公共资源交易中心）</w:t>
            </w:r>
          </w:p>
        </w:tc>
        <w:tc>
          <w:tcPr>
            <w:tcW w:w="1306"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360" w:firstLineChars="150"/>
              <w:rPr>
                <w:rFonts w:cs="仿宋_GB2312" w:asciiTheme="majorEastAsia" w:hAnsiTheme="majorEastAsia" w:eastAsiaTheme="majorEastAsia"/>
                <w:szCs w:val="21"/>
              </w:rPr>
            </w:pPr>
            <w:r>
              <w:rPr>
                <w:rFonts w:cs="仿宋_GB2312" w:asciiTheme="majorEastAsia" w:hAnsiTheme="majorEastAsia" w:eastAsiaTheme="majorEastAsia"/>
                <w:szCs w:val="21"/>
              </w:rPr>
              <w:t>事业</w:t>
            </w:r>
          </w:p>
        </w:tc>
        <w:tc>
          <w:tcPr>
            <w:tcW w:w="1805"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360" w:firstLineChars="150"/>
              <w:rPr>
                <w:rFonts w:cs="仿宋_GB2312" w:asciiTheme="majorEastAsia" w:hAnsiTheme="majorEastAsia" w:eastAsiaTheme="majorEastAsia"/>
                <w:szCs w:val="21"/>
              </w:rPr>
            </w:pPr>
            <w:r>
              <w:rPr>
                <w:rFonts w:cs="仿宋_GB2312" w:asciiTheme="majorEastAsia" w:hAnsiTheme="majorEastAsia" w:eastAsiaTheme="majorEastAsia"/>
                <w:szCs w:val="21"/>
              </w:rPr>
              <w:t>股级</w:t>
            </w:r>
          </w:p>
        </w:tc>
        <w:tc>
          <w:tcPr>
            <w:tcW w:w="22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财政拨款</w:t>
            </w:r>
          </w:p>
        </w:tc>
      </w:tr>
    </w:tbl>
    <w:p>
      <w:pPr>
        <w:spacing w:line="500" w:lineRule="exact"/>
        <w:ind w:firstLine="680" w:firstLineChars="200"/>
        <w:rPr>
          <w:rFonts w:ascii="仿宋" w:hAnsi="仿宋" w:eastAsia="仿宋"/>
          <w:color w:val="333333"/>
          <w:spacing w:val="10"/>
          <w:sz w:val="32"/>
          <w:szCs w:val="32"/>
          <w:shd w:val="clear" w:color="auto" w:fill="FFFFFF"/>
          <w:lang w:eastAsia="zh-CN"/>
        </w:rPr>
      </w:pPr>
    </w:p>
    <w:p>
      <w:pPr>
        <w:spacing w:line="500" w:lineRule="exact"/>
        <w:ind w:firstLine="640" w:firstLineChars="200"/>
        <w:rPr>
          <w:rFonts w:ascii="黑体" w:hAnsi="黑体" w:eastAsia="黑体" w:cs="黑体"/>
          <w:sz w:val="32"/>
          <w:szCs w:val="32"/>
          <w:lang w:eastAsia="zh-CN"/>
        </w:rPr>
      </w:pPr>
    </w:p>
    <w:p>
      <w:pPr>
        <w:spacing w:line="500" w:lineRule="exact"/>
        <w:ind w:firstLine="640" w:firstLineChars="200"/>
        <w:rPr>
          <w:rFonts w:ascii="黑体" w:hAnsi="黑体" w:eastAsia="黑体" w:cs="黑体"/>
          <w:sz w:val="32"/>
          <w:szCs w:val="32"/>
          <w:lang w:eastAsia="zh-CN"/>
        </w:rPr>
      </w:pPr>
    </w:p>
    <w:p>
      <w:pPr>
        <w:spacing w:line="500" w:lineRule="exact"/>
        <w:ind w:firstLine="640" w:firstLineChars="200"/>
        <w:rPr>
          <w:rFonts w:ascii="黑体" w:hAnsi="黑体" w:eastAsia="黑体" w:cs="黑体"/>
          <w:sz w:val="32"/>
          <w:szCs w:val="32"/>
          <w:lang w:eastAsia="zh-CN"/>
        </w:rPr>
      </w:pPr>
    </w:p>
    <w:p>
      <w:pPr>
        <w:spacing w:line="500" w:lineRule="exact"/>
        <w:ind w:firstLine="640" w:firstLineChars="200"/>
        <w:rPr>
          <w:rFonts w:ascii="黑体" w:hAnsi="黑体" w:eastAsia="黑体" w:cs="黑体"/>
          <w:sz w:val="32"/>
          <w:szCs w:val="32"/>
          <w:lang w:eastAsia="zh-CN"/>
        </w:rPr>
      </w:pPr>
    </w:p>
    <w:p>
      <w:pPr>
        <w:spacing w:line="500" w:lineRule="exact"/>
        <w:ind w:firstLine="640" w:firstLineChars="200"/>
        <w:rPr>
          <w:rFonts w:ascii="黑体" w:hAnsi="黑体" w:eastAsia="黑体" w:cs="黑体"/>
          <w:sz w:val="32"/>
          <w:szCs w:val="32"/>
          <w:lang w:eastAsia="zh-CN"/>
        </w:rPr>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二、单位预算安排的总体情况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反映</w:t>
      </w:r>
      <w:r>
        <w:rPr>
          <w:rFonts w:hint="eastAsia" w:ascii="仿宋" w:hAnsi="仿宋" w:eastAsia="仿宋" w:cs="仿宋"/>
          <w:sz w:val="32"/>
          <w:szCs w:val="32"/>
        </w:rPr>
        <w:t>本单位当年全部收入，2022年预算收入总额</w:t>
      </w:r>
      <w:r>
        <w:rPr>
          <w:rFonts w:hint="eastAsia" w:ascii="仿宋" w:hAnsi="仿宋" w:eastAsia="仿宋" w:cs="仿宋"/>
          <w:sz w:val="32"/>
          <w:szCs w:val="32"/>
          <w:lang w:eastAsia="zh-CN"/>
        </w:rPr>
        <w:t>172.95</w:t>
      </w:r>
      <w:r>
        <w:rPr>
          <w:rFonts w:hint="eastAsia" w:ascii="仿宋" w:hAnsi="仿宋" w:eastAsia="仿宋" w:cs="仿宋"/>
          <w:sz w:val="32"/>
          <w:szCs w:val="32"/>
        </w:rPr>
        <w:t>万元，均为一般公共预算拨款，其中财政拨款收入</w:t>
      </w:r>
      <w:r>
        <w:rPr>
          <w:rFonts w:hint="eastAsia" w:ascii="仿宋" w:hAnsi="仿宋" w:eastAsia="仿宋" w:cs="仿宋"/>
          <w:sz w:val="32"/>
          <w:szCs w:val="32"/>
          <w:lang w:eastAsia="zh-CN"/>
        </w:rPr>
        <w:t>172.95</w:t>
      </w:r>
      <w:r>
        <w:rPr>
          <w:rFonts w:hint="eastAsia" w:ascii="仿宋" w:hAnsi="仿宋" w:eastAsia="仿宋" w:cs="仿宋"/>
          <w:sz w:val="32"/>
          <w:szCs w:val="32"/>
        </w:rPr>
        <w:t>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2021年预算支出总额</w:t>
      </w:r>
      <w:r>
        <w:rPr>
          <w:rFonts w:hint="eastAsia" w:ascii="仿宋" w:hAnsi="仿宋" w:eastAsia="仿宋" w:cs="仿宋"/>
          <w:sz w:val="32"/>
          <w:szCs w:val="32"/>
          <w:lang w:eastAsia="zh-CN"/>
        </w:rPr>
        <w:t>172.95</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172.95</w:t>
      </w:r>
      <w:r>
        <w:rPr>
          <w:rFonts w:hint="eastAsia" w:ascii="仿宋" w:hAnsi="仿宋" w:eastAsia="仿宋" w:cs="仿宋"/>
          <w:sz w:val="32"/>
          <w:szCs w:val="32"/>
        </w:rPr>
        <w:t>万元，包含人员经费支出</w:t>
      </w:r>
      <w:r>
        <w:rPr>
          <w:rFonts w:hint="eastAsia" w:ascii="仿宋" w:hAnsi="仿宋" w:eastAsia="仿宋" w:cs="仿宋"/>
          <w:sz w:val="32"/>
          <w:szCs w:val="32"/>
          <w:lang w:eastAsia="zh-CN"/>
        </w:rPr>
        <w:t>163.42</w:t>
      </w:r>
      <w:r>
        <w:rPr>
          <w:rFonts w:hint="eastAsia" w:ascii="仿宋" w:hAnsi="仿宋" w:eastAsia="仿宋" w:cs="仿宋"/>
          <w:sz w:val="32"/>
          <w:szCs w:val="32"/>
        </w:rPr>
        <w:t>万元、日常公用经费支出</w:t>
      </w:r>
      <w:r>
        <w:rPr>
          <w:rFonts w:hint="eastAsia" w:ascii="仿宋" w:hAnsi="仿宋" w:eastAsia="仿宋" w:cs="仿宋"/>
          <w:sz w:val="32"/>
          <w:szCs w:val="32"/>
          <w:lang w:eastAsia="zh-CN"/>
        </w:rPr>
        <w:t>9.53</w:t>
      </w:r>
      <w:r>
        <w:rPr>
          <w:rFonts w:hint="eastAsia" w:ascii="仿宋" w:hAnsi="仿宋" w:eastAsia="仿宋" w:cs="仿宋"/>
          <w:sz w:val="32"/>
          <w:szCs w:val="32"/>
        </w:rPr>
        <w:t>万元，项目支出</w:t>
      </w:r>
      <w:r>
        <w:rPr>
          <w:rFonts w:hint="eastAsia" w:ascii="仿宋" w:hAnsi="仿宋" w:eastAsia="仿宋" w:cs="仿宋"/>
          <w:sz w:val="32"/>
          <w:szCs w:val="32"/>
          <w:lang w:eastAsia="zh-CN"/>
        </w:rPr>
        <w:t>0</w:t>
      </w:r>
      <w:r>
        <w:rPr>
          <w:rFonts w:hint="eastAsia" w:ascii="仿宋" w:hAnsi="仿宋" w:eastAsia="仿宋" w:cs="仿宋"/>
          <w:sz w:val="32"/>
          <w:szCs w:val="32"/>
        </w:rPr>
        <w:t>万元，上缴上级支出0万元，经营支出0万元，对附属单位补助支出0万元。</w:t>
      </w:r>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3、比上年增减情况</w:t>
      </w:r>
    </w:p>
    <w:p>
      <w:pPr>
        <w:snapToGrid w:val="0"/>
        <w:spacing w:line="560" w:lineRule="exact"/>
        <w:ind w:firstLine="640" w:firstLineChars="200"/>
        <w:rPr>
          <w:rFonts w:ascii="仿宋" w:hAnsi="仿宋" w:eastAsia="仿宋"/>
          <w:sz w:val="32"/>
          <w:szCs w:val="32"/>
          <w:lang w:eastAsia="zh-CN"/>
        </w:rPr>
      </w:pPr>
      <w:r>
        <w:rPr>
          <w:rFonts w:hint="eastAsia" w:ascii="仿宋" w:hAnsi="仿宋" w:eastAsia="仿宋" w:cs="仿宋"/>
          <w:sz w:val="32"/>
          <w:szCs w:val="32"/>
        </w:rPr>
        <w:t>本年度预算收支安排</w:t>
      </w:r>
      <w:r>
        <w:rPr>
          <w:rFonts w:hint="eastAsia" w:ascii="仿宋" w:hAnsi="仿宋" w:eastAsia="仿宋" w:cs="仿宋"/>
          <w:sz w:val="32"/>
          <w:szCs w:val="32"/>
          <w:lang w:eastAsia="zh-CN"/>
        </w:rPr>
        <w:t>172.95</w:t>
      </w:r>
      <w:r>
        <w:rPr>
          <w:rFonts w:hint="eastAsia" w:ascii="仿宋" w:hAnsi="仿宋" w:eastAsia="仿宋" w:cs="仿宋"/>
          <w:sz w:val="32"/>
          <w:szCs w:val="32"/>
        </w:rPr>
        <w:t>万元，较上年增加</w:t>
      </w:r>
      <w:r>
        <w:rPr>
          <w:rFonts w:hint="eastAsia" w:ascii="仿宋" w:hAnsi="仿宋" w:eastAsia="仿宋" w:cs="仿宋"/>
          <w:sz w:val="32"/>
          <w:szCs w:val="32"/>
          <w:lang w:eastAsia="zh-CN"/>
        </w:rPr>
        <w:t>1.6</w:t>
      </w:r>
      <w:r>
        <w:rPr>
          <w:rFonts w:hint="eastAsia" w:ascii="仿宋" w:hAnsi="仿宋" w:eastAsia="仿宋" w:cs="仿宋"/>
          <w:sz w:val="32"/>
          <w:szCs w:val="32"/>
        </w:rPr>
        <w:t>万元。其中基本支出增加</w:t>
      </w:r>
      <w:r>
        <w:rPr>
          <w:rFonts w:hint="eastAsia" w:ascii="仿宋" w:hAnsi="仿宋" w:eastAsia="仿宋" w:cs="仿宋"/>
          <w:sz w:val="32"/>
          <w:szCs w:val="32"/>
          <w:lang w:eastAsia="zh-CN"/>
        </w:rPr>
        <w:t>1.6</w:t>
      </w:r>
      <w:r>
        <w:rPr>
          <w:rFonts w:hint="eastAsia" w:ascii="仿宋" w:hAnsi="仿宋" w:eastAsia="仿宋" w:cs="仿宋"/>
          <w:sz w:val="32"/>
          <w:szCs w:val="32"/>
        </w:rPr>
        <w:t>万元，变动原因：保险基数上调，相应费用变化。项目支出</w:t>
      </w:r>
      <w:r>
        <w:rPr>
          <w:rFonts w:hint="eastAsia" w:ascii="仿宋" w:hAnsi="仿宋" w:eastAsia="仿宋" w:cs="仿宋"/>
          <w:sz w:val="32"/>
          <w:szCs w:val="32"/>
          <w:lang w:eastAsia="zh-CN"/>
        </w:rPr>
        <w:t>0万元，与上年持平。</w:t>
      </w:r>
    </w:p>
    <w:p>
      <w:pPr>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我单位安排财政拨款支出主要用于保障审批机构正常运转、完成日常工作任务。日常公用经费</w:t>
      </w:r>
      <w:r>
        <w:rPr>
          <w:rFonts w:hint="eastAsia" w:ascii="仿宋" w:hAnsi="仿宋" w:eastAsia="仿宋" w:cs="仿宋"/>
          <w:sz w:val="32"/>
          <w:szCs w:val="32"/>
          <w:lang w:eastAsia="zh-CN"/>
        </w:rPr>
        <w:t>9.53</w:t>
      </w:r>
      <w:r>
        <w:rPr>
          <w:rFonts w:hint="eastAsia" w:ascii="仿宋" w:hAnsi="仿宋" w:eastAsia="仿宋" w:cs="仿宋"/>
          <w:sz w:val="32"/>
          <w:szCs w:val="32"/>
        </w:rPr>
        <w:t>万元，其中：办公费</w:t>
      </w:r>
      <w:r>
        <w:rPr>
          <w:rFonts w:hint="eastAsia" w:ascii="仿宋" w:hAnsi="仿宋" w:eastAsia="仿宋" w:cs="仿宋"/>
          <w:sz w:val="32"/>
          <w:szCs w:val="32"/>
          <w:lang w:eastAsia="zh-CN"/>
        </w:rPr>
        <w:t>4.62</w:t>
      </w:r>
      <w:r>
        <w:rPr>
          <w:rFonts w:hint="eastAsia" w:ascii="仿宋" w:hAnsi="仿宋" w:eastAsia="仿宋" w:cs="仿宋"/>
          <w:sz w:val="32"/>
          <w:szCs w:val="32"/>
        </w:rPr>
        <w:t>万元，差旅费</w:t>
      </w:r>
      <w:r>
        <w:rPr>
          <w:rFonts w:hint="eastAsia" w:ascii="仿宋" w:hAnsi="仿宋" w:eastAsia="仿宋" w:cs="仿宋"/>
          <w:sz w:val="32"/>
          <w:szCs w:val="32"/>
          <w:lang w:eastAsia="zh-CN"/>
        </w:rPr>
        <w:t>2.1</w:t>
      </w:r>
      <w:r>
        <w:rPr>
          <w:rFonts w:hint="eastAsia" w:ascii="仿宋" w:hAnsi="仿宋" w:eastAsia="仿宋" w:cs="仿宋"/>
          <w:sz w:val="32"/>
          <w:szCs w:val="32"/>
        </w:rPr>
        <w:t>万元，工会经费</w:t>
      </w:r>
      <w:r>
        <w:rPr>
          <w:rFonts w:hint="eastAsia" w:ascii="仿宋" w:hAnsi="仿宋" w:eastAsia="仿宋" w:cs="仿宋"/>
          <w:sz w:val="32"/>
          <w:szCs w:val="32"/>
          <w:lang w:eastAsia="zh-CN"/>
        </w:rPr>
        <w:t>1.18</w:t>
      </w:r>
      <w:r>
        <w:rPr>
          <w:rFonts w:hint="eastAsia" w:ascii="仿宋" w:hAnsi="仿宋" w:eastAsia="仿宋" w:cs="仿宋"/>
          <w:sz w:val="32"/>
          <w:szCs w:val="32"/>
        </w:rPr>
        <w:t>万元，职工福利费</w:t>
      </w:r>
      <w:r>
        <w:rPr>
          <w:rFonts w:hint="eastAsia" w:ascii="仿宋" w:hAnsi="仿宋" w:eastAsia="仿宋" w:cs="仿宋"/>
          <w:sz w:val="32"/>
          <w:szCs w:val="32"/>
          <w:lang w:eastAsia="zh-CN"/>
        </w:rPr>
        <w:t>1.63</w:t>
      </w:r>
      <w:r>
        <w:rPr>
          <w:rFonts w:hint="eastAsia" w:ascii="仿宋" w:hAnsi="仿宋" w:eastAsia="仿宋" w:cs="仿宋"/>
          <w:sz w:val="32"/>
          <w:szCs w:val="32"/>
        </w:rPr>
        <w:t>万元。</w:t>
      </w:r>
    </w:p>
    <w:p>
      <w:pPr>
        <w:tabs>
          <w:tab w:val="left" w:pos="490"/>
        </w:tabs>
        <w:spacing w:line="500" w:lineRule="exact"/>
        <w:ind w:left="355" w:leftChars="148" w:firstLine="320" w:firstLineChars="1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财政拨款“三公”经费预算情况及增减变化原因</w:t>
      </w:r>
    </w:p>
    <w:p>
      <w:pPr>
        <w:tabs>
          <w:tab w:val="left" w:pos="490"/>
        </w:tabs>
        <w:spacing w:line="500" w:lineRule="exact"/>
        <w:rPr>
          <w:rFonts w:ascii="黑体" w:hAnsi="黑体" w:eastAsia="黑体" w:cs="黑体"/>
          <w:sz w:val="32"/>
          <w:szCs w:val="32"/>
        </w:rPr>
      </w:pPr>
    </w:p>
    <w:p>
      <w:pPr>
        <w:tabs>
          <w:tab w:val="left" w:pos="490"/>
        </w:tabs>
        <w:spacing w:line="500" w:lineRule="exact"/>
        <w:rPr>
          <w:rFonts w:ascii="黑体" w:hAnsi="黑体" w:eastAsia="黑体" w:cs="黑体"/>
          <w:sz w:val="32"/>
          <w:szCs w:val="32"/>
        </w:rPr>
      </w:pPr>
    </w:p>
    <w:p>
      <w:pPr>
        <w:tabs>
          <w:tab w:val="left" w:pos="490"/>
        </w:tabs>
        <w:spacing w:line="500" w:lineRule="exact"/>
        <w:rPr>
          <w:rFonts w:ascii="黑体" w:hAnsi="黑体" w:eastAsia="黑体" w:cs="黑体"/>
          <w:sz w:val="32"/>
          <w:szCs w:val="32"/>
        </w:rPr>
      </w:pPr>
    </w:p>
    <w:p>
      <w:pPr>
        <w:tabs>
          <w:tab w:val="left" w:pos="490"/>
        </w:tabs>
        <w:spacing w:line="500" w:lineRule="exact"/>
        <w:rPr>
          <w:rFonts w:ascii="黑体" w:hAnsi="黑体" w:eastAsia="黑体" w:cs="黑体"/>
          <w:sz w:val="32"/>
          <w:szCs w:val="32"/>
        </w:rPr>
      </w:pPr>
    </w:p>
    <w:p>
      <w:pPr>
        <w:tabs>
          <w:tab w:val="left" w:pos="490"/>
        </w:tabs>
        <w:spacing w:line="500" w:lineRule="exact"/>
        <w:rPr>
          <w:rFonts w:ascii="黑体" w:hAnsi="黑体" w:eastAsia="黑体" w:cs="黑体"/>
          <w:sz w:val="32"/>
          <w:szCs w:val="32"/>
        </w:rPr>
      </w:pPr>
    </w:p>
    <w:p>
      <w:pPr>
        <w:tabs>
          <w:tab w:val="left" w:pos="490"/>
        </w:tabs>
        <w:spacing w:line="500" w:lineRule="exact"/>
        <w:rPr>
          <w:rFonts w:ascii="黑体" w:hAnsi="黑体" w:eastAsia="黑体" w:cs="黑体"/>
          <w:sz w:val="32"/>
          <w:szCs w:val="32"/>
        </w:rPr>
      </w:pPr>
    </w:p>
    <w:p>
      <w:pPr>
        <w:tabs>
          <w:tab w:val="left" w:pos="490"/>
        </w:tabs>
        <w:spacing w:line="500" w:lineRule="exact"/>
        <w:rPr>
          <w:rFonts w:ascii="黑体" w:hAnsi="黑体" w:eastAsia="黑体" w:cs="黑体"/>
          <w:sz w:val="32"/>
          <w:szCs w:val="32"/>
        </w:rPr>
      </w:pPr>
    </w:p>
    <w:tbl>
      <w:tblPr>
        <w:tblStyle w:val="10"/>
        <w:tblpPr w:leftFromText="180" w:rightFromText="180" w:vertAnchor="text" w:horzAnchor="page" w:tblpXSpec="center" w:tblpY="665"/>
        <w:tblOverlap w:val="never"/>
        <w:tblW w:w="11560" w:type="dxa"/>
        <w:tblInd w:w="0" w:type="dxa"/>
        <w:tblLayout w:type="fixed"/>
        <w:tblCellMar>
          <w:top w:w="0" w:type="dxa"/>
          <w:left w:w="108" w:type="dxa"/>
          <w:bottom w:w="0" w:type="dxa"/>
          <w:right w:w="108" w:type="dxa"/>
        </w:tblCellMar>
      </w:tblPr>
      <w:tblGrid>
        <w:gridCol w:w="3285"/>
        <w:gridCol w:w="1950"/>
        <w:gridCol w:w="1933"/>
        <w:gridCol w:w="1706"/>
        <w:gridCol w:w="2686"/>
      </w:tblGrid>
      <w:tr>
        <w:tblPrEx>
          <w:tblCellMar>
            <w:top w:w="0" w:type="dxa"/>
            <w:left w:w="108" w:type="dxa"/>
            <w:bottom w:w="0" w:type="dxa"/>
            <w:right w:w="108" w:type="dxa"/>
          </w:tblCellMar>
        </w:tblPrEx>
        <w:trPr>
          <w:trHeight w:val="90" w:hRule="atLeast"/>
        </w:trPr>
        <w:tc>
          <w:tcPr>
            <w:tcW w:w="11560" w:type="dxa"/>
            <w:gridSpan w:val="5"/>
            <w:tcBorders>
              <w:top w:val="nil"/>
              <w:left w:val="nil"/>
              <w:bottom w:val="nil"/>
              <w:right w:val="nil"/>
            </w:tcBorders>
            <w:vAlign w:val="center"/>
          </w:tcPr>
          <w:p>
            <w:pPr>
              <w:spacing w:line="500" w:lineRule="exact"/>
              <w:jc w:val="center"/>
              <w:rPr>
                <w:rFonts w:ascii="仿宋" w:hAnsi="仿宋" w:eastAsia="仿宋" w:cs="仿宋"/>
                <w:b/>
                <w:bCs/>
                <w:sz w:val="30"/>
                <w:szCs w:val="30"/>
              </w:rPr>
            </w:pPr>
            <w:r>
              <w:rPr>
                <w:rFonts w:hint="eastAsia" w:ascii="仿宋" w:hAnsi="仿宋" w:eastAsia="仿宋" w:cs="仿宋"/>
                <w:b/>
                <w:bCs/>
                <w:sz w:val="30"/>
                <w:szCs w:val="30"/>
              </w:rPr>
              <w:t>“三公”经费预算情况及增减变化原因</w:t>
            </w:r>
          </w:p>
          <w:p>
            <w:pPr>
              <w:spacing w:line="500" w:lineRule="exact"/>
              <w:jc w:val="center"/>
              <w:rPr>
                <w:rFonts w:ascii="仿宋" w:hAnsi="仿宋" w:eastAsia="仿宋" w:cs="仿宋"/>
                <w:sz w:val="30"/>
                <w:szCs w:val="30"/>
              </w:rPr>
            </w:pPr>
          </w:p>
        </w:tc>
      </w:tr>
      <w:tr>
        <w:tblPrEx>
          <w:tblCellMar>
            <w:top w:w="0" w:type="dxa"/>
            <w:left w:w="108" w:type="dxa"/>
            <w:bottom w:w="0" w:type="dxa"/>
            <w:right w:w="108" w:type="dxa"/>
          </w:tblCellMar>
        </w:tblPrEx>
        <w:trPr>
          <w:trHeight w:val="90" w:hRule="atLeast"/>
        </w:trPr>
        <w:tc>
          <w:tcPr>
            <w:tcW w:w="3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项目名称</w:t>
            </w:r>
          </w:p>
        </w:tc>
        <w:tc>
          <w:tcPr>
            <w:tcW w:w="1950" w:type="dxa"/>
            <w:tcBorders>
              <w:top w:val="single" w:color="auto" w:sz="4" w:space="0"/>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2021年度预算</w:t>
            </w:r>
          </w:p>
        </w:tc>
        <w:tc>
          <w:tcPr>
            <w:tcW w:w="1933" w:type="dxa"/>
            <w:tcBorders>
              <w:top w:val="single" w:color="auto" w:sz="4" w:space="0"/>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2022年度预算</w:t>
            </w:r>
          </w:p>
        </w:tc>
        <w:tc>
          <w:tcPr>
            <w:tcW w:w="1706" w:type="dxa"/>
            <w:tcBorders>
              <w:top w:val="single" w:color="auto" w:sz="4" w:space="0"/>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增减金额</w:t>
            </w:r>
          </w:p>
        </w:tc>
        <w:tc>
          <w:tcPr>
            <w:tcW w:w="2686" w:type="dxa"/>
            <w:tcBorders>
              <w:top w:val="single" w:color="auto" w:sz="4" w:space="0"/>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变化原因</w:t>
            </w:r>
          </w:p>
        </w:tc>
      </w:tr>
      <w:tr>
        <w:tblPrEx>
          <w:tblCellMar>
            <w:top w:w="0" w:type="dxa"/>
            <w:left w:w="108" w:type="dxa"/>
            <w:bottom w:w="0" w:type="dxa"/>
            <w:right w:w="108" w:type="dxa"/>
          </w:tblCellMar>
        </w:tblPrEx>
        <w:trPr>
          <w:trHeight w:val="90" w:hRule="atLeast"/>
        </w:trPr>
        <w:tc>
          <w:tcPr>
            <w:tcW w:w="3285" w:type="dxa"/>
            <w:tcBorders>
              <w:top w:val="nil"/>
              <w:left w:val="single" w:color="auto" w:sz="4" w:space="0"/>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因公出国经费</w:t>
            </w:r>
          </w:p>
        </w:tc>
        <w:tc>
          <w:tcPr>
            <w:tcW w:w="1950"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p>
        </w:tc>
        <w:tc>
          <w:tcPr>
            <w:tcW w:w="1933"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p>
        </w:tc>
        <w:tc>
          <w:tcPr>
            <w:tcW w:w="170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p>
        </w:tc>
        <w:tc>
          <w:tcPr>
            <w:tcW w:w="268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90" w:hRule="atLeast"/>
        </w:trPr>
        <w:tc>
          <w:tcPr>
            <w:tcW w:w="3285" w:type="dxa"/>
            <w:tcBorders>
              <w:top w:val="nil"/>
              <w:left w:val="single" w:color="auto" w:sz="4" w:space="0"/>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公务用车购置经费</w:t>
            </w:r>
          </w:p>
        </w:tc>
        <w:tc>
          <w:tcPr>
            <w:tcW w:w="1950"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p>
        </w:tc>
        <w:tc>
          <w:tcPr>
            <w:tcW w:w="1933"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p>
        </w:tc>
        <w:tc>
          <w:tcPr>
            <w:tcW w:w="170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p>
        </w:tc>
        <w:tc>
          <w:tcPr>
            <w:tcW w:w="268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90" w:hRule="atLeast"/>
        </w:trPr>
        <w:tc>
          <w:tcPr>
            <w:tcW w:w="3285" w:type="dxa"/>
            <w:tcBorders>
              <w:top w:val="nil"/>
              <w:left w:val="single" w:color="auto" w:sz="4" w:space="0"/>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公务用车运行经费</w:t>
            </w:r>
          </w:p>
        </w:tc>
        <w:tc>
          <w:tcPr>
            <w:tcW w:w="1950"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lang w:eastAsia="zh-CN"/>
              </w:rPr>
            </w:pPr>
          </w:p>
        </w:tc>
        <w:tc>
          <w:tcPr>
            <w:tcW w:w="1933"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lang w:eastAsia="zh-CN"/>
              </w:rPr>
            </w:pPr>
          </w:p>
        </w:tc>
        <w:tc>
          <w:tcPr>
            <w:tcW w:w="170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p>
        </w:tc>
        <w:tc>
          <w:tcPr>
            <w:tcW w:w="268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90" w:hRule="atLeast"/>
        </w:trPr>
        <w:tc>
          <w:tcPr>
            <w:tcW w:w="3285" w:type="dxa"/>
            <w:tcBorders>
              <w:top w:val="nil"/>
              <w:left w:val="single" w:color="auto" w:sz="4" w:space="0"/>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公务接待费支出</w:t>
            </w:r>
          </w:p>
        </w:tc>
        <w:tc>
          <w:tcPr>
            <w:tcW w:w="1950"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lang w:eastAsia="zh-CN"/>
              </w:rPr>
            </w:pPr>
          </w:p>
        </w:tc>
        <w:tc>
          <w:tcPr>
            <w:tcW w:w="1933"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lang w:eastAsia="zh-CN"/>
              </w:rPr>
            </w:pPr>
          </w:p>
        </w:tc>
        <w:tc>
          <w:tcPr>
            <w:tcW w:w="170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p>
        </w:tc>
        <w:tc>
          <w:tcPr>
            <w:tcW w:w="268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90" w:hRule="atLeast"/>
        </w:trPr>
        <w:tc>
          <w:tcPr>
            <w:tcW w:w="3285" w:type="dxa"/>
            <w:tcBorders>
              <w:top w:val="nil"/>
              <w:left w:val="single" w:color="auto" w:sz="4" w:space="0"/>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合计</w:t>
            </w:r>
          </w:p>
        </w:tc>
        <w:tc>
          <w:tcPr>
            <w:tcW w:w="1950"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lang w:eastAsia="zh-CN"/>
              </w:rPr>
            </w:pPr>
          </w:p>
        </w:tc>
        <w:tc>
          <w:tcPr>
            <w:tcW w:w="1933"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lang w:eastAsia="zh-CN"/>
              </w:rPr>
            </w:pPr>
          </w:p>
        </w:tc>
        <w:tc>
          <w:tcPr>
            <w:tcW w:w="170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p>
        </w:tc>
        <w:tc>
          <w:tcPr>
            <w:tcW w:w="2686" w:type="dxa"/>
            <w:tcBorders>
              <w:top w:val="nil"/>
              <w:left w:val="nil"/>
              <w:bottom w:val="single" w:color="auto" w:sz="4" w:space="0"/>
              <w:right w:val="single" w:color="auto" w:sz="4" w:space="0"/>
            </w:tcBorders>
            <w:vAlign w:val="center"/>
          </w:tcPr>
          <w:p>
            <w:pPr>
              <w:spacing w:line="500" w:lineRule="exact"/>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bl>
    <w:p>
      <w:pPr>
        <w:spacing w:line="500" w:lineRule="exact"/>
        <w:rPr>
          <w:rFonts w:ascii="仿宋" w:hAnsi="仿宋" w:eastAsia="仿宋" w:cs="仿宋_GB2312"/>
          <w:bCs/>
          <w:i/>
          <w:sz w:val="30"/>
          <w:szCs w:val="30"/>
        </w:rPr>
      </w:pPr>
    </w:p>
    <w:p>
      <w:pPr>
        <w:spacing w:line="500" w:lineRule="exact"/>
        <w:ind w:firstLine="640"/>
        <w:rPr>
          <w:rFonts w:ascii="仿宋" w:hAnsi="仿宋" w:eastAsia="仿宋" w:cs="仿宋"/>
          <w:sz w:val="32"/>
          <w:szCs w:val="32"/>
          <w:lang w:eastAsia="zh-CN"/>
        </w:rPr>
      </w:pPr>
    </w:p>
    <w:p>
      <w:pPr>
        <w:spacing w:line="500" w:lineRule="exact"/>
        <w:ind w:firstLine="640"/>
        <w:rPr>
          <w:rFonts w:ascii="仿宋" w:hAnsi="仿宋" w:eastAsia="仿宋" w:cs="仿宋"/>
          <w:sz w:val="32"/>
          <w:szCs w:val="32"/>
          <w:lang w:eastAsia="zh-CN"/>
        </w:rPr>
      </w:pPr>
    </w:p>
    <w:p>
      <w:pPr>
        <w:spacing w:line="500" w:lineRule="exact"/>
        <w:ind w:firstLine="640"/>
        <w:rPr>
          <w:rFonts w:ascii="仿宋" w:hAnsi="仿宋" w:eastAsia="仿宋" w:cs="仿宋"/>
          <w:sz w:val="32"/>
          <w:szCs w:val="32"/>
          <w:lang w:eastAsia="zh-CN"/>
        </w:rPr>
      </w:pPr>
    </w:p>
    <w:p>
      <w:pPr>
        <w:spacing w:line="500" w:lineRule="exact"/>
        <w:ind w:firstLine="640"/>
        <w:rPr>
          <w:rFonts w:ascii="仿宋" w:hAnsi="仿宋" w:eastAsia="仿宋" w:cs="仿宋"/>
          <w:sz w:val="32"/>
          <w:szCs w:val="32"/>
        </w:rPr>
      </w:pPr>
    </w:p>
    <w:p>
      <w:pPr>
        <w:spacing w:line="500" w:lineRule="exact"/>
        <w:ind w:firstLine="640"/>
        <w:rPr>
          <w:rFonts w:ascii="仿宋" w:hAnsi="仿宋" w:eastAsia="仿宋" w:cs="仿宋"/>
          <w:sz w:val="32"/>
          <w:szCs w:val="32"/>
        </w:rPr>
      </w:pPr>
    </w:p>
    <w:p>
      <w:pPr>
        <w:spacing w:line="500" w:lineRule="exact"/>
        <w:ind w:firstLine="640"/>
        <w:rPr>
          <w:rFonts w:ascii="仿宋" w:hAnsi="仿宋" w:eastAsia="仿宋" w:cs="仿宋"/>
          <w:sz w:val="32"/>
          <w:szCs w:val="32"/>
        </w:rPr>
      </w:pPr>
    </w:p>
    <w:p>
      <w:pPr>
        <w:spacing w:line="500" w:lineRule="exact"/>
        <w:ind w:firstLine="640"/>
        <w:rPr>
          <w:rFonts w:ascii="仿宋" w:hAnsi="仿宋" w:eastAsia="仿宋" w:cs="仿宋"/>
          <w:sz w:val="32"/>
          <w:szCs w:val="32"/>
        </w:rPr>
      </w:pPr>
    </w:p>
    <w:p>
      <w:pPr>
        <w:spacing w:line="500" w:lineRule="exact"/>
        <w:ind w:firstLine="640"/>
        <w:rPr>
          <w:rFonts w:ascii="仿宋" w:hAnsi="仿宋" w:eastAsia="仿宋" w:cs="仿宋"/>
          <w:sz w:val="32"/>
          <w:szCs w:val="32"/>
        </w:rPr>
      </w:pPr>
    </w:p>
    <w:p>
      <w:pPr>
        <w:spacing w:line="500" w:lineRule="exact"/>
        <w:ind w:firstLine="640"/>
        <w:rPr>
          <w:rFonts w:ascii="仿宋" w:hAnsi="仿宋" w:eastAsia="仿宋" w:cs="仿宋"/>
          <w:sz w:val="32"/>
          <w:szCs w:val="32"/>
        </w:rPr>
      </w:pPr>
    </w:p>
    <w:p>
      <w:pPr>
        <w:spacing w:line="500" w:lineRule="exact"/>
        <w:ind w:firstLine="640"/>
        <w:rPr>
          <w:rFonts w:ascii="仿宋" w:hAnsi="仿宋" w:eastAsia="仿宋" w:cs="仿宋"/>
          <w:sz w:val="32"/>
          <w:szCs w:val="32"/>
        </w:rPr>
      </w:pPr>
    </w:p>
    <w:p>
      <w:pPr>
        <w:spacing w:line="500" w:lineRule="exact"/>
        <w:ind w:firstLine="640"/>
        <w:rPr>
          <w:rFonts w:ascii="仿宋" w:hAnsi="仿宋" w:eastAsia="仿宋" w:cs="仿宋"/>
          <w:sz w:val="32"/>
          <w:szCs w:val="32"/>
          <w:lang w:eastAsia="zh-CN"/>
        </w:rPr>
      </w:pPr>
      <w:r>
        <w:rPr>
          <w:rFonts w:hint="eastAsia" w:ascii="仿宋" w:hAnsi="仿宋" w:eastAsia="仿宋" w:cs="仿宋"/>
          <w:sz w:val="32"/>
          <w:szCs w:val="32"/>
        </w:rPr>
        <w:t>2022年 “三公”经费支出</w:t>
      </w:r>
      <w:r>
        <w:rPr>
          <w:rFonts w:hint="eastAsia" w:ascii="仿宋" w:hAnsi="仿宋" w:eastAsia="仿宋" w:cs="仿宋"/>
          <w:sz w:val="32"/>
          <w:szCs w:val="32"/>
          <w:lang w:eastAsia="zh-CN"/>
        </w:rPr>
        <w:t>0</w:t>
      </w:r>
      <w:r>
        <w:rPr>
          <w:rFonts w:hint="eastAsia" w:ascii="仿宋" w:hAnsi="仿宋" w:eastAsia="仿宋" w:cs="仿宋"/>
          <w:sz w:val="32"/>
          <w:szCs w:val="32"/>
        </w:rPr>
        <w:t>万元，其中：公车运行维护费</w:t>
      </w:r>
      <w:r>
        <w:rPr>
          <w:rFonts w:hint="eastAsia" w:ascii="仿宋" w:hAnsi="仿宋" w:eastAsia="仿宋" w:cs="仿宋"/>
          <w:sz w:val="32"/>
          <w:szCs w:val="32"/>
          <w:lang w:eastAsia="zh-CN"/>
        </w:rPr>
        <w:t>0</w:t>
      </w:r>
      <w:r>
        <w:rPr>
          <w:rFonts w:hint="eastAsia" w:ascii="仿宋" w:hAnsi="仿宋" w:eastAsia="仿宋" w:cs="仿宋"/>
          <w:sz w:val="32"/>
          <w:szCs w:val="32"/>
        </w:rPr>
        <w:t>万元，公务接待费</w:t>
      </w:r>
      <w:r>
        <w:rPr>
          <w:rFonts w:hint="eastAsia" w:ascii="仿宋" w:hAnsi="仿宋" w:eastAsia="仿宋" w:cs="仿宋"/>
          <w:sz w:val="32"/>
          <w:szCs w:val="32"/>
          <w:lang w:eastAsia="zh-CN"/>
        </w:rPr>
        <w:t>0</w:t>
      </w:r>
      <w:r>
        <w:rPr>
          <w:rFonts w:hint="eastAsia" w:ascii="仿宋" w:hAnsi="仿宋" w:eastAsia="仿宋" w:cs="仿宋"/>
          <w:sz w:val="32"/>
          <w:szCs w:val="32"/>
        </w:rPr>
        <w:t>万元，计划</w:t>
      </w:r>
      <w:r>
        <w:rPr>
          <w:rFonts w:hint="eastAsia" w:ascii="仿宋" w:hAnsi="仿宋" w:eastAsia="仿宋" w:cs="仿宋"/>
          <w:color w:val="000000"/>
          <w:sz w:val="32"/>
          <w:szCs w:val="32"/>
        </w:rPr>
        <w:t>接待各地方审批考察人员招待任务等。</w:t>
      </w:r>
      <w:r>
        <w:rPr>
          <w:rFonts w:hint="eastAsia" w:ascii="仿宋" w:hAnsi="仿宋" w:eastAsia="仿宋" w:cs="仿宋"/>
          <w:sz w:val="32"/>
          <w:szCs w:val="32"/>
        </w:rPr>
        <w:t>因公出国出境0万元。2021年预算安排“三公”经费支出</w:t>
      </w:r>
      <w:r>
        <w:rPr>
          <w:rFonts w:hint="eastAsia" w:ascii="仿宋" w:hAnsi="仿宋" w:eastAsia="仿宋" w:cs="仿宋"/>
          <w:sz w:val="32"/>
          <w:szCs w:val="32"/>
          <w:lang w:eastAsia="zh-CN"/>
        </w:rPr>
        <w:t>0</w:t>
      </w:r>
      <w:r>
        <w:rPr>
          <w:rFonts w:hint="eastAsia" w:ascii="仿宋" w:hAnsi="仿宋" w:eastAsia="仿宋" w:cs="仿宋"/>
          <w:sz w:val="32"/>
          <w:szCs w:val="32"/>
        </w:rPr>
        <w:t>万元，其中：公务用车购置经费0万元，公车运行维护费</w:t>
      </w:r>
      <w:r>
        <w:rPr>
          <w:rFonts w:hint="eastAsia" w:ascii="仿宋" w:hAnsi="仿宋" w:eastAsia="仿宋" w:cs="仿宋"/>
          <w:sz w:val="32"/>
          <w:szCs w:val="32"/>
          <w:lang w:eastAsia="zh-CN"/>
        </w:rPr>
        <w:t>0</w:t>
      </w:r>
      <w:r>
        <w:rPr>
          <w:rFonts w:hint="eastAsia" w:ascii="仿宋" w:hAnsi="仿宋" w:eastAsia="仿宋" w:cs="仿宋"/>
          <w:sz w:val="32"/>
          <w:szCs w:val="32"/>
        </w:rPr>
        <w:t>万元，公务接待费</w:t>
      </w:r>
      <w:r>
        <w:rPr>
          <w:rFonts w:hint="eastAsia" w:ascii="仿宋" w:hAnsi="仿宋" w:eastAsia="仿宋" w:cs="仿宋"/>
          <w:sz w:val="32"/>
          <w:szCs w:val="32"/>
          <w:lang w:eastAsia="zh-CN"/>
        </w:rPr>
        <w:t>0</w:t>
      </w:r>
      <w:r>
        <w:rPr>
          <w:rFonts w:hint="eastAsia" w:ascii="仿宋" w:hAnsi="仿宋" w:eastAsia="仿宋" w:cs="仿宋"/>
          <w:sz w:val="32"/>
          <w:szCs w:val="32"/>
        </w:rPr>
        <w:t>万元，因公出国出境0万元，与2022年三公经费相比无增减变化，空表列式。</w:t>
      </w:r>
    </w:p>
    <w:p>
      <w:pPr>
        <w:widowControl w:val="0"/>
        <w:spacing w:line="50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五、绩效预算信息情况</w:t>
      </w:r>
    </w:p>
    <w:p>
      <w:pPr>
        <w:spacing w:line="50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无</w:t>
      </w:r>
    </w:p>
    <w:p>
      <w:pPr>
        <w:spacing w:line="500" w:lineRule="exact"/>
        <w:ind w:firstLine="640" w:firstLineChars="200"/>
        <w:rPr>
          <w:rFonts w:ascii="黑体" w:hAnsi="黑体" w:eastAsia="黑体" w:cs="仿宋_GB2312"/>
          <w:bCs/>
          <w:sz w:val="32"/>
          <w:szCs w:val="32"/>
        </w:rPr>
      </w:pPr>
    </w:p>
    <w:p>
      <w:pPr>
        <w:spacing w:line="500" w:lineRule="exact"/>
        <w:ind w:firstLine="640" w:firstLineChars="200"/>
        <w:rPr>
          <w:rFonts w:ascii="黑体" w:hAnsi="黑体" w:eastAsia="黑体" w:cs="仿宋_GB2312"/>
          <w:sz w:val="32"/>
          <w:szCs w:val="32"/>
        </w:rPr>
      </w:pPr>
      <w:r>
        <w:rPr>
          <w:rFonts w:hint="eastAsia" w:ascii="黑体" w:hAnsi="黑体" w:eastAsia="黑体" w:cs="仿宋_GB2312"/>
          <w:bCs/>
          <w:sz w:val="32"/>
          <w:szCs w:val="32"/>
        </w:rPr>
        <w:t>六、政府采购预算情况</w:t>
      </w:r>
    </w:p>
    <w:p>
      <w:pPr>
        <w:spacing w:line="500" w:lineRule="exact"/>
        <w:ind w:firstLine="1120" w:firstLineChars="350"/>
        <w:rPr>
          <w:rFonts w:ascii="仿宋" w:hAnsi="仿宋" w:eastAsia="仿宋"/>
          <w:sz w:val="32"/>
          <w:szCs w:val="32"/>
          <w:lang w:eastAsia="zh-CN"/>
        </w:rPr>
      </w:pPr>
      <w:r>
        <w:rPr>
          <w:rFonts w:hint="eastAsia" w:ascii="仿宋" w:hAnsi="仿宋" w:eastAsia="仿宋"/>
          <w:sz w:val="32"/>
          <w:szCs w:val="32"/>
        </w:rPr>
        <w:t>2022年我单位未安排政府采购服务类预算项目，资金0万元，空表列式。</w:t>
      </w:r>
    </w:p>
    <w:p>
      <w:pPr>
        <w:spacing w:line="500" w:lineRule="exact"/>
        <w:rPr>
          <w:rFonts w:ascii="仿宋" w:hAnsi="仿宋" w:eastAsia="仿宋"/>
          <w:sz w:val="32"/>
          <w:szCs w:val="32"/>
          <w:lang w:eastAsia="zh-CN"/>
        </w:rPr>
      </w:pPr>
    </w:p>
    <w:tbl>
      <w:tblPr>
        <w:tblStyle w:val="10"/>
        <w:tblW w:w="118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2"/>
        <w:gridCol w:w="958"/>
        <w:gridCol w:w="847"/>
        <w:gridCol w:w="661"/>
        <w:gridCol w:w="661"/>
        <w:gridCol w:w="738"/>
        <w:gridCol w:w="836"/>
        <w:gridCol w:w="836"/>
        <w:gridCol w:w="836"/>
        <w:gridCol w:w="836"/>
        <w:gridCol w:w="841"/>
        <w:gridCol w:w="849"/>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8" w:hRule="atLeast"/>
          <w:tblHeader/>
          <w:jc w:val="center"/>
        </w:trPr>
        <w:tc>
          <w:tcPr>
            <w:tcW w:w="3090" w:type="dxa"/>
            <w:gridSpan w:val="2"/>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政府采购项目来源</w:t>
            </w:r>
          </w:p>
        </w:tc>
        <w:tc>
          <w:tcPr>
            <w:tcW w:w="847"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采购物品名称</w:t>
            </w:r>
          </w:p>
        </w:tc>
        <w:tc>
          <w:tcPr>
            <w:tcW w:w="661"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数量单位</w:t>
            </w:r>
          </w:p>
        </w:tc>
        <w:tc>
          <w:tcPr>
            <w:tcW w:w="661"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数量</w:t>
            </w:r>
          </w:p>
        </w:tc>
        <w:tc>
          <w:tcPr>
            <w:tcW w:w="738"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单价</w:t>
            </w:r>
          </w:p>
        </w:tc>
        <w:tc>
          <w:tcPr>
            <w:tcW w:w="5840" w:type="dxa"/>
            <w:gridSpan w:val="7"/>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8" w:hRule="atLeast"/>
          <w:tblHeader/>
          <w:jc w:val="center"/>
        </w:trPr>
        <w:tc>
          <w:tcPr>
            <w:tcW w:w="2132"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项目名称</w:t>
            </w:r>
          </w:p>
        </w:tc>
        <w:tc>
          <w:tcPr>
            <w:tcW w:w="958"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预算资金</w:t>
            </w:r>
          </w:p>
        </w:tc>
        <w:tc>
          <w:tcPr>
            <w:tcW w:w="847" w:type="dxa"/>
            <w:vMerge w:val="continue"/>
            <w:vAlign w:val="center"/>
          </w:tcPr>
          <w:p>
            <w:pPr>
              <w:spacing w:line="300" w:lineRule="exact"/>
              <w:outlineLvl w:val="0"/>
              <w:rPr>
                <w:rFonts w:asciiTheme="majorEastAsia" w:hAnsiTheme="majorEastAsia" w:eastAsiaTheme="majorEastAsia"/>
                <w:szCs w:val="21"/>
              </w:rPr>
            </w:pPr>
          </w:p>
        </w:tc>
        <w:tc>
          <w:tcPr>
            <w:tcW w:w="661" w:type="dxa"/>
            <w:vMerge w:val="continue"/>
            <w:vAlign w:val="center"/>
          </w:tcPr>
          <w:p>
            <w:pPr>
              <w:spacing w:line="300" w:lineRule="exact"/>
              <w:outlineLvl w:val="0"/>
              <w:rPr>
                <w:rFonts w:asciiTheme="majorEastAsia" w:hAnsiTheme="majorEastAsia" w:eastAsiaTheme="majorEastAsia"/>
                <w:szCs w:val="21"/>
              </w:rPr>
            </w:pPr>
          </w:p>
        </w:tc>
        <w:tc>
          <w:tcPr>
            <w:tcW w:w="661" w:type="dxa"/>
            <w:vMerge w:val="continue"/>
            <w:vAlign w:val="center"/>
          </w:tcPr>
          <w:p>
            <w:pPr>
              <w:spacing w:line="300" w:lineRule="exact"/>
              <w:outlineLvl w:val="0"/>
              <w:rPr>
                <w:rFonts w:asciiTheme="majorEastAsia" w:hAnsiTheme="majorEastAsia" w:eastAsiaTheme="majorEastAsia"/>
                <w:szCs w:val="21"/>
              </w:rPr>
            </w:pPr>
          </w:p>
        </w:tc>
        <w:tc>
          <w:tcPr>
            <w:tcW w:w="738" w:type="dxa"/>
            <w:vMerge w:val="continue"/>
            <w:vAlign w:val="center"/>
          </w:tcPr>
          <w:p>
            <w:pPr>
              <w:spacing w:line="300" w:lineRule="exact"/>
              <w:outlineLvl w:val="0"/>
              <w:rPr>
                <w:rFonts w:asciiTheme="majorEastAsia" w:hAnsiTheme="majorEastAsia" w:eastAsiaTheme="majorEastAsia"/>
                <w:szCs w:val="21"/>
              </w:rPr>
            </w:pPr>
          </w:p>
        </w:tc>
        <w:tc>
          <w:tcPr>
            <w:tcW w:w="836"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总计</w:t>
            </w:r>
          </w:p>
        </w:tc>
        <w:tc>
          <w:tcPr>
            <w:tcW w:w="4198" w:type="dxa"/>
            <w:gridSpan w:val="5"/>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当年单位预算安排资金</w:t>
            </w:r>
          </w:p>
        </w:tc>
        <w:tc>
          <w:tcPr>
            <w:tcW w:w="806"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3" w:hRule="atLeast"/>
          <w:tblHeader/>
          <w:jc w:val="center"/>
        </w:trPr>
        <w:tc>
          <w:tcPr>
            <w:tcW w:w="2132" w:type="dxa"/>
            <w:vMerge w:val="continue"/>
            <w:vAlign w:val="center"/>
          </w:tcPr>
          <w:p>
            <w:pPr>
              <w:spacing w:line="300" w:lineRule="exact"/>
              <w:outlineLvl w:val="0"/>
              <w:rPr>
                <w:rFonts w:asciiTheme="majorEastAsia" w:hAnsiTheme="majorEastAsia" w:eastAsiaTheme="majorEastAsia"/>
                <w:szCs w:val="21"/>
              </w:rPr>
            </w:pPr>
          </w:p>
        </w:tc>
        <w:tc>
          <w:tcPr>
            <w:tcW w:w="958" w:type="dxa"/>
            <w:vMerge w:val="continue"/>
            <w:vAlign w:val="center"/>
          </w:tcPr>
          <w:p>
            <w:pPr>
              <w:spacing w:line="300" w:lineRule="exact"/>
              <w:outlineLvl w:val="0"/>
              <w:rPr>
                <w:rFonts w:asciiTheme="majorEastAsia" w:hAnsiTheme="majorEastAsia" w:eastAsiaTheme="majorEastAsia"/>
                <w:szCs w:val="21"/>
              </w:rPr>
            </w:pPr>
          </w:p>
        </w:tc>
        <w:tc>
          <w:tcPr>
            <w:tcW w:w="847" w:type="dxa"/>
            <w:vMerge w:val="continue"/>
            <w:vAlign w:val="center"/>
          </w:tcPr>
          <w:p>
            <w:pPr>
              <w:spacing w:line="300" w:lineRule="exact"/>
              <w:outlineLvl w:val="0"/>
              <w:rPr>
                <w:rFonts w:asciiTheme="majorEastAsia" w:hAnsiTheme="majorEastAsia" w:eastAsiaTheme="majorEastAsia"/>
                <w:szCs w:val="21"/>
              </w:rPr>
            </w:pPr>
          </w:p>
        </w:tc>
        <w:tc>
          <w:tcPr>
            <w:tcW w:w="661" w:type="dxa"/>
            <w:vMerge w:val="continue"/>
            <w:vAlign w:val="center"/>
          </w:tcPr>
          <w:p>
            <w:pPr>
              <w:spacing w:line="300" w:lineRule="exact"/>
              <w:outlineLvl w:val="0"/>
              <w:rPr>
                <w:rFonts w:asciiTheme="majorEastAsia" w:hAnsiTheme="majorEastAsia" w:eastAsiaTheme="majorEastAsia"/>
                <w:szCs w:val="21"/>
              </w:rPr>
            </w:pPr>
          </w:p>
        </w:tc>
        <w:tc>
          <w:tcPr>
            <w:tcW w:w="661" w:type="dxa"/>
            <w:vMerge w:val="continue"/>
            <w:vAlign w:val="center"/>
          </w:tcPr>
          <w:p>
            <w:pPr>
              <w:spacing w:line="300" w:lineRule="exact"/>
              <w:outlineLvl w:val="0"/>
              <w:rPr>
                <w:rFonts w:asciiTheme="majorEastAsia" w:hAnsiTheme="majorEastAsia" w:eastAsiaTheme="majorEastAsia"/>
                <w:szCs w:val="21"/>
              </w:rPr>
            </w:pPr>
          </w:p>
        </w:tc>
        <w:tc>
          <w:tcPr>
            <w:tcW w:w="738" w:type="dxa"/>
            <w:vMerge w:val="continue"/>
            <w:vAlign w:val="center"/>
          </w:tcPr>
          <w:p>
            <w:pPr>
              <w:spacing w:line="300" w:lineRule="exact"/>
              <w:outlineLvl w:val="0"/>
              <w:rPr>
                <w:rFonts w:asciiTheme="majorEastAsia" w:hAnsiTheme="majorEastAsia" w:eastAsiaTheme="majorEastAsia"/>
                <w:szCs w:val="21"/>
              </w:rPr>
            </w:pPr>
          </w:p>
        </w:tc>
        <w:tc>
          <w:tcPr>
            <w:tcW w:w="836" w:type="dxa"/>
            <w:vMerge w:val="continue"/>
            <w:vAlign w:val="center"/>
          </w:tcPr>
          <w:p>
            <w:pPr>
              <w:spacing w:line="300" w:lineRule="exact"/>
              <w:outlineLvl w:val="0"/>
              <w:rPr>
                <w:rFonts w:asciiTheme="majorEastAsia" w:hAnsiTheme="majorEastAsia" w:eastAsiaTheme="majorEastAsia"/>
                <w:szCs w:val="21"/>
              </w:rPr>
            </w:pPr>
          </w:p>
        </w:tc>
        <w:tc>
          <w:tcPr>
            <w:tcW w:w="83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合计</w:t>
            </w:r>
          </w:p>
        </w:tc>
        <w:tc>
          <w:tcPr>
            <w:tcW w:w="83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一般公共预算拨款</w:t>
            </w:r>
          </w:p>
        </w:tc>
        <w:tc>
          <w:tcPr>
            <w:tcW w:w="83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基金预算拨款</w:t>
            </w:r>
          </w:p>
        </w:tc>
        <w:tc>
          <w:tcPr>
            <w:tcW w:w="841"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财政专户核拨</w:t>
            </w:r>
          </w:p>
        </w:tc>
        <w:tc>
          <w:tcPr>
            <w:tcW w:w="849"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其他来源收入</w:t>
            </w:r>
          </w:p>
        </w:tc>
        <w:tc>
          <w:tcPr>
            <w:tcW w:w="806" w:type="dxa"/>
            <w:vMerge w:val="continue"/>
            <w:vAlign w:val="center"/>
          </w:tcPr>
          <w:p>
            <w:pPr>
              <w:spacing w:line="300" w:lineRule="exact"/>
              <w:outlineLvl w:val="0"/>
              <w:rPr>
                <w:rFonts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8" w:hRule="atLeast"/>
          <w:jc w:val="center"/>
        </w:trPr>
        <w:tc>
          <w:tcPr>
            <w:tcW w:w="213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合　计</w:t>
            </w:r>
          </w:p>
        </w:tc>
        <w:tc>
          <w:tcPr>
            <w:tcW w:w="958" w:type="dxa"/>
            <w:vAlign w:val="center"/>
          </w:tcPr>
          <w:p>
            <w:pPr>
              <w:spacing w:line="300" w:lineRule="exact"/>
              <w:jc w:val="right"/>
              <w:rPr>
                <w:rFonts w:asciiTheme="majorEastAsia" w:hAnsiTheme="majorEastAsia" w:eastAsiaTheme="majorEastAsia"/>
                <w:b/>
                <w:szCs w:val="21"/>
                <w:lang w:eastAsia="zh-CN"/>
              </w:rPr>
            </w:pPr>
          </w:p>
        </w:tc>
        <w:tc>
          <w:tcPr>
            <w:tcW w:w="847" w:type="dxa"/>
            <w:vAlign w:val="center"/>
          </w:tcPr>
          <w:p>
            <w:pPr>
              <w:spacing w:line="300" w:lineRule="exact"/>
              <w:rPr>
                <w:rFonts w:asciiTheme="majorEastAsia" w:hAnsiTheme="majorEastAsia" w:eastAsiaTheme="majorEastAsia"/>
                <w:b/>
                <w:szCs w:val="21"/>
              </w:rPr>
            </w:pPr>
          </w:p>
        </w:tc>
        <w:tc>
          <w:tcPr>
            <w:tcW w:w="661" w:type="dxa"/>
            <w:vAlign w:val="center"/>
          </w:tcPr>
          <w:p>
            <w:pPr>
              <w:spacing w:line="300" w:lineRule="exact"/>
              <w:rPr>
                <w:rFonts w:asciiTheme="majorEastAsia" w:hAnsiTheme="majorEastAsia" w:eastAsiaTheme="majorEastAsia"/>
                <w:b/>
                <w:szCs w:val="21"/>
              </w:rPr>
            </w:pPr>
          </w:p>
        </w:tc>
        <w:tc>
          <w:tcPr>
            <w:tcW w:w="661" w:type="dxa"/>
            <w:vAlign w:val="center"/>
          </w:tcPr>
          <w:p>
            <w:pPr>
              <w:spacing w:line="300" w:lineRule="exact"/>
              <w:jc w:val="right"/>
              <w:rPr>
                <w:rFonts w:asciiTheme="majorEastAsia" w:hAnsiTheme="majorEastAsia" w:eastAsiaTheme="majorEastAsia"/>
                <w:b/>
                <w:szCs w:val="21"/>
              </w:rPr>
            </w:pPr>
          </w:p>
        </w:tc>
        <w:tc>
          <w:tcPr>
            <w:tcW w:w="738" w:type="dxa"/>
            <w:vAlign w:val="center"/>
          </w:tcPr>
          <w:p>
            <w:pPr>
              <w:spacing w:line="300" w:lineRule="exact"/>
              <w:jc w:val="right"/>
              <w:rPr>
                <w:rFonts w:asciiTheme="majorEastAsia" w:hAnsiTheme="majorEastAsia" w:eastAsiaTheme="majorEastAsia"/>
                <w:b/>
                <w:szCs w:val="21"/>
              </w:rPr>
            </w:pPr>
          </w:p>
        </w:tc>
        <w:tc>
          <w:tcPr>
            <w:tcW w:w="836" w:type="dxa"/>
            <w:vAlign w:val="center"/>
          </w:tcPr>
          <w:p>
            <w:pPr>
              <w:spacing w:line="300" w:lineRule="exact"/>
              <w:jc w:val="right"/>
              <w:rPr>
                <w:rFonts w:asciiTheme="majorEastAsia" w:hAnsiTheme="majorEastAsia" w:eastAsiaTheme="majorEastAsia"/>
                <w:b/>
                <w:szCs w:val="21"/>
              </w:rPr>
            </w:pPr>
          </w:p>
        </w:tc>
        <w:tc>
          <w:tcPr>
            <w:tcW w:w="836" w:type="dxa"/>
            <w:vAlign w:val="center"/>
          </w:tcPr>
          <w:p>
            <w:pPr>
              <w:spacing w:line="300" w:lineRule="exact"/>
              <w:jc w:val="right"/>
              <w:rPr>
                <w:rFonts w:asciiTheme="majorEastAsia" w:hAnsiTheme="majorEastAsia" w:eastAsiaTheme="majorEastAsia"/>
                <w:b/>
                <w:szCs w:val="21"/>
              </w:rPr>
            </w:pPr>
          </w:p>
        </w:tc>
        <w:tc>
          <w:tcPr>
            <w:tcW w:w="836" w:type="dxa"/>
            <w:vAlign w:val="center"/>
          </w:tcPr>
          <w:p>
            <w:pPr>
              <w:spacing w:line="300" w:lineRule="exact"/>
              <w:jc w:val="right"/>
              <w:rPr>
                <w:rFonts w:asciiTheme="majorEastAsia" w:hAnsiTheme="majorEastAsia" w:eastAsiaTheme="majorEastAsia"/>
                <w:b/>
                <w:szCs w:val="21"/>
              </w:rPr>
            </w:pPr>
          </w:p>
        </w:tc>
        <w:tc>
          <w:tcPr>
            <w:tcW w:w="836" w:type="dxa"/>
            <w:vAlign w:val="center"/>
          </w:tcPr>
          <w:p>
            <w:pPr>
              <w:spacing w:line="300" w:lineRule="exact"/>
              <w:jc w:val="right"/>
              <w:rPr>
                <w:rFonts w:asciiTheme="majorEastAsia" w:hAnsiTheme="majorEastAsia" w:eastAsiaTheme="majorEastAsia"/>
                <w:b/>
                <w:szCs w:val="21"/>
              </w:rPr>
            </w:pPr>
          </w:p>
        </w:tc>
        <w:tc>
          <w:tcPr>
            <w:tcW w:w="841" w:type="dxa"/>
            <w:vAlign w:val="center"/>
          </w:tcPr>
          <w:p>
            <w:pPr>
              <w:spacing w:line="300" w:lineRule="exact"/>
              <w:jc w:val="right"/>
              <w:rPr>
                <w:rFonts w:asciiTheme="majorEastAsia" w:hAnsiTheme="majorEastAsia" w:eastAsiaTheme="majorEastAsia"/>
                <w:b/>
                <w:szCs w:val="21"/>
              </w:rPr>
            </w:pPr>
          </w:p>
        </w:tc>
        <w:tc>
          <w:tcPr>
            <w:tcW w:w="849" w:type="dxa"/>
            <w:vAlign w:val="center"/>
          </w:tcPr>
          <w:p>
            <w:pPr>
              <w:spacing w:line="300" w:lineRule="exact"/>
              <w:jc w:val="right"/>
              <w:rPr>
                <w:rFonts w:asciiTheme="majorEastAsia" w:hAnsiTheme="majorEastAsia" w:eastAsiaTheme="majorEastAsia"/>
                <w:b/>
                <w:szCs w:val="21"/>
              </w:rPr>
            </w:pPr>
          </w:p>
        </w:tc>
        <w:tc>
          <w:tcPr>
            <w:tcW w:w="806" w:type="dxa"/>
            <w:vAlign w:val="center"/>
          </w:tcPr>
          <w:p>
            <w:pPr>
              <w:spacing w:line="300" w:lineRule="exact"/>
              <w:jc w:val="right"/>
              <w:rPr>
                <w:rFonts w:asciiTheme="majorEastAsia" w:hAnsiTheme="majorEastAsia" w:eastAsiaTheme="majorEastAsia"/>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213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小计</w:t>
            </w:r>
          </w:p>
        </w:tc>
        <w:tc>
          <w:tcPr>
            <w:tcW w:w="958" w:type="dxa"/>
            <w:vAlign w:val="center"/>
          </w:tcPr>
          <w:p>
            <w:pPr>
              <w:spacing w:line="300" w:lineRule="exact"/>
              <w:jc w:val="right"/>
              <w:rPr>
                <w:rFonts w:asciiTheme="majorEastAsia" w:hAnsiTheme="majorEastAsia" w:eastAsiaTheme="majorEastAsia"/>
                <w:b/>
                <w:szCs w:val="21"/>
                <w:lang w:eastAsia="zh-CN"/>
              </w:rPr>
            </w:pPr>
          </w:p>
        </w:tc>
        <w:tc>
          <w:tcPr>
            <w:tcW w:w="847" w:type="dxa"/>
            <w:vAlign w:val="center"/>
          </w:tcPr>
          <w:p>
            <w:pPr>
              <w:spacing w:line="300" w:lineRule="exact"/>
              <w:rPr>
                <w:rFonts w:asciiTheme="majorEastAsia" w:hAnsiTheme="majorEastAsia" w:eastAsiaTheme="majorEastAsia"/>
                <w:b/>
                <w:szCs w:val="21"/>
              </w:rPr>
            </w:pPr>
          </w:p>
        </w:tc>
        <w:tc>
          <w:tcPr>
            <w:tcW w:w="661" w:type="dxa"/>
            <w:vAlign w:val="center"/>
          </w:tcPr>
          <w:p>
            <w:pPr>
              <w:spacing w:line="300" w:lineRule="exact"/>
              <w:rPr>
                <w:rFonts w:asciiTheme="majorEastAsia" w:hAnsiTheme="majorEastAsia" w:eastAsiaTheme="majorEastAsia"/>
                <w:b/>
                <w:szCs w:val="21"/>
              </w:rPr>
            </w:pPr>
          </w:p>
        </w:tc>
        <w:tc>
          <w:tcPr>
            <w:tcW w:w="661" w:type="dxa"/>
            <w:vAlign w:val="center"/>
          </w:tcPr>
          <w:p>
            <w:pPr>
              <w:spacing w:line="300" w:lineRule="exact"/>
              <w:jc w:val="right"/>
              <w:rPr>
                <w:rFonts w:asciiTheme="majorEastAsia" w:hAnsiTheme="majorEastAsia" w:eastAsiaTheme="majorEastAsia"/>
                <w:b/>
                <w:szCs w:val="21"/>
              </w:rPr>
            </w:pPr>
          </w:p>
        </w:tc>
        <w:tc>
          <w:tcPr>
            <w:tcW w:w="738" w:type="dxa"/>
            <w:vAlign w:val="center"/>
          </w:tcPr>
          <w:p>
            <w:pPr>
              <w:spacing w:line="300" w:lineRule="exact"/>
              <w:jc w:val="right"/>
              <w:rPr>
                <w:rFonts w:asciiTheme="majorEastAsia" w:hAnsiTheme="majorEastAsia" w:eastAsiaTheme="majorEastAsia"/>
                <w:b/>
                <w:szCs w:val="21"/>
              </w:rPr>
            </w:pPr>
          </w:p>
        </w:tc>
        <w:tc>
          <w:tcPr>
            <w:tcW w:w="836" w:type="dxa"/>
            <w:vAlign w:val="center"/>
          </w:tcPr>
          <w:p>
            <w:pPr>
              <w:spacing w:line="300" w:lineRule="exact"/>
              <w:jc w:val="right"/>
              <w:rPr>
                <w:rFonts w:asciiTheme="majorEastAsia" w:hAnsiTheme="majorEastAsia" w:eastAsiaTheme="majorEastAsia"/>
                <w:b/>
                <w:szCs w:val="21"/>
              </w:rPr>
            </w:pPr>
          </w:p>
        </w:tc>
        <w:tc>
          <w:tcPr>
            <w:tcW w:w="836" w:type="dxa"/>
            <w:vAlign w:val="center"/>
          </w:tcPr>
          <w:p>
            <w:pPr>
              <w:spacing w:line="300" w:lineRule="exact"/>
              <w:jc w:val="right"/>
              <w:rPr>
                <w:rFonts w:asciiTheme="majorEastAsia" w:hAnsiTheme="majorEastAsia" w:eastAsiaTheme="majorEastAsia"/>
                <w:b/>
                <w:szCs w:val="21"/>
              </w:rPr>
            </w:pPr>
          </w:p>
        </w:tc>
        <w:tc>
          <w:tcPr>
            <w:tcW w:w="836" w:type="dxa"/>
            <w:vAlign w:val="center"/>
          </w:tcPr>
          <w:p>
            <w:pPr>
              <w:spacing w:line="300" w:lineRule="exact"/>
              <w:jc w:val="right"/>
              <w:rPr>
                <w:rFonts w:asciiTheme="majorEastAsia" w:hAnsiTheme="majorEastAsia" w:eastAsiaTheme="majorEastAsia"/>
                <w:b/>
                <w:szCs w:val="21"/>
              </w:rPr>
            </w:pPr>
          </w:p>
        </w:tc>
        <w:tc>
          <w:tcPr>
            <w:tcW w:w="836" w:type="dxa"/>
            <w:vAlign w:val="center"/>
          </w:tcPr>
          <w:p>
            <w:pPr>
              <w:spacing w:line="300" w:lineRule="exact"/>
              <w:jc w:val="right"/>
              <w:rPr>
                <w:rFonts w:asciiTheme="majorEastAsia" w:hAnsiTheme="majorEastAsia" w:eastAsiaTheme="majorEastAsia"/>
                <w:b/>
                <w:szCs w:val="21"/>
              </w:rPr>
            </w:pPr>
          </w:p>
        </w:tc>
        <w:tc>
          <w:tcPr>
            <w:tcW w:w="841" w:type="dxa"/>
            <w:vAlign w:val="center"/>
          </w:tcPr>
          <w:p>
            <w:pPr>
              <w:spacing w:line="300" w:lineRule="exact"/>
              <w:jc w:val="right"/>
              <w:rPr>
                <w:rFonts w:asciiTheme="majorEastAsia" w:hAnsiTheme="majorEastAsia" w:eastAsiaTheme="majorEastAsia"/>
                <w:b/>
                <w:szCs w:val="21"/>
              </w:rPr>
            </w:pPr>
          </w:p>
        </w:tc>
        <w:tc>
          <w:tcPr>
            <w:tcW w:w="849" w:type="dxa"/>
            <w:vAlign w:val="center"/>
          </w:tcPr>
          <w:p>
            <w:pPr>
              <w:spacing w:line="300" w:lineRule="exact"/>
              <w:jc w:val="right"/>
              <w:rPr>
                <w:rFonts w:asciiTheme="majorEastAsia" w:hAnsiTheme="majorEastAsia" w:eastAsiaTheme="majorEastAsia"/>
                <w:b/>
                <w:szCs w:val="21"/>
              </w:rPr>
            </w:pPr>
          </w:p>
        </w:tc>
        <w:tc>
          <w:tcPr>
            <w:tcW w:w="806" w:type="dxa"/>
            <w:vAlign w:val="center"/>
          </w:tcPr>
          <w:p>
            <w:pPr>
              <w:spacing w:line="300" w:lineRule="exact"/>
              <w:jc w:val="right"/>
              <w:rPr>
                <w:rFonts w:asciiTheme="majorEastAsia" w:hAnsiTheme="majorEastAsia" w:eastAsiaTheme="majorEastAsia"/>
                <w:b/>
                <w:szCs w:val="21"/>
              </w:rPr>
            </w:pPr>
          </w:p>
        </w:tc>
      </w:tr>
    </w:tbl>
    <w:p>
      <w:pPr>
        <w:spacing w:line="500" w:lineRule="exact"/>
        <w:ind w:firstLine="480" w:firstLineChars="150"/>
        <w:rPr>
          <w:rFonts w:ascii="仿宋" w:hAnsi="仿宋" w:eastAsia="仿宋"/>
          <w:sz w:val="32"/>
          <w:szCs w:val="32"/>
          <w:lang w:eastAsia="zh-CN"/>
        </w:rPr>
      </w:pPr>
    </w:p>
    <w:p>
      <w:pPr>
        <w:spacing w:line="500" w:lineRule="exact"/>
        <w:ind w:firstLine="630"/>
        <w:rPr>
          <w:rFonts w:ascii="黑体" w:hAnsi="黑体" w:eastAsia="黑体" w:cs="仿宋_GB2312"/>
          <w:bCs/>
          <w:sz w:val="32"/>
          <w:szCs w:val="32"/>
          <w:lang w:eastAsia="zh-CN"/>
        </w:rPr>
      </w:pPr>
    </w:p>
    <w:p>
      <w:pPr>
        <w:spacing w:line="500" w:lineRule="exact"/>
        <w:ind w:firstLine="944" w:firstLineChars="295"/>
        <w:rPr>
          <w:rFonts w:ascii="黑体" w:hAnsi="黑体" w:eastAsia="黑体" w:cs="仿宋_GB2312"/>
          <w:sz w:val="32"/>
          <w:szCs w:val="32"/>
        </w:rPr>
      </w:pPr>
      <w:r>
        <w:rPr>
          <w:rFonts w:hint="eastAsia" w:ascii="黑体" w:hAnsi="黑体" w:eastAsia="黑体" w:cs="仿宋_GB2312"/>
          <w:bCs/>
          <w:sz w:val="32"/>
          <w:szCs w:val="32"/>
        </w:rPr>
        <w:t>七、国有资产信息情况</w:t>
      </w:r>
    </w:p>
    <w:p>
      <w:pPr>
        <w:spacing w:line="500" w:lineRule="exact"/>
        <w:ind w:firstLine="1040" w:firstLineChars="325"/>
        <w:rPr>
          <w:rFonts w:ascii="仿宋" w:hAnsi="仿宋" w:eastAsia="仿宋" w:cs="仿宋_GB2312"/>
          <w:sz w:val="32"/>
          <w:szCs w:val="32"/>
          <w:lang w:eastAsia="zh-CN"/>
        </w:rPr>
      </w:pPr>
      <w:r>
        <w:rPr>
          <w:rFonts w:hint="eastAsia" w:ascii="仿宋" w:hAnsi="仿宋" w:eastAsia="仿宋" w:cs="仿宋_GB2312"/>
          <w:sz w:val="32"/>
          <w:szCs w:val="32"/>
        </w:rPr>
        <w:t>2022年我单位无购置固定资产情况，空表列式。</w:t>
      </w:r>
    </w:p>
    <w:p>
      <w:pPr>
        <w:spacing w:line="500" w:lineRule="exact"/>
        <w:ind w:firstLine="561"/>
        <w:rPr>
          <w:rFonts w:ascii="仿宋" w:hAnsi="仿宋" w:eastAsia="仿宋" w:cs="仿宋_GB2312"/>
          <w:sz w:val="32"/>
          <w:szCs w:val="32"/>
          <w:lang w:eastAsia="zh-CN"/>
        </w:rPr>
      </w:pPr>
    </w:p>
    <w:tbl>
      <w:tblPr>
        <w:tblStyle w:val="11"/>
        <w:tblW w:w="8522" w:type="dxa"/>
        <w:tblInd w:w="2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1290"/>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jc w:val="center"/>
              <w:rPr>
                <w:rFonts w:cs="仿宋_GB2312" w:asciiTheme="majorEastAsia" w:hAnsiTheme="majorEastAsia" w:eastAsiaTheme="majorEastAsia"/>
                <w:b/>
                <w:bCs/>
                <w:szCs w:val="21"/>
                <w:lang w:eastAsia="zh-CN"/>
              </w:rPr>
            </w:pPr>
            <w:r>
              <w:rPr>
                <w:rFonts w:hint="eastAsia" w:cs="仿宋_GB2312" w:asciiTheme="majorEastAsia" w:hAnsiTheme="majorEastAsia" w:eastAsiaTheme="majorEastAsia"/>
                <w:b/>
                <w:bCs/>
                <w:szCs w:val="21"/>
              </w:rPr>
              <w:t>项   目</w:t>
            </w:r>
          </w:p>
        </w:tc>
        <w:tc>
          <w:tcPr>
            <w:tcW w:w="1290" w:type="dxa"/>
          </w:tcPr>
          <w:p>
            <w:pPr>
              <w:jc w:val="cente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数量</w:t>
            </w:r>
          </w:p>
        </w:tc>
        <w:tc>
          <w:tcPr>
            <w:tcW w:w="2791" w:type="dxa"/>
          </w:tcPr>
          <w:p>
            <w:pPr>
              <w:jc w:val="cente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固定资产总额</w:t>
            </w:r>
          </w:p>
        </w:tc>
        <w:tc>
          <w:tcPr>
            <w:tcW w:w="1290" w:type="dxa"/>
          </w:tcPr>
          <w:p>
            <w:pPr>
              <w:jc w:val="center"/>
              <w:rPr>
                <w:rFonts w:cs="仿宋_GB2312" w:asciiTheme="majorEastAsia" w:hAnsiTheme="majorEastAsia" w:eastAsiaTheme="majorEastAsia"/>
                <w:szCs w:val="21"/>
                <w:lang w:eastAsia="zh-CN"/>
              </w:rPr>
            </w:pPr>
          </w:p>
        </w:tc>
        <w:tc>
          <w:tcPr>
            <w:tcW w:w="2791" w:type="dxa"/>
          </w:tcPr>
          <w:p>
            <w:pPr>
              <w:jc w:val="center"/>
              <w:rPr>
                <w:rFonts w:cs="仿宋_GB2312" w:asciiTheme="majorEastAsia" w:hAnsiTheme="majorEastAsia" w:eastAsiaTheme="majorEastAsia"/>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1、房屋(平方米）</w:t>
            </w:r>
          </w:p>
        </w:tc>
        <w:tc>
          <w:tcPr>
            <w:tcW w:w="1290" w:type="dxa"/>
          </w:tcPr>
          <w:p>
            <w:pPr>
              <w:jc w:val="center"/>
              <w:rPr>
                <w:rFonts w:cs="仿宋_GB2312" w:asciiTheme="majorEastAsia" w:hAnsiTheme="majorEastAsia" w:eastAsiaTheme="majorEastAsia"/>
                <w:szCs w:val="21"/>
              </w:rPr>
            </w:pP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其中：办公用房(平方米）</w:t>
            </w:r>
          </w:p>
        </w:tc>
        <w:tc>
          <w:tcPr>
            <w:tcW w:w="1290" w:type="dxa"/>
          </w:tcPr>
          <w:p>
            <w:pPr>
              <w:jc w:val="center"/>
              <w:rPr>
                <w:rFonts w:cs="仿宋_GB2312" w:asciiTheme="majorEastAsia" w:hAnsiTheme="majorEastAsia" w:eastAsiaTheme="majorEastAsia"/>
                <w:szCs w:val="21"/>
              </w:rPr>
            </w:pP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2、车辆（台、辆）</w:t>
            </w:r>
          </w:p>
        </w:tc>
        <w:tc>
          <w:tcPr>
            <w:tcW w:w="1290" w:type="dxa"/>
          </w:tcPr>
          <w:p>
            <w:pPr>
              <w:jc w:val="center"/>
              <w:rPr>
                <w:rFonts w:cs="仿宋_GB2312" w:asciiTheme="majorEastAsia" w:hAnsiTheme="majorEastAsia" w:eastAsiaTheme="majorEastAsia"/>
                <w:szCs w:val="21"/>
                <w:lang w:eastAsia="zh-CN"/>
              </w:rPr>
            </w:pPr>
          </w:p>
        </w:tc>
        <w:tc>
          <w:tcPr>
            <w:tcW w:w="2791" w:type="dxa"/>
          </w:tcPr>
          <w:p>
            <w:pPr>
              <w:jc w:val="center"/>
              <w:rPr>
                <w:rFonts w:cs="仿宋_GB2312" w:asciiTheme="majorEastAsia" w:hAnsiTheme="majorEastAsia" w:eastAsiaTheme="majorEastAsia"/>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3、单价在20万元以上的设备</w:t>
            </w:r>
          </w:p>
        </w:tc>
        <w:tc>
          <w:tcPr>
            <w:tcW w:w="1290" w:type="dxa"/>
          </w:tcPr>
          <w:p>
            <w:pPr>
              <w:jc w:val="center"/>
              <w:rPr>
                <w:rFonts w:cs="仿宋_GB2312" w:asciiTheme="majorEastAsia" w:hAnsiTheme="majorEastAsia" w:eastAsiaTheme="majorEastAsia"/>
                <w:szCs w:val="21"/>
              </w:rPr>
            </w:pP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4、其他固定资产</w:t>
            </w:r>
          </w:p>
        </w:tc>
        <w:tc>
          <w:tcPr>
            <w:tcW w:w="1290" w:type="dxa"/>
          </w:tcPr>
          <w:p>
            <w:pPr>
              <w:jc w:val="center"/>
              <w:rPr>
                <w:rFonts w:cs="仿宋_GB2312" w:asciiTheme="majorEastAsia" w:hAnsiTheme="majorEastAsia" w:eastAsiaTheme="majorEastAsia"/>
                <w:szCs w:val="21"/>
              </w:rPr>
            </w:pPr>
          </w:p>
        </w:tc>
        <w:tc>
          <w:tcPr>
            <w:tcW w:w="2791" w:type="dxa"/>
          </w:tcPr>
          <w:p>
            <w:pPr>
              <w:jc w:val="center"/>
              <w:rPr>
                <w:rFonts w:cs="仿宋_GB2312" w:asciiTheme="majorEastAsia" w:hAnsiTheme="majorEastAsia" w:eastAsiaTheme="majorEastAsia"/>
                <w:szCs w:val="21"/>
              </w:rPr>
            </w:pPr>
          </w:p>
        </w:tc>
      </w:tr>
    </w:tbl>
    <w:p>
      <w:pPr>
        <w:spacing w:line="500" w:lineRule="exact"/>
        <w:ind w:firstLine="561"/>
        <w:rPr>
          <w:rFonts w:ascii="仿宋" w:hAnsi="仿宋" w:eastAsia="仿宋" w:cs="仿宋_GB2312"/>
          <w:sz w:val="32"/>
          <w:szCs w:val="32"/>
          <w:lang w:eastAsia="zh-CN"/>
        </w:rPr>
      </w:pPr>
    </w:p>
    <w:p>
      <w:pPr>
        <w:spacing w:line="500" w:lineRule="exact"/>
        <w:ind w:firstLine="561"/>
        <w:rPr>
          <w:rFonts w:ascii="仿宋" w:hAnsi="仿宋" w:eastAsia="仿宋" w:cs="仿宋_GB2312"/>
          <w:sz w:val="32"/>
          <w:szCs w:val="32"/>
          <w:lang w:eastAsia="zh-CN"/>
        </w:rPr>
      </w:pPr>
    </w:p>
    <w:p>
      <w:pPr>
        <w:spacing w:line="500" w:lineRule="exact"/>
        <w:ind w:firstLine="627" w:firstLineChars="196"/>
        <w:rPr>
          <w:rFonts w:ascii="黑体" w:hAnsi="黑体" w:eastAsia="黑体" w:cs="黑体"/>
          <w:bCs/>
          <w:sz w:val="32"/>
          <w:szCs w:val="32"/>
        </w:rPr>
      </w:pPr>
      <w:r>
        <w:rPr>
          <w:rFonts w:hint="eastAsia" w:ascii="黑体" w:hAnsi="黑体" w:eastAsia="黑体" w:cs="黑体"/>
          <w:bCs/>
          <w:sz w:val="32"/>
          <w:szCs w:val="32"/>
        </w:rPr>
        <w:t>八、专业名词解释</w:t>
      </w:r>
    </w:p>
    <w:p>
      <w:pPr>
        <w:spacing w:line="500" w:lineRule="exact"/>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9"/>
        <w:spacing w:line="500" w:lineRule="exact"/>
        <w:ind w:firstLine="578" w:firstLineChars="180"/>
        <w:rPr>
          <w:rFonts w:ascii="仿宋" w:hAnsi="仿宋" w:eastAsia="仿宋" w:cs="仿宋_GB2312"/>
          <w:sz w:val="32"/>
          <w:szCs w:val="32"/>
        </w:rPr>
      </w:pPr>
      <w:r>
        <w:rPr>
          <w:rStyle w:val="13"/>
          <w:rFonts w:ascii="仿宋" w:hAnsi="仿宋" w:eastAsia="仿宋" w:cs="仿宋_GB2312"/>
          <w:sz w:val="32"/>
          <w:szCs w:val="32"/>
          <w:shd w:val="clear" w:color="auto" w:fill="FFFFFF"/>
        </w:rPr>
        <w:t>2</w:t>
      </w:r>
      <w:r>
        <w:rPr>
          <w:rStyle w:val="13"/>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9"/>
        <w:spacing w:line="500" w:lineRule="exact"/>
        <w:ind w:firstLine="578" w:firstLineChars="180"/>
        <w:rPr>
          <w:rFonts w:ascii="仿宋" w:hAnsi="仿宋" w:eastAsia="仿宋"/>
          <w:sz w:val="32"/>
          <w:szCs w:val="32"/>
        </w:rPr>
      </w:pPr>
      <w:r>
        <w:rPr>
          <w:rStyle w:val="13"/>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9"/>
        <w:spacing w:line="500" w:lineRule="exact"/>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9"/>
        <w:spacing w:line="500" w:lineRule="exact"/>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line="500" w:lineRule="exact"/>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40" w:firstLineChars="200"/>
        <w:rPr>
          <w:rFonts w:ascii="仿宋" w:hAnsi="仿宋" w:eastAsia="仿宋" w:cs="黑体"/>
          <w:b/>
          <w:sz w:val="32"/>
          <w:szCs w:val="32"/>
        </w:rPr>
      </w:pPr>
      <w:r>
        <w:rPr>
          <w:rFonts w:hint="eastAsia" w:ascii="黑体" w:hAnsi="黑体" w:eastAsia="黑体" w:cs="黑体"/>
          <w:bCs/>
          <w:sz w:val="32"/>
          <w:szCs w:val="32"/>
        </w:rPr>
        <w:t>九、其他需要说明的事项</w:t>
      </w:r>
    </w:p>
    <w:p>
      <w:pPr>
        <w:spacing w:line="50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rPr>
        <w:t>我单位无其他需要说明的事项。</w:t>
      </w:r>
    </w:p>
    <w:bookmarkEnd w:id="8"/>
    <w:p>
      <w:pPr>
        <w:spacing w:before="10" w:after="10" w:line="360" w:lineRule="auto"/>
        <w:outlineLvl w:val="2"/>
        <w:rPr>
          <w:rFonts w:eastAsiaTheme="minorEastAsia"/>
          <w:vanish/>
          <w:lang w:eastAsia="zh-CN"/>
        </w:rPr>
      </w:pPr>
    </w:p>
    <w:sectPr>
      <w:footerReference r:id="rId10" w:type="default"/>
      <w:footerReference r:id="rId11" w:type="even"/>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924714"/>
    </w:sdtPr>
    <w:sdtContent>
      <w:p>
        <w:pPr>
          <w:pStyle w:val="4"/>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0"/>
    </w:sdtPr>
    <w:sdtContent>
      <w:p>
        <w:pPr>
          <w:pStyle w:val="4"/>
          <w:jc w:val="right"/>
        </w:pPr>
        <w:r>
          <w:fldChar w:fldCharType="begin"/>
        </w:r>
        <w:r>
          <w:instrText xml:space="preserve"> PAGE   \* MERGEFORMAT </w:instrText>
        </w:r>
        <w:r>
          <w:fldChar w:fldCharType="separate"/>
        </w:r>
        <w:r>
          <w:rPr>
            <w:lang w:val="zh-CN"/>
          </w:rPr>
          <w:t>9</w:t>
        </w:r>
        <w:r>
          <w:rPr>
            <w:lang w:val="zh-CN"/>
          </w:rPr>
          <w:fldChar w:fldCharType="end"/>
        </w:r>
      </w:p>
    </w:sdtContent>
  </w:sdt>
  <w:p>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1"/>
    </w:sdtPr>
    <w:sdtContent>
      <w:p>
        <w:pPr>
          <w:pStyle w:val="4"/>
          <w:jc w:val="right"/>
        </w:pPr>
        <w:r>
          <w:fldChar w:fldCharType="begin"/>
        </w:r>
        <w:r>
          <w:instrText xml:space="preserve"> PAGE   \* MERGEFORMAT </w:instrText>
        </w:r>
        <w:r>
          <w:fldChar w:fldCharType="separate"/>
        </w:r>
        <w:r>
          <w:rPr>
            <w:lang w:val="zh-CN"/>
          </w:rPr>
          <w:t>22</w:t>
        </w:r>
        <w:r>
          <w:rPr>
            <w:lang w:val="zh-CN"/>
          </w:rPr>
          <w:fldChar w:fldCharType="end"/>
        </w:r>
      </w:p>
    </w:sdtContent>
  </w:sdt>
  <w:p>
    <w:pPr>
      <w:pStyle w:val="4"/>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21</w:t>
    </w:r>
    <w:r>
      <w:rPr>
        <w:rStyle w:val="14"/>
      </w:rPr>
      <w:fldChar w:fldCharType="end"/>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924689"/>
    </w:sdtPr>
    <w:sdtContent>
      <w:p>
        <w:pPr>
          <w:pStyle w:val="4"/>
          <w:jc w:val="right"/>
        </w:pPr>
        <w:r>
          <w:fldChar w:fldCharType="begin"/>
        </w:r>
        <w:r>
          <w:instrText xml:space="preserve"> PAGE   \* MERGEFORMAT </w:instrText>
        </w:r>
        <w:r>
          <w:fldChar w:fldCharType="separate"/>
        </w:r>
        <w:r>
          <w:rPr>
            <w:lang w:val="zh-CN"/>
          </w:rPr>
          <w:t>39</w:t>
        </w:r>
        <w:r>
          <w:rPr>
            <w:lang w:val="zh-CN"/>
          </w:rPr>
          <w:fldChar w:fldCharType="end"/>
        </w:r>
      </w:p>
    </w:sdtContent>
  </w:sdt>
  <w:p>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924688"/>
    </w:sdtPr>
    <w:sdtContent>
      <w:p>
        <w:pPr>
          <w:pStyle w:val="4"/>
          <w:jc w:val="right"/>
        </w:pPr>
        <w:r>
          <w:fldChar w:fldCharType="begin"/>
        </w:r>
        <w:r>
          <w:instrText xml:space="preserve"> PAGE   \* MERGEFORMAT </w:instrText>
        </w:r>
        <w:r>
          <w:fldChar w:fldCharType="separate"/>
        </w:r>
        <w:r>
          <w:rPr>
            <w:lang w:val="zh-CN"/>
          </w:rPr>
          <w:t>38</w:t>
        </w:r>
        <w:r>
          <w:rPr>
            <w:lang w:val="zh-CN"/>
          </w:rPr>
          <w:fldChar w:fldCharType="end"/>
        </w:r>
      </w:p>
    </w:sdtContent>
  </w:sdt>
  <w:p>
    <w:pPr>
      <w:pStyle w:val="4"/>
      <w:rPr>
        <w:rFonts w:eastAsiaTheme="minorEastAsia"/>
        <w:lang w:eastAsia="zh-CN"/>
      </w:rPr>
    </w:pPr>
  </w:p>
  <w:p>
    <w:pPr>
      <w:pStyle w:val="4"/>
      <w:rPr>
        <w:rFonts w:eastAsiaTheme="minorEastAsia"/>
        <w:lang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4"/>
      </w:rPr>
    </w:pPr>
    <w:r>
      <w:fldChar w:fldCharType="begin"/>
    </w:r>
    <w:r>
      <w:rPr>
        <w:rStyle w:val="14"/>
      </w:rPr>
      <w:instrText xml:space="preserve">PAGE  </w:instrText>
    </w:r>
    <w:r>
      <w:fldChar w:fldCharType="separate"/>
    </w:r>
    <w:r>
      <w:rPr>
        <w:rStyle w:val="14"/>
      </w:rPr>
      <w:t>41</w:t>
    </w:r>
    <w:r>
      <w:fldChar w:fldCharType="end"/>
    </w:r>
  </w:p>
  <w:p>
    <w:pPr>
      <w:pStyle w:val="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40</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9FB5E2"/>
    <w:multiLevelType w:val="singleLevel"/>
    <w:tmpl w:val="FD9FB5E2"/>
    <w:lvl w:ilvl="0" w:tentative="0">
      <w:start w:val="5"/>
      <w:numFmt w:val="chineseCounting"/>
      <w:suff w:val="nothing"/>
      <w:lvlText w:val="%1、"/>
      <w:lvlJc w:val="left"/>
      <w:rPr>
        <w:rFonts w:hint="eastAsia"/>
      </w:rPr>
    </w:lvl>
  </w:abstractNum>
  <w:abstractNum w:abstractNumId="1">
    <w:nsid w:val="FE9DF610"/>
    <w:multiLevelType w:val="singleLevel"/>
    <w:tmpl w:val="FE9DF610"/>
    <w:lvl w:ilvl="0" w:tentative="0">
      <w:start w:val="4"/>
      <w:numFmt w:val="chineseCounting"/>
      <w:suff w:val="nothing"/>
      <w:lvlText w:val="%1、"/>
      <w:lvlJc w:val="left"/>
      <w:rPr>
        <w:rFonts w:hint="eastAsia"/>
      </w:rPr>
    </w:lvl>
  </w:abstractNum>
  <w:abstractNum w:abstractNumId="2">
    <w:nsid w:val="25671BD2"/>
    <w:multiLevelType w:val="multilevel"/>
    <w:tmpl w:val="25671BD2"/>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GI2M2JiOTE1YjM2YzFhYjhmMjZhZWViODY3NTczYjYifQ=="/>
  </w:docVars>
  <w:rsids>
    <w:rsidRoot w:val="00781D3A"/>
    <w:rsid w:val="00011231"/>
    <w:rsid w:val="00011592"/>
    <w:rsid w:val="00041360"/>
    <w:rsid w:val="00045EAC"/>
    <w:rsid w:val="00047DB0"/>
    <w:rsid w:val="00080679"/>
    <w:rsid w:val="000823B8"/>
    <w:rsid w:val="00086EE1"/>
    <w:rsid w:val="00096121"/>
    <w:rsid w:val="000A25AD"/>
    <w:rsid w:val="000A6E41"/>
    <w:rsid w:val="000B1AA3"/>
    <w:rsid w:val="00104FC4"/>
    <w:rsid w:val="001146B7"/>
    <w:rsid w:val="001531F5"/>
    <w:rsid w:val="001867AE"/>
    <w:rsid w:val="001A53FE"/>
    <w:rsid w:val="001C0AE6"/>
    <w:rsid w:val="001C2717"/>
    <w:rsid w:val="001D40C4"/>
    <w:rsid w:val="001D7814"/>
    <w:rsid w:val="001E3A71"/>
    <w:rsid w:val="001F718A"/>
    <w:rsid w:val="00254A2D"/>
    <w:rsid w:val="002664AA"/>
    <w:rsid w:val="00293E76"/>
    <w:rsid w:val="002C6B13"/>
    <w:rsid w:val="002D4450"/>
    <w:rsid w:val="003120DF"/>
    <w:rsid w:val="00381506"/>
    <w:rsid w:val="003B4E24"/>
    <w:rsid w:val="003D5FE4"/>
    <w:rsid w:val="00404598"/>
    <w:rsid w:val="00413E0E"/>
    <w:rsid w:val="0043717A"/>
    <w:rsid w:val="00443297"/>
    <w:rsid w:val="0044619B"/>
    <w:rsid w:val="0045378E"/>
    <w:rsid w:val="00453AA5"/>
    <w:rsid w:val="00472F0F"/>
    <w:rsid w:val="00493DFC"/>
    <w:rsid w:val="004D4B89"/>
    <w:rsid w:val="004F3560"/>
    <w:rsid w:val="00537F27"/>
    <w:rsid w:val="00554A8C"/>
    <w:rsid w:val="005D73A0"/>
    <w:rsid w:val="005D7899"/>
    <w:rsid w:val="00626C7F"/>
    <w:rsid w:val="00674DD7"/>
    <w:rsid w:val="006A0955"/>
    <w:rsid w:val="006B610F"/>
    <w:rsid w:val="006F2303"/>
    <w:rsid w:val="00731B49"/>
    <w:rsid w:val="00737630"/>
    <w:rsid w:val="00745B1F"/>
    <w:rsid w:val="00761AE7"/>
    <w:rsid w:val="00766B13"/>
    <w:rsid w:val="00781D3A"/>
    <w:rsid w:val="00791CF2"/>
    <w:rsid w:val="007A75B5"/>
    <w:rsid w:val="00821C63"/>
    <w:rsid w:val="008236D4"/>
    <w:rsid w:val="00846E7E"/>
    <w:rsid w:val="00874CA3"/>
    <w:rsid w:val="008912AB"/>
    <w:rsid w:val="008A18A9"/>
    <w:rsid w:val="008D529C"/>
    <w:rsid w:val="008E2711"/>
    <w:rsid w:val="008E7D50"/>
    <w:rsid w:val="00924E5D"/>
    <w:rsid w:val="009B060D"/>
    <w:rsid w:val="009C206B"/>
    <w:rsid w:val="009F7708"/>
    <w:rsid w:val="00A011E5"/>
    <w:rsid w:val="00A44202"/>
    <w:rsid w:val="00A560CA"/>
    <w:rsid w:val="00A60FEC"/>
    <w:rsid w:val="00A62A25"/>
    <w:rsid w:val="00AA2F36"/>
    <w:rsid w:val="00AB7DA1"/>
    <w:rsid w:val="00AE2795"/>
    <w:rsid w:val="00AF196B"/>
    <w:rsid w:val="00B00E54"/>
    <w:rsid w:val="00B06C65"/>
    <w:rsid w:val="00B7231C"/>
    <w:rsid w:val="00BC0518"/>
    <w:rsid w:val="00BF4B9C"/>
    <w:rsid w:val="00C03FA5"/>
    <w:rsid w:val="00C166AA"/>
    <w:rsid w:val="00C361FE"/>
    <w:rsid w:val="00C551BF"/>
    <w:rsid w:val="00C81BF0"/>
    <w:rsid w:val="00C83C69"/>
    <w:rsid w:val="00C83CF1"/>
    <w:rsid w:val="00C84C2E"/>
    <w:rsid w:val="00C92AE3"/>
    <w:rsid w:val="00CA59D1"/>
    <w:rsid w:val="00CB3607"/>
    <w:rsid w:val="00CB56E7"/>
    <w:rsid w:val="00CB6BE0"/>
    <w:rsid w:val="00CD42DC"/>
    <w:rsid w:val="00CF01CE"/>
    <w:rsid w:val="00CF6148"/>
    <w:rsid w:val="00D154EC"/>
    <w:rsid w:val="00D42B1A"/>
    <w:rsid w:val="00D45618"/>
    <w:rsid w:val="00D65798"/>
    <w:rsid w:val="00D67F80"/>
    <w:rsid w:val="00D94246"/>
    <w:rsid w:val="00DB4907"/>
    <w:rsid w:val="00DC041D"/>
    <w:rsid w:val="00DE32C6"/>
    <w:rsid w:val="00DF7C5F"/>
    <w:rsid w:val="00E12C71"/>
    <w:rsid w:val="00E134E3"/>
    <w:rsid w:val="00E6241B"/>
    <w:rsid w:val="00E74548"/>
    <w:rsid w:val="00EC5D82"/>
    <w:rsid w:val="00ED0E5E"/>
    <w:rsid w:val="00ED2EDE"/>
    <w:rsid w:val="00F06270"/>
    <w:rsid w:val="00F37B70"/>
    <w:rsid w:val="00FA7F33"/>
    <w:rsid w:val="00FC0623"/>
    <w:rsid w:val="00FD3D60"/>
    <w:rsid w:val="00FE0F08"/>
    <w:rsid w:val="00FF1CEA"/>
    <w:rsid w:val="023461A7"/>
    <w:rsid w:val="054B4674"/>
    <w:rsid w:val="0773094B"/>
    <w:rsid w:val="1F001077"/>
    <w:rsid w:val="37CF26CA"/>
    <w:rsid w:val="40FB4DEF"/>
    <w:rsid w:val="48BA73C9"/>
    <w:rsid w:val="4A6E08DD"/>
    <w:rsid w:val="4AC565F9"/>
    <w:rsid w:val="5B01542B"/>
    <w:rsid w:val="5B7C797C"/>
    <w:rsid w:val="618868A7"/>
    <w:rsid w:val="633D65DD"/>
    <w:rsid w:val="680E5E2D"/>
    <w:rsid w:val="6DC57C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40"/>
    <w:semiHidden/>
    <w:unhideWhenUsed/>
    <w:qFormat/>
    <w:uiPriority w:val="99"/>
    <w:rPr>
      <w:sz w:val="18"/>
      <w:szCs w:val="18"/>
    </w:rPr>
  </w:style>
  <w:style w:type="paragraph" w:styleId="4">
    <w:name w:val="footer"/>
    <w:basedOn w:val="1"/>
    <w:link w:val="38"/>
    <w:unhideWhenUsed/>
    <w:qFormat/>
    <w:uiPriority w:val="99"/>
    <w:pPr>
      <w:tabs>
        <w:tab w:val="center" w:pos="4153"/>
        <w:tab w:val="right" w:pos="8306"/>
      </w:tabs>
      <w:snapToGrid w:val="0"/>
    </w:pPr>
    <w:rPr>
      <w:sz w:val="18"/>
      <w:szCs w:val="18"/>
    </w:rPr>
  </w:style>
  <w:style w:type="paragraph" w:styleId="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paragraph" w:styleId="9">
    <w:name w:val="Normal (Web)"/>
    <w:basedOn w:val="1"/>
    <w:unhideWhenUsed/>
    <w:qFormat/>
    <w:uiPriority w:val="0"/>
    <w:pPr>
      <w:widowControl w:val="0"/>
    </w:pPr>
    <w:rPr>
      <w:rFonts w:asciiTheme="minorHAnsi" w:hAnsiTheme="minorHAnsi" w:eastAsiaTheme="minorEastAsia" w:cstheme="minorBidi"/>
      <w:szCs w:val="22"/>
      <w:lang w:eastAsia="zh-CN"/>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unhideWhenUsed/>
    <w:qFormat/>
    <w:uiPriority w:val="99"/>
  </w:style>
  <w:style w:type="paragraph" w:customStyle="1" w:styleId="15">
    <w:name w:val="单元格样式22"/>
    <w:basedOn w:val="1"/>
    <w:qFormat/>
    <w:uiPriority w:val="0"/>
    <w:pPr>
      <w:jc w:val="right"/>
    </w:pPr>
    <w:rPr>
      <w:rFonts w:ascii="方正小标宋_GBK" w:hAnsi="方正小标宋_GBK" w:eastAsia="方正小标宋_GBK" w:cs="方正小标宋_GBK"/>
    </w:rPr>
  </w:style>
  <w:style w:type="paragraph" w:customStyle="1" w:styleId="16">
    <w:name w:val="单元格样式21"/>
    <w:basedOn w:val="1"/>
    <w:qFormat/>
    <w:uiPriority w:val="0"/>
    <w:pPr>
      <w:jc w:val="center"/>
    </w:pPr>
    <w:rPr>
      <w:rFonts w:ascii="方正小标宋_GBK" w:hAnsi="方正小标宋_GBK" w:eastAsia="方正小标宋_GBK" w:cs="方正小标宋_GBK"/>
    </w:rPr>
  </w:style>
  <w:style w:type="paragraph" w:customStyle="1" w:styleId="17">
    <w:name w:val="单元格样式20"/>
    <w:basedOn w:val="1"/>
    <w:qFormat/>
    <w:uiPriority w:val="0"/>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0"/>
    <w:pPr>
      <w:jc w:val="right"/>
    </w:pPr>
    <w:rPr>
      <w:rFonts w:ascii="方正书宋_GBK" w:hAnsi="方正书宋_GBK" w:eastAsia="方正书宋_GBK" w:cs="方正书宋_GBK"/>
      <w:sz w:val="21"/>
    </w:rPr>
  </w:style>
  <w:style w:type="paragraph" w:customStyle="1" w:styleId="20">
    <w:name w:val="单元格样式2"/>
    <w:basedOn w:val="1"/>
    <w:qFormat/>
    <w:uiPriority w:val="0"/>
    <w:rPr>
      <w:rFonts w:ascii="方正书宋_GBK" w:hAnsi="方正书宋_GBK" w:eastAsia="方正书宋_GBK" w:cs="方正书宋_GBK"/>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paragraph" w:customStyle="1" w:styleId="22">
    <w:name w:val="单元格样式6"/>
    <w:basedOn w:val="1"/>
    <w:qFormat/>
    <w:uiPriority w:val="0"/>
    <w:pPr>
      <w:jc w:val="center"/>
    </w:pPr>
    <w:rPr>
      <w:rFonts w:ascii="方正书宋_GBK" w:hAnsi="方正书宋_GBK" w:eastAsia="方正书宋_GBK" w:cs="方正书宋_GBK"/>
      <w:b/>
      <w:sz w:val="21"/>
    </w:rPr>
  </w:style>
  <w:style w:type="paragraph" w:customStyle="1" w:styleId="23">
    <w:name w:val="单元格样式7"/>
    <w:basedOn w:val="1"/>
    <w:qFormat/>
    <w:uiPriority w:val="0"/>
    <w:pPr>
      <w:jc w:val="right"/>
    </w:pPr>
    <w:rPr>
      <w:rFonts w:ascii="方正书宋_GBK" w:hAnsi="方正书宋_GBK" w:eastAsia="方正书宋_GBK" w:cs="方正书宋_GBK"/>
      <w:b/>
      <w:sz w:val="21"/>
    </w:rPr>
  </w:style>
  <w:style w:type="paragraph" w:customStyle="1" w:styleId="24">
    <w:name w:val="单元格样式5"/>
    <w:basedOn w:val="1"/>
    <w:qFormat/>
    <w:uiPriority w:val="0"/>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插入文本样式-插入总体目标文件"/>
    <w:basedOn w:val="1"/>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2"/>
    <w:link w:val="5"/>
    <w:qFormat/>
    <w:uiPriority w:val="99"/>
    <w:rPr>
      <w:rFonts w:eastAsia="Times New Roman"/>
      <w:sz w:val="18"/>
      <w:szCs w:val="18"/>
      <w:lang w:eastAsia="uk-UA"/>
    </w:rPr>
  </w:style>
  <w:style w:type="character" w:customStyle="1" w:styleId="38">
    <w:name w:val="页脚 Char"/>
    <w:basedOn w:val="12"/>
    <w:link w:val="4"/>
    <w:qFormat/>
    <w:uiPriority w:val="99"/>
    <w:rPr>
      <w:rFonts w:eastAsia="Times New Roman"/>
      <w:sz w:val="18"/>
      <w:szCs w:val="18"/>
      <w:lang w:eastAsia="uk-UA"/>
    </w:rPr>
  </w:style>
  <w:style w:type="paragraph" w:customStyle="1" w:styleId="39">
    <w:name w:val="列出段落2"/>
    <w:basedOn w:val="1"/>
    <w:qFormat/>
    <w:uiPriority w:val="34"/>
    <w:pPr>
      <w:widowControl w:val="0"/>
      <w:ind w:firstLine="420" w:firstLineChars="200"/>
      <w:jc w:val="both"/>
    </w:pPr>
    <w:rPr>
      <w:rFonts w:ascii="Calibri" w:hAnsi="Calibri" w:eastAsia="宋体"/>
      <w:kern w:val="2"/>
      <w:sz w:val="21"/>
      <w:szCs w:val="22"/>
      <w:lang w:eastAsia="zh-CN"/>
    </w:rPr>
  </w:style>
  <w:style w:type="character" w:customStyle="1" w:styleId="40">
    <w:name w:val="批注框文本 Char"/>
    <w:basedOn w:val="12"/>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4" Type="http://schemas.openxmlformats.org/officeDocument/2006/relationships/fontTable" Target="fontTable.xml"/><Relationship Id="rId53" Type="http://schemas.openxmlformats.org/officeDocument/2006/relationships/customXml" Target="../customXml/item40.xml"/><Relationship Id="rId52" Type="http://schemas.openxmlformats.org/officeDocument/2006/relationships/customXml" Target="../customXml/item39.xml"/><Relationship Id="rId51" Type="http://schemas.openxmlformats.org/officeDocument/2006/relationships/customXml" Target="../customXml/item38.xml"/><Relationship Id="rId50" Type="http://schemas.openxmlformats.org/officeDocument/2006/relationships/customXml" Target="../customXml/item37.xml"/><Relationship Id="rId5" Type="http://schemas.openxmlformats.org/officeDocument/2006/relationships/footer" Target="footer2.xml"/><Relationship Id="rId49" Type="http://schemas.openxmlformats.org/officeDocument/2006/relationships/customXml" Target="../customXml/item36.xml"/><Relationship Id="rId48" Type="http://schemas.openxmlformats.org/officeDocument/2006/relationships/customXml" Target="../customXml/item35.xml"/><Relationship Id="rId47" Type="http://schemas.openxmlformats.org/officeDocument/2006/relationships/customXml" Target="../customXml/item34.xml"/><Relationship Id="rId46" Type="http://schemas.openxmlformats.org/officeDocument/2006/relationships/customXml" Target="../customXml/item33.xml"/><Relationship Id="rId45" Type="http://schemas.openxmlformats.org/officeDocument/2006/relationships/customXml" Target="../customXml/item32.xml"/><Relationship Id="rId44" Type="http://schemas.openxmlformats.org/officeDocument/2006/relationships/customXml" Target="../customXml/item31.xml"/><Relationship Id="rId43" Type="http://schemas.openxmlformats.org/officeDocument/2006/relationships/customXml" Target="../customXml/item30.xml"/><Relationship Id="rId42" Type="http://schemas.openxmlformats.org/officeDocument/2006/relationships/customXml" Target="../customXml/item29.xml"/><Relationship Id="rId41" Type="http://schemas.openxmlformats.org/officeDocument/2006/relationships/customXml" Target="../customXml/item28.xml"/><Relationship Id="rId40" Type="http://schemas.openxmlformats.org/officeDocument/2006/relationships/customXml" Target="../customXml/item27.xml"/><Relationship Id="rId4" Type="http://schemas.openxmlformats.org/officeDocument/2006/relationships/footer" Target="footer1.xml"/><Relationship Id="rId39" Type="http://schemas.openxmlformats.org/officeDocument/2006/relationships/customXml" Target="../customXml/item26.xml"/><Relationship Id="rId38" Type="http://schemas.openxmlformats.org/officeDocument/2006/relationships/customXml" Target="../customXml/item25.xml"/><Relationship Id="rId37" Type="http://schemas.openxmlformats.org/officeDocument/2006/relationships/customXml" Target="../customXml/item24.xml"/><Relationship Id="rId36" Type="http://schemas.openxmlformats.org/officeDocument/2006/relationships/customXml" Target="../customXml/item23.xml"/><Relationship Id="rId35" Type="http://schemas.openxmlformats.org/officeDocument/2006/relationships/customXml" Target="../customXml/item22.xml"/><Relationship Id="rId34" Type="http://schemas.openxmlformats.org/officeDocument/2006/relationships/customXml" Target="../customXml/item21.xml"/><Relationship Id="rId33" Type="http://schemas.openxmlformats.org/officeDocument/2006/relationships/customXml" Target="../customXml/item20.xml"/><Relationship Id="rId32" Type="http://schemas.openxmlformats.org/officeDocument/2006/relationships/customXml" Target="../customXml/item19.xml"/><Relationship Id="rId31" Type="http://schemas.openxmlformats.org/officeDocument/2006/relationships/customXml" Target="../customXml/item18.xml"/><Relationship Id="rId30" Type="http://schemas.openxmlformats.org/officeDocument/2006/relationships/customXml" Target="../customXml/item17.xml"/><Relationship Id="rId3" Type="http://schemas.openxmlformats.org/officeDocument/2006/relationships/header" Target="header1.xml"/><Relationship Id="rId29" Type="http://schemas.openxmlformats.org/officeDocument/2006/relationships/customXml" Target="../customXml/item16.xml"/><Relationship Id="rId28" Type="http://schemas.openxmlformats.org/officeDocument/2006/relationships/customXml" Target="../customXml/item15.xml"/><Relationship Id="rId27" Type="http://schemas.openxmlformats.org/officeDocument/2006/relationships/customXml" Target="../customXml/item14.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6CC41B6-D28D-4EED-B564-F0D3D013B8B1}">
  <ds:schemaRefs/>
</ds:datastoreItem>
</file>

<file path=customXml/itemProps11.xml><?xml version="1.0" encoding="utf-8"?>
<ds:datastoreItem xmlns:ds="http://schemas.openxmlformats.org/officeDocument/2006/customXml" ds:itemID="{82063DCE-E0D9-4D45-94AB-06A5849F123C}">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8807E301-CE3E-48B0-8F1B-BE48F29E1736}">
  <ds:schemaRefs/>
</ds:datastoreItem>
</file>

<file path=customXml/itemProps14.xml><?xml version="1.0" encoding="utf-8"?>
<ds:datastoreItem xmlns:ds="http://schemas.openxmlformats.org/officeDocument/2006/customXml" ds:itemID="{B9E9C162-3959-4E09-8552-3788A3BCB94D}">
  <ds:schemaRefs/>
</ds:datastoreItem>
</file>

<file path=customXml/itemProps15.xml><?xml version="1.0" encoding="utf-8"?>
<ds:datastoreItem xmlns:ds="http://schemas.openxmlformats.org/officeDocument/2006/customXml" ds:itemID="{4074F53B-6AA8-493B-96FF-0D7EB858216C}">
  <ds:schemaRefs/>
</ds:datastoreItem>
</file>

<file path=customXml/itemProps16.xml><?xml version="1.0" encoding="utf-8"?>
<ds:datastoreItem xmlns:ds="http://schemas.openxmlformats.org/officeDocument/2006/customXml" ds:itemID="{127F30A9-AC64-4000-970B-04BBBAF6782F}">
  <ds:schemaRefs/>
</ds:datastoreItem>
</file>

<file path=customXml/itemProps17.xml><?xml version="1.0" encoding="utf-8"?>
<ds:datastoreItem xmlns:ds="http://schemas.openxmlformats.org/officeDocument/2006/customXml" ds:itemID="{B52E45D6-0F3C-4B21-B161-FA591631F8EB}">
  <ds:schemaRefs/>
</ds:datastoreItem>
</file>

<file path=customXml/itemProps18.xml><?xml version="1.0" encoding="utf-8"?>
<ds:datastoreItem xmlns:ds="http://schemas.openxmlformats.org/officeDocument/2006/customXml" ds:itemID="{989DA21E-0CDF-4E3D-84F6-1D172BF7F4B9}">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4D21B174-EFD5-481F-8023-ECD2C99EA6A5}">
  <ds:schemaRefs/>
</ds:datastoreItem>
</file>

<file path=customXml/itemProps20.xml><?xml version="1.0" encoding="utf-8"?>
<ds:datastoreItem xmlns:ds="http://schemas.openxmlformats.org/officeDocument/2006/customXml" ds:itemID="{B8034E79-3EC9-4FB4-8900-8DB566ED87F2}">
  <ds:schemaRefs/>
</ds:datastoreItem>
</file>

<file path=customXml/itemProps21.xml><?xml version="1.0" encoding="utf-8"?>
<ds:datastoreItem xmlns:ds="http://schemas.openxmlformats.org/officeDocument/2006/customXml" ds:itemID="{240D75C0-5405-407A-9D88-451A6C53325C}">
  <ds:schemaRefs/>
</ds:datastoreItem>
</file>

<file path=customXml/itemProps22.xml><?xml version="1.0" encoding="utf-8"?>
<ds:datastoreItem xmlns:ds="http://schemas.openxmlformats.org/officeDocument/2006/customXml" ds:itemID="{E56AD1C2-FB4D-4572-86C7-2470DBB3943B}">
  <ds:schemaRefs/>
</ds:datastoreItem>
</file>

<file path=customXml/itemProps23.xml><?xml version="1.0" encoding="utf-8"?>
<ds:datastoreItem xmlns:ds="http://schemas.openxmlformats.org/officeDocument/2006/customXml" ds:itemID="{DFFE41CD-7795-417D-8B3D-7B7E92ADCE28}">
  <ds:schemaRefs/>
</ds:datastoreItem>
</file>

<file path=customXml/itemProps24.xml><?xml version="1.0" encoding="utf-8"?>
<ds:datastoreItem xmlns:ds="http://schemas.openxmlformats.org/officeDocument/2006/customXml" ds:itemID="{BC8B0B68-B399-4D6D-AE2B-284CCF1A5CB6}">
  <ds:schemaRefs/>
</ds:datastoreItem>
</file>

<file path=customXml/itemProps25.xml><?xml version="1.0" encoding="utf-8"?>
<ds:datastoreItem xmlns:ds="http://schemas.openxmlformats.org/officeDocument/2006/customXml" ds:itemID="{D5DDAF8B-C90E-40EE-B940-CCD547411B81}">
  <ds:schemaRefs/>
</ds:datastoreItem>
</file>

<file path=customXml/itemProps26.xml><?xml version="1.0" encoding="utf-8"?>
<ds:datastoreItem xmlns:ds="http://schemas.openxmlformats.org/officeDocument/2006/customXml" ds:itemID="{CB6B8C05-D526-4E72-8AB4-B1FB0F487636}">
  <ds:schemaRefs/>
</ds:datastoreItem>
</file>

<file path=customXml/itemProps27.xml><?xml version="1.0" encoding="utf-8"?>
<ds:datastoreItem xmlns:ds="http://schemas.openxmlformats.org/officeDocument/2006/customXml" ds:itemID="{907DF196-29BA-4F64-A2E6-9B891D8DA970}">
  <ds:schemaRefs/>
</ds:datastoreItem>
</file>

<file path=customXml/itemProps28.xml><?xml version="1.0" encoding="utf-8"?>
<ds:datastoreItem xmlns:ds="http://schemas.openxmlformats.org/officeDocument/2006/customXml" ds:itemID="{6C8F0DDD-DA95-49D7-BEC9-54BED6023821}">
  <ds:schemaRefs/>
</ds:datastoreItem>
</file>

<file path=customXml/itemProps29.xml><?xml version="1.0" encoding="utf-8"?>
<ds:datastoreItem xmlns:ds="http://schemas.openxmlformats.org/officeDocument/2006/customXml" ds:itemID="{F2B0114A-1BF3-408C-A937-DBD594359DD7}">
  <ds:schemaRefs/>
</ds:datastoreItem>
</file>

<file path=customXml/itemProps3.xml><?xml version="1.0" encoding="utf-8"?>
<ds:datastoreItem xmlns:ds="http://schemas.openxmlformats.org/officeDocument/2006/customXml" ds:itemID="{335668B4-649C-41E0-BC80-7D94ABF681A2}">
  <ds:schemaRefs/>
</ds:datastoreItem>
</file>

<file path=customXml/itemProps30.xml><?xml version="1.0" encoding="utf-8"?>
<ds:datastoreItem xmlns:ds="http://schemas.openxmlformats.org/officeDocument/2006/customXml" ds:itemID="{526561F4-D429-4474-A75E-30A59CF88000}">
  <ds:schemaRefs/>
</ds:datastoreItem>
</file>

<file path=customXml/itemProps31.xml><?xml version="1.0" encoding="utf-8"?>
<ds:datastoreItem xmlns:ds="http://schemas.openxmlformats.org/officeDocument/2006/customXml" ds:itemID="{DD8D39B1-E032-4B64-9020-66CD65ABCD3B}">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BF249A3C-5046-4792-B1C7-86A45BD0F7B3}">
  <ds:schemaRefs/>
</ds:datastoreItem>
</file>

<file path=customXml/itemProps34.xml><?xml version="1.0" encoding="utf-8"?>
<ds:datastoreItem xmlns:ds="http://schemas.openxmlformats.org/officeDocument/2006/customXml" ds:itemID="{BAA19A8D-5B92-489B-B169-BAD91A103344}">
  <ds:schemaRefs/>
</ds:datastoreItem>
</file>

<file path=customXml/itemProps35.xml><?xml version="1.0" encoding="utf-8"?>
<ds:datastoreItem xmlns:ds="http://schemas.openxmlformats.org/officeDocument/2006/customXml" ds:itemID="{53C861AA-3202-421C-8CD6-FE7564D61080}">
  <ds:schemaRefs/>
</ds:datastoreItem>
</file>

<file path=customXml/itemProps36.xml><?xml version="1.0" encoding="utf-8"?>
<ds:datastoreItem xmlns:ds="http://schemas.openxmlformats.org/officeDocument/2006/customXml" ds:itemID="{7DA1E944-597F-4D9A-ADC8-E3A5D62388E9}">
  <ds:schemaRefs/>
</ds:datastoreItem>
</file>

<file path=customXml/itemProps37.xml><?xml version="1.0" encoding="utf-8"?>
<ds:datastoreItem xmlns:ds="http://schemas.openxmlformats.org/officeDocument/2006/customXml" ds:itemID="{9E39FA8A-0D5E-4C72-88C2-A4A5C9D016A3}">
  <ds:schemaRefs/>
</ds:datastoreItem>
</file>

<file path=customXml/itemProps38.xml><?xml version="1.0" encoding="utf-8"?>
<ds:datastoreItem xmlns:ds="http://schemas.openxmlformats.org/officeDocument/2006/customXml" ds:itemID="{55A60376-5F1A-4B58-BE70-A0B8CD8AC393}">
  <ds:schemaRefs/>
</ds:datastoreItem>
</file>

<file path=customXml/itemProps39.xml><?xml version="1.0" encoding="utf-8"?>
<ds:datastoreItem xmlns:ds="http://schemas.openxmlformats.org/officeDocument/2006/customXml" ds:itemID="{328F8FAA-F9B6-48DE-ABD9-772610F9386F}">
  <ds:schemaRefs/>
</ds:datastoreItem>
</file>

<file path=customXml/itemProps4.xml><?xml version="1.0" encoding="utf-8"?>
<ds:datastoreItem xmlns:ds="http://schemas.openxmlformats.org/officeDocument/2006/customXml" ds:itemID="{FF40C868-CD10-4565-BD6F-28B55B247751}">
  <ds:schemaRefs/>
</ds:datastoreItem>
</file>

<file path=customXml/itemProps40.xml><?xml version="1.0" encoding="utf-8"?>
<ds:datastoreItem xmlns:ds="http://schemas.openxmlformats.org/officeDocument/2006/customXml" ds:itemID="{C486A553-0F69-4945-B340-E49BCA32411A}">
  <ds:schemaRefs/>
</ds:datastoreItem>
</file>

<file path=customXml/itemProps5.xml><?xml version="1.0" encoding="utf-8"?>
<ds:datastoreItem xmlns:ds="http://schemas.openxmlformats.org/officeDocument/2006/customXml" ds:itemID="{1C4E702D-2594-4689-8404-84AFD7E73E52}">
  <ds:schemaRefs/>
</ds:datastoreItem>
</file>

<file path=customXml/itemProps6.xml><?xml version="1.0" encoding="utf-8"?>
<ds:datastoreItem xmlns:ds="http://schemas.openxmlformats.org/officeDocument/2006/customXml" ds:itemID="{927546BB-28A9-4183-9889-130B2B46E760}">
  <ds:schemaRefs/>
</ds:datastoreItem>
</file>

<file path=customXml/itemProps7.xml><?xml version="1.0" encoding="utf-8"?>
<ds:datastoreItem xmlns:ds="http://schemas.openxmlformats.org/officeDocument/2006/customXml" ds:itemID="{9B2DCA2B-261B-4FC5-92E2-74D6E9C53092}">
  <ds:schemaRefs/>
</ds:datastoreItem>
</file>

<file path=customXml/itemProps8.xml><?xml version="1.0" encoding="utf-8"?>
<ds:datastoreItem xmlns:ds="http://schemas.openxmlformats.org/officeDocument/2006/customXml" ds:itemID="{6A6DB8E6-5EDD-4508-B255-AD07BCA264C9}">
  <ds:schemaRefs/>
</ds:datastoreItem>
</file>

<file path=customXml/itemProps9.xml><?xml version="1.0" encoding="utf-8"?>
<ds:datastoreItem xmlns:ds="http://schemas.openxmlformats.org/officeDocument/2006/customXml" ds:itemID="{C864F1CC-9C8C-41E6-8FD8-C85E12A440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3072</Words>
  <Characters>17516</Characters>
  <Lines>145</Lines>
  <Paragraphs>41</Paragraphs>
  <TotalTime>3</TotalTime>
  <ScaleCrop>false</ScaleCrop>
  <LinksUpToDate>false</LinksUpToDate>
  <CharactersWithSpaces>20547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2022-06-17T10:02:00Z</dcterms:created>
  <dc:creator>Administrator</dc:creator>
  <cp:lastModifiedBy>小红人</cp:lastModifiedBy>
  <cp:lastPrinted>2022-06-17T09:17:00Z</cp:lastPrinted>
  <dcterms:modified xsi:type="dcterms:W3CDTF">2023-12-29T07:50:51Z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