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val="en-US" w:eastAsia="zh-CN"/>
        </w:rPr>
        <w:t>中国共产党河北省涞水县纪律检查委员会</w:t>
      </w:r>
      <w:r>
        <w:rPr>
          <w:rFonts w:hint="eastAsia" w:ascii="黑体" w:hAnsi="黑体" w:eastAsia="黑体" w:cs="黑体"/>
          <w:b/>
          <w:color w:val="000000"/>
          <w:sz w:val="30"/>
        </w:rPr>
        <w:t>所属单位预算</w:t>
      </w:r>
    </w:p>
    <w:p>
      <w:pPr>
        <w:pStyle w:val="6"/>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val="en-US" w:eastAsia="zh-CN"/>
        </w:rPr>
        <w:t>中国共产党河北省涞水县纪律检查委员会</w:t>
      </w:r>
      <w:r>
        <w:rPr>
          <w:rFonts w:hint="eastAsia"/>
        </w:rPr>
        <w:t>（本级）收支预算</w:t>
      </w:r>
      <w:r>
        <w:tab/>
      </w:r>
      <w:r>
        <w:fldChar w:fldCharType="begin"/>
      </w:r>
      <w:r>
        <w:instrText xml:space="preserve">PAGEREF _Toc_4_4_0000000019 \h</w:instrText>
      </w:r>
      <w:r>
        <w:fldChar w:fldCharType="separate"/>
      </w:r>
      <w:r>
        <w:t>1</w:t>
      </w:r>
      <w:r>
        <w:fldChar w:fldCharType="end"/>
      </w:r>
      <w:r>
        <w:fldChar w:fldCharType="end"/>
      </w:r>
    </w:p>
    <w:p>
      <w:pPr>
        <w:sectPr>
          <w:footerReference r:id="rId4" w:type="default"/>
          <w:headerReference r:id="rId3" w:type="even"/>
          <w:footerReference r:id="rId5" w:type="even"/>
          <w:pgSz w:w="16840" w:h="11900" w:orient="landscape"/>
          <w:pgMar w:top="1587" w:right="1134" w:bottom="1361" w:left="1134" w:header="720" w:footer="720" w:gutter="0"/>
          <w:pgNumType w:start="0"/>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rFonts w:hint="eastAsia"/>
          <w:lang w:eastAsia="zh-CN"/>
        </w:rPr>
        <w:sectPr>
          <w:footerReference r:id="rId6" w:type="default"/>
          <w:footerReference r:id="rId7" w:type="even"/>
          <w:type w:val="continuous"/>
          <w:pgSz w:w="16840" w:h="11900" w:orient="landscape"/>
          <w:pgMar w:top="1361" w:right="1020" w:bottom="1134" w:left="1020" w:header="720" w:footer="720" w:gutter="0"/>
          <w:cols w:space="720" w:num="1"/>
        </w:sectPr>
      </w:pPr>
    </w:p>
    <w:p>
      <w:pPr>
        <w:jc w:val="center"/>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val="en-US" w:eastAsia="zh-CN"/>
        </w:rPr>
        <w:t>中国共产党河北省涞水县纪律检查委员会</w:t>
      </w:r>
      <w:r>
        <w:rPr>
          <w:rFonts w:hint="eastAsia" w:ascii="方正小标宋_GBK" w:hAnsi="方正小标宋_GBK" w:eastAsia="方正小标宋_GBK" w:cs="方正小标宋_GBK"/>
          <w:color w:val="000000"/>
          <w:sz w:val="44"/>
        </w:rPr>
        <w:t>（本级）收支预算</w:t>
      </w:r>
      <w:bookmarkEnd w:id="0"/>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71"/>
        <w:gridCol w:w="4889"/>
        <w:gridCol w:w="1396"/>
        <w:gridCol w:w="5176"/>
        <w:gridCol w:w="2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000" w:type="pct"/>
            <w:gridSpan w:val="5"/>
            <w:tcBorders>
              <w:top w:val="nil"/>
              <w:left w:val="nil"/>
              <w:bottom w:val="nil"/>
              <w:right w:val="nil"/>
            </w:tcBorders>
            <w:shd w:val="clear" w:color="auto" w:fill="auto"/>
            <w:noWrap/>
            <w:vAlign w:val="center"/>
          </w:tcPr>
          <w:p>
            <w:pPr>
              <w:pStyle w:val="2"/>
              <w:bidi w:val="0"/>
              <w:jc w:val="center"/>
              <w:rPr>
                <w:rFonts w:hint="eastAsia" w:ascii="宋体" w:hAnsi="宋体" w:eastAsia="宋体" w:cs="宋体"/>
                <w:i w:val="0"/>
                <w:iCs w:val="0"/>
                <w:color w:val="000000"/>
                <w:szCs w:val="22"/>
                <w:u w:val="none"/>
              </w:rPr>
            </w:pPr>
            <w:r>
              <w:rPr>
                <w:rFonts w:hint="eastAsia" w:ascii="方正小标宋_GBK" w:hAnsi="方正小标宋_GBK" w:eastAsia="方正小标宋_GBK" w:cs="方正小标宋_GBK"/>
                <w:b w:val="0"/>
                <w:color w:val="000000"/>
                <w:kern w:val="0"/>
                <w:sz w:val="36"/>
                <w:szCs w:val="24"/>
                <w:lang w:val="en-US" w:eastAsia="zh-CN" w:bidi="ar-SA"/>
              </w:rPr>
              <w:t>单位预算收支总表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406" w:type="pct"/>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预算单位编码及名称：[222</w:t>
            </w:r>
            <w:r>
              <w:rPr>
                <w:rFonts w:hint="eastAsia" w:ascii="宋体" w:hAnsi="宋体" w:cs="宋体"/>
                <w:i w:val="0"/>
                <w:iCs w:val="0"/>
                <w:color w:val="000000"/>
                <w:kern w:val="0"/>
                <w:sz w:val="22"/>
                <w:szCs w:val="22"/>
                <w:u w:val="none"/>
                <w:lang w:val="en-US" w:eastAsia="zh-CN" w:bidi="ar"/>
              </w:rPr>
              <w:t>001</w:t>
            </w:r>
            <w:r>
              <w:rPr>
                <w:rFonts w:hint="eastAsia" w:ascii="宋体" w:hAnsi="宋体" w:eastAsia="宋体" w:cs="宋体"/>
                <w:i w:val="0"/>
                <w:iCs w:val="0"/>
                <w:color w:val="000000"/>
                <w:kern w:val="0"/>
                <w:sz w:val="22"/>
                <w:szCs w:val="22"/>
                <w:u w:val="none"/>
                <w:lang w:val="en-US" w:eastAsia="zh-CN" w:bidi="ar"/>
              </w:rPr>
              <w:t>]中国共产党河北省涞水县纪律检查委员会</w:t>
            </w:r>
          </w:p>
        </w:tc>
        <w:tc>
          <w:tcPr>
            <w:tcW w:w="1729"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864"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20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收入</w:t>
            </w:r>
          </w:p>
        </w:tc>
        <w:tc>
          <w:tcPr>
            <w:tcW w:w="259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1"/>
                <w:szCs w:val="21"/>
                <w:u w:val="none"/>
              </w:rPr>
            </w:pP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预算数</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栏次</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一、一般公共预算拨款收入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1250.65</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1084.43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二、政府性基金预算拨款收入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三、国有资本经营预算拨款收入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四、财政专户管理资金收入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六、事业单位经营收入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七、上级补助收入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八、附属单位上缴收入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九、其他收入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九、社会保险基金支出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十、卫生健康支出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十一、节能环保支出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十二、城乡社区支出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十三、农林水支出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十四、交通运输支出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十五、资源勘探工业信息等支出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十六、商业服务业等支出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十七、金融支出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十八、援助其他地区支出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十九、自然资源海洋气象等支出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二十、住房保障支出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二十一、粮油物资储备支出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二十二、国有资本经营预算支出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二十三、灾害防治及应急管理支出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二十四、预备费</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二十五、其他支出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二十六、转移性支出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二十七、债务还本支出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二十八、债务付息支出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二十九、债务发行费用支出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三十、抗疫特别国债安排的支出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1250.65</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上年结转结余</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年终结转结余</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收入总计</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1250.65</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支出总计</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1250.65</w:t>
            </w:r>
          </w:p>
        </w:tc>
      </w:tr>
    </w:tbl>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rPr>
          <w:rFonts w:ascii="仿宋" w:hAnsi="仿宋" w:eastAsia="仿宋"/>
          <w:sz w:val="32"/>
          <w:szCs w:val="32"/>
        </w:rPr>
      </w:pPr>
    </w:p>
    <w:tbl>
      <w:tblPr>
        <w:tblStyle w:val="10"/>
        <w:tblW w:w="5091"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0"/>
        <w:gridCol w:w="907"/>
        <w:gridCol w:w="2343"/>
        <w:gridCol w:w="1212"/>
        <w:gridCol w:w="1244"/>
        <w:gridCol w:w="1163"/>
        <w:gridCol w:w="1073"/>
        <w:gridCol w:w="910"/>
        <w:gridCol w:w="920"/>
        <w:gridCol w:w="1251"/>
        <w:gridCol w:w="1590"/>
        <w:gridCol w:w="910"/>
        <w:gridCol w:w="1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000" w:type="pct"/>
            <w:gridSpan w:val="13"/>
            <w:tcBorders>
              <w:top w:val="nil"/>
              <w:left w:val="nil"/>
              <w:bottom w:val="nil"/>
              <w:right w:val="nil"/>
            </w:tcBorders>
            <w:shd w:val="clear" w:color="auto" w:fill="auto"/>
            <w:noWrap/>
            <w:vAlign w:val="center"/>
          </w:tcPr>
          <w:p>
            <w:pPr>
              <w:pStyle w:val="2"/>
              <w:bidi w:val="0"/>
              <w:jc w:val="center"/>
              <w:rPr>
                <w:rFonts w:hint="eastAsia" w:ascii="宋体" w:hAnsi="宋体" w:eastAsia="宋体" w:cs="宋体"/>
                <w:i w:val="0"/>
                <w:iCs w:val="0"/>
                <w:color w:val="000000"/>
                <w:szCs w:val="22"/>
                <w:u w:val="none"/>
              </w:rPr>
            </w:pPr>
            <w:r>
              <w:rPr>
                <w:rFonts w:hint="eastAsia" w:ascii="方正小标宋_GBK" w:hAnsi="方正小标宋_GBK" w:eastAsia="方正小标宋_GBK" w:cs="方正小标宋_GBK"/>
                <w:b w:val="0"/>
                <w:color w:val="000000"/>
                <w:kern w:val="0"/>
                <w:sz w:val="36"/>
                <w:szCs w:val="24"/>
                <w:lang w:val="en-US" w:eastAsia="zh-CN" w:bidi="ar-SA"/>
              </w:rPr>
              <w:t>单位预算收入总表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82" w:type="pct"/>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预算单位编码及名称：[</w:t>
            </w:r>
            <w:r>
              <w:rPr>
                <w:rFonts w:hint="eastAsia" w:ascii="宋体" w:hAnsi="宋体" w:cs="宋体"/>
                <w:i w:val="0"/>
                <w:iCs w:val="0"/>
                <w:color w:val="000000"/>
                <w:kern w:val="0"/>
                <w:sz w:val="22"/>
                <w:szCs w:val="22"/>
                <w:u w:val="none"/>
                <w:lang w:val="en-US" w:eastAsia="zh-CN" w:bidi="ar"/>
              </w:rPr>
              <w:t>222001</w:t>
            </w:r>
            <w:r>
              <w:rPr>
                <w:rFonts w:hint="eastAsia" w:ascii="宋体" w:hAnsi="宋体" w:eastAsia="宋体" w:cs="宋体"/>
                <w:i w:val="0"/>
                <w:iCs w:val="0"/>
                <w:color w:val="000000"/>
                <w:kern w:val="0"/>
                <w:sz w:val="22"/>
                <w:szCs w:val="22"/>
                <w:u w:val="none"/>
                <w:lang w:val="en-US" w:eastAsia="zh-CN" w:bidi="ar"/>
              </w:rPr>
              <w:t>]中国共产党河北省涞水县纪律检查委员会</w:t>
            </w:r>
          </w:p>
        </w:tc>
        <w:tc>
          <w:tcPr>
            <w:tcW w:w="928" w:type="pct"/>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688" w:type="pct"/>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06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w:t>
            </w:r>
          </w:p>
        </w:tc>
        <w:tc>
          <w:tcPr>
            <w:tcW w:w="39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964"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39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财政专户收入</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1250.65</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1250.65</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1250.65</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一般公共服务支出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1084.43</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1084.43</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1084.43</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20111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纪检监察事务</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1084.43</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1084.43</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1084.43</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2011101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行政运行</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764.43</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764.43</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764.43</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2011102</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一般行政管理事务</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320.00</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320.00</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320.00</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2080505</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卫生健康支出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行政事业单位医疗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行政单位医疗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住房保障支出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住房改革支出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2210201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住房公积金</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59"/>
        <w:gridCol w:w="1121"/>
        <w:gridCol w:w="3736"/>
        <w:gridCol w:w="1648"/>
        <w:gridCol w:w="1486"/>
        <w:gridCol w:w="1155"/>
        <w:gridCol w:w="1161"/>
        <w:gridCol w:w="1768"/>
        <w:gridCol w:w="22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000" w:type="pct"/>
            <w:gridSpan w:val="9"/>
            <w:tcBorders>
              <w:top w:val="nil"/>
              <w:left w:val="nil"/>
              <w:bottom w:val="nil"/>
              <w:right w:val="nil"/>
            </w:tcBorders>
            <w:shd w:val="clear" w:color="auto" w:fill="auto"/>
            <w:noWrap/>
            <w:vAlign w:val="center"/>
          </w:tcPr>
          <w:p>
            <w:pPr>
              <w:pStyle w:val="2"/>
              <w:bidi w:val="0"/>
              <w:jc w:val="center"/>
              <w:rPr>
                <w:rFonts w:hint="eastAsia" w:ascii="宋体" w:hAnsi="宋体" w:eastAsia="宋体" w:cs="宋体"/>
                <w:i w:val="0"/>
                <w:iCs w:val="0"/>
                <w:color w:val="000000"/>
                <w:szCs w:val="22"/>
                <w:u w:val="none"/>
              </w:rPr>
            </w:pPr>
            <w:r>
              <w:rPr>
                <w:rFonts w:hint="eastAsia" w:ascii="方正小标宋_GBK" w:hAnsi="方正小标宋_GBK" w:eastAsia="方正小标宋_GBK" w:cs="方正小标宋_GBK"/>
                <w:b w:val="0"/>
                <w:color w:val="000000"/>
                <w:kern w:val="0"/>
                <w:sz w:val="36"/>
                <w:szCs w:val="24"/>
                <w:lang w:val="en-US" w:eastAsia="zh-CN" w:bidi="ar-SA"/>
              </w:rPr>
              <w:t>单位预算支出总表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629" w:type="pct"/>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预算单位编码及名称：[</w:t>
            </w:r>
            <w:r>
              <w:rPr>
                <w:rFonts w:hint="eastAsia" w:ascii="宋体" w:hAnsi="宋体" w:cs="宋体"/>
                <w:i w:val="0"/>
                <w:iCs w:val="0"/>
                <w:color w:val="000000"/>
                <w:kern w:val="0"/>
                <w:sz w:val="22"/>
                <w:szCs w:val="22"/>
                <w:u w:val="none"/>
                <w:lang w:val="en-US" w:eastAsia="zh-CN" w:bidi="ar"/>
              </w:rPr>
              <w:t>222001</w:t>
            </w:r>
            <w:r>
              <w:rPr>
                <w:rFonts w:hint="eastAsia" w:ascii="宋体" w:hAnsi="宋体" w:eastAsia="宋体" w:cs="宋体"/>
                <w:i w:val="0"/>
                <w:iCs w:val="0"/>
                <w:color w:val="000000"/>
                <w:kern w:val="0"/>
                <w:sz w:val="22"/>
                <w:szCs w:val="22"/>
                <w:u w:val="none"/>
                <w:lang w:val="en-US" w:eastAsia="zh-CN" w:bidi="ar"/>
              </w:rPr>
              <w:t>]中国共产党河北省涞水县纪律检查委员会</w:t>
            </w:r>
          </w:p>
        </w:tc>
        <w:tc>
          <w:tcPr>
            <w:tcW w:w="600"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770"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53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支出功能分类科目</w:t>
            </w:r>
          </w:p>
        </w:tc>
        <w:tc>
          <w:tcPr>
            <w:tcW w:w="56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50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基本支出</w:t>
            </w:r>
          </w:p>
        </w:tc>
        <w:tc>
          <w:tcPr>
            <w:tcW w:w="39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项目支出</w:t>
            </w:r>
          </w:p>
        </w:tc>
        <w:tc>
          <w:tcPr>
            <w:tcW w:w="39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经营支出</w:t>
            </w:r>
          </w:p>
        </w:tc>
        <w:tc>
          <w:tcPr>
            <w:tcW w:w="60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上缴上级支出</w:t>
            </w:r>
          </w:p>
        </w:tc>
        <w:tc>
          <w:tcPr>
            <w:tcW w:w="77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科目编码</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科目名称</w:t>
            </w:r>
          </w:p>
        </w:tc>
        <w:tc>
          <w:tcPr>
            <w:tcW w:w="56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5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39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77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栏次</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1250.65</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930.65</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320.00</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一般公共服务支出</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1084.43</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764.43</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320.00</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20111</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纪检监察事务</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1084.43</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764.43</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320.00</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2011101</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行政运行</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764.43</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764.43</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2011102</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一般行政管理事务</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320.00</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320.00</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2080505</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卫生健康支出</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行政事业单位医疗</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2101101</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行政单位医疗</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住房保障支出</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住房改革支出</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2210201</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住房公积金</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rPr>
          <w:rFonts w:ascii="仿宋" w:hAnsi="仿宋" w:eastAsia="仿宋"/>
          <w:sz w:val="32"/>
          <w:szCs w:val="32"/>
        </w:rPr>
      </w:pP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3"/>
        <w:gridCol w:w="2535"/>
        <w:gridCol w:w="853"/>
        <w:gridCol w:w="3562"/>
        <w:gridCol w:w="924"/>
        <w:gridCol w:w="1640"/>
        <w:gridCol w:w="2348"/>
        <w:gridCol w:w="25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000" w:type="pct"/>
            <w:gridSpan w:val="8"/>
            <w:tcBorders>
              <w:top w:val="nil"/>
              <w:left w:val="nil"/>
              <w:bottom w:val="nil"/>
              <w:right w:val="nil"/>
            </w:tcBorders>
            <w:shd w:val="clear" w:color="auto" w:fill="auto"/>
            <w:noWrap/>
            <w:vAlign w:val="center"/>
          </w:tcPr>
          <w:p>
            <w:pPr>
              <w:pStyle w:val="2"/>
              <w:bidi w:val="0"/>
              <w:jc w:val="center"/>
              <w:rPr>
                <w:rFonts w:hint="eastAsia" w:ascii="宋体" w:hAnsi="宋体" w:eastAsia="宋体" w:cs="宋体"/>
                <w:i w:val="0"/>
                <w:iCs w:val="0"/>
                <w:color w:val="000000"/>
                <w:szCs w:val="22"/>
                <w:u w:val="none"/>
              </w:rPr>
            </w:pPr>
            <w:r>
              <w:rPr>
                <w:rFonts w:hint="eastAsia" w:ascii="方正小标宋_GBK" w:hAnsi="方正小标宋_GBK" w:eastAsia="方正小标宋_GBK" w:cs="方正小标宋_GBK"/>
                <w:b w:val="0"/>
                <w:color w:val="000000"/>
                <w:kern w:val="0"/>
                <w:sz w:val="36"/>
                <w:szCs w:val="24"/>
                <w:lang w:val="en-US" w:eastAsia="zh-CN" w:bidi="ar-SA"/>
              </w:rPr>
              <w:t>单位预算财政拨款收支总表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68" w:type="pct"/>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预算单位编码及名称：[</w:t>
            </w:r>
            <w:r>
              <w:rPr>
                <w:rFonts w:hint="eastAsia" w:ascii="宋体" w:hAnsi="宋体" w:cs="宋体"/>
                <w:i w:val="0"/>
                <w:iCs w:val="0"/>
                <w:color w:val="000000"/>
                <w:kern w:val="0"/>
                <w:sz w:val="22"/>
                <w:szCs w:val="22"/>
                <w:u w:val="none"/>
                <w:lang w:val="en-US" w:eastAsia="zh-CN" w:bidi="ar"/>
              </w:rPr>
              <w:t>222001</w:t>
            </w:r>
            <w:r>
              <w:rPr>
                <w:rFonts w:hint="eastAsia" w:ascii="宋体" w:hAnsi="宋体" w:eastAsia="宋体" w:cs="宋体"/>
                <w:i w:val="0"/>
                <w:iCs w:val="0"/>
                <w:color w:val="000000"/>
                <w:kern w:val="0"/>
                <w:sz w:val="22"/>
                <w:szCs w:val="22"/>
                <w:u w:val="none"/>
                <w:lang w:val="en-US" w:eastAsia="zh-CN" w:bidi="ar"/>
              </w:rPr>
              <w:t>]中国共产党河北省涞水县纪律检查委员会</w:t>
            </w:r>
          </w:p>
        </w:tc>
        <w:tc>
          <w:tcPr>
            <w:tcW w:w="781"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849"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12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收入</w:t>
            </w:r>
          </w:p>
        </w:tc>
        <w:tc>
          <w:tcPr>
            <w:tcW w:w="367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金额</w:t>
            </w: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一般公共预算财政拨款</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政府性基金预算财政拨款</w:t>
            </w: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栏次</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w:t>
            </w: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一、一般公共预算拨款</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1250.65</w:t>
            </w: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一、一般公共服务支出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1084.43</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1084.43</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二、政府性基金预算拨款</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二、外交支出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三、国有资本经营预算拨款</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三、国防支出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四、公共安全支出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五、教育支出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六、科学技术支出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七、文化旅游体育与传媒支出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八、社会保障和就业支出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九、社会保险基金支出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十、卫生健康支出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十一、节能环保支出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十二、城乡社区支出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十三、农林水支出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十四、交通运输支出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十五、资源勘探工业信息等支出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十六、商业服务业等支出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十七、金融支出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十八、援助其他地区支出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十九、自然资源海洋气象等支出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二十、住房保障支出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二十一、粮油物资储备支出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二十二、国有资本经营预算支出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二十三、灾害防治及应急管理支出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二十四、预备费</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二十五、其他支出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二十六、转移性支出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27</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二十七、债务还本支出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28</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二十八、债务付息支出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29</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二十九、债务发行费用支出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三十、抗疫特别国债安排的支出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31</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本年收入合计</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1250.65</w:t>
            </w: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本年支出合计</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1250.65</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1250.65</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年初财政拨款结转和结余</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年末财政拨款结转和结余</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一、一般公共预算拨款</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34</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二、政府性基金预算拨款</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三、国有资本经营预算拨款</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36</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收入总计</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1250.65</w:t>
            </w: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支出总计</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1250.65</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1250.65</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rPr>
          <w:rFonts w:ascii="仿宋" w:hAnsi="仿宋" w:eastAsia="仿宋"/>
          <w:sz w:val="32"/>
          <w:szCs w:val="32"/>
        </w:rPr>
      </w:pPr>
    </w:p>
    <w:p>
      <w:pPr>
        <w:rPr>
          <w:rFonts w:ascii="仿宋" w:hAnsi="仿宋" w:eastAsia="仿宋"/>
          <w:sz w:val="32"/>
          <w:szCs w:val="32"/>
        </w:rPr>
      </w:pP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29"/>
        <w:gridCol w:w="1381"/>
        <w:gridCol w:w="4727"/>
        <w:gridCol w:w="1186"/>
        <w:gridCol w:w="1045"/>
        <w:gridCol w:w="1399"/>
        <w:gridCol w:w="2216"/>
        <w:gridCol w:w="22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000" w:type="pct"/>
            <w:gridSpan w:val="8"/>
            <w:tcBorders>
              <w:top w:val="nil"/>
              <w:left w:val="nil"/>
              <w:bottom w:val="nil"/>
              <w:right w:val="nil"/>
            </w:tcBorders>
            <w:shd w:val="clear" w:color="auto" w:fill="auto"/>
            <w:noWrap/>
            <w:vAlign w:val="center"/>
          </w:tcPr>
          <w:p>
            <w:pPr>
              <w:pStyle w:val="2"/>
              <w:bidi w:val="0"/>
              <w:jc w:val="center"/>
              <w:rPr>
                <w:rFonts w:hint="eastAsia" w:ascii="宋体" w:hAnsi="宋体" w:eastAsia="宋体" w:cs="宋体"/>
                <w:i w:val="0"/>
                <w:iCs w:val="0"/>
                <w:color w:val="000000"/>
                <w:szCs w:val="22"/>
                <w:u w:val="none"/>
              </w:rPr>
            </w:pPr>
            <w:r>
              <w:rPr>
                <w:rFonts w:hint="eastAsia" w:ascii="方正小标宋_GBK" w:hAnsi="方正小标宋_GBK" w:eastAsia="方正小标宋_GBK" w:cs="方正小标宋_GBK"/>
                <w:b w:val="0"/>
                <w:color w:val="000000"/>
                <w:kern w:val="0"/>
                <w:sz w:val="36"/>
                <w:szCs w:val="24"/>
                <w:lang w:val="en-US" w:eastAsia="zh-CN" w:bidi="ar-SA"/>
              </w:rPr>
              <w:t>单位预算一般公共预算财政拨款支出表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9" w:type="pct"/>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预算单位编码及名称：[</w:t>
            </w:r>
            <w:r>
              <w:rPr>
                <w:rFonts w:hint="eastAsia" w:ascii="宋体" w:hAnsi="宋体" w:cs="宋体"/>
                <w:i w:val="0"/>
                <w:iCs w:val="0"/>
                <w:color w:val="000000"/>
                <w:kern w:val="0"/>
                <w:sz w:val="22"/>
                <w:szCs w:val="22"/>
                <w:u w:val="none"/>
                <w:lang w:val="en-US" w:eastAsia="zh-CN" w:bidi="ar"/>
              </w:rPr>
              <w:t>222001</w:t>
            </w:r>
            <w:r>
              <w:rPr>
                <w:rFonts w:hint="eastAsia" w:ascii="宋体" w:hAnsi="宋体" w:eastAsia="宋体" w:cs="宋体"/>
                <w:i w:val="0"/>
                <w:iCs w:val="0"/>
                <w:color w:val="000000"/>
                <w:kern w:val="0"/>
                <w:sz w:val="22"/>
                <w:szCs w:val="22"/>
                <w:u w:val="none"/>
                <w:lang w:val="en-US" w:eastAsia="zh-CN" w:bidi="ar"/>
              </w:rPr>
              <w:t>]中国共产党河北省涞水县纪律检查委员会</w:t>
            </w:r>
          </w:p>
        </w:tc>
        <w:tc>
          <w:tcPr>
            <w:tcW w:w="738"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741"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203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支出功能分类科目</w:t>
            </w:r>
          </w:p>
        </w:tc>
        <w:tc>
          <w:tcPr>
            <w:tcW w:w="39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155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基本支出</w:t>
            </w:r>
          </w:p>
        </w:tc>
        <w:tc>
          <w:tcPr>
            <w:tcW w:w="74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科目编码</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科目名称</w:t>
            </w:r>
          </w:p>
        </w:tc>
        <w:tc>
          <w:tcPr>
            <w:tcW w:w="39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小计</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人员经费</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公用经费</w:t>
            </w:r>
          </w:p>
        </w:tc>
        <w:tc>
          <w:tcPr>
            <w:tcW w:w="7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栏次</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w:t>
            </w: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1250.65</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930.65</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749.87</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180.78</w:t>
            </w: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一般公共服务支出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1084.43</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764.43</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583.65</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180.78</w:t>
            </w: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20111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纪检监察事务</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1084.43</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764.43</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583.65</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180.78</w:t>
            </w: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2011101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行政运行</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764.43</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764.43</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583.65</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180.78</w:t>
            </w: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2011102</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一般行政管理事务</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320.00</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2080505</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卫生健康支出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行政事业单位医疗</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行政单位医疗</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住房保障支出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住房改革支出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2210201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住房公积金</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pStyle w:val="2"/>
        <w:bidi w:val="0"/>
        <w:jc w:val="both"/>
        <w:outlineLvl w:val="9"/>
      </w:pP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45"/>
        <w:gridCol w:w="1751"/>
        <w:gridCol w:w="5267"/>
        <w:gridCol w:w="1330"/>
        <w:gridCol w:w="2805"/>
        <w:gridCol w:w="28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000" w:type="pct"/>
            <w:gridSpan w:val="6"/>
            <w:tcBorders>
              <w:top w:val="nil"/>
              <w:left w:val="nil"/>
              <w:bottom w:val="nil"/>
              <w:right w:val="nil"/>
            </w:tcBorders>
            <w:shd w:val="clear" w:color="auto" w:fill="auto"/>
            <w:noWrap/>
            <w:vAlign w:val="center"/>
          </w:tcPr>
          <w:p>
            <w:pPr>
              <w:pStyle w:val="2"/>
              <w:bidi w:val="0"/>
              <w:jc w:val="center"/>
              <w:rPr>
                <w:rFonts w:hint="eastAsia"/>
              </w:rPr>
            </w:pPr>
            <w:r>
              <w:rPr>
                <w:rFonts w:hint="eastAsia" w:ascii="方正小标宋_GBK" w:hAnsi="方正小标宋_GBK" w:eastAsia="方正小标宋_GBK" w:cs="方正小标宋_GBK"/>
                <w:b w:val="0"/>
                <w:color w:val="000000"/>
                <w:kern w:val="0"/>
                <w:sz w:val="36"/>
                <w:szCs w:val="24"/>
                <w:lang w:val="en-US" w:eastAsia="zh-CN" w:bidi="ar-SA"/>
              </w:rPr>
              <w:t>单位预算一般公共预算财政拨款基本支出表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128" w:type="pct"/>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预算单位编码及名称：[</w:t>
            </w:r>
            <w:r>
              <w:rPr>
                <w:rFonts w:hint="eastAsia" w:ascii="宋体" w:hAnsi="宋体" w:cs="宋体"/>
                <w:i w:val="0"/>
                <w:iCs w:val="0"/>
                <w:color w:val="000000"/>
                <w:kern w:val="0"/>
                <w:sz w:val="22"/>
                <w:szCs w:val="22"/>
                <w:u w:val="none"/>
                <w:lang w:val="en-US" w:eastAsia="zh-CN" w:bidi="ar"/>
              </w:rPr>
              <w:t>222001</w:t>
            </w:r>
            <w:r>
              <w:rPr>
                <w:rFonts w:hint="eastAsia" w:ascii="宋体" w:hAnsi="宋体" w:eastAsia="宋体" w:cs="宋体"/>
                <w:i w:val="0"/>
                <w:iCs w:val="0"/>
                <w:color w:val="000000"/>
                <w:kern w:val="0"/>
                <w:sz w:val="22"/>
                <w:szCs w:val="22"/>
                <w:u w:val="none"/>
                <w:lang w:val="en-US" w:eastAsia="zh-CN" w:bidi="ar"/>
              </w:rPr>
              <w:t>]中国共产党河北省涞水县纪律检查委员会</w:t>
            </w:r>
          </w:p>
        </w:tc>
        <w:tc>
          <w:tcPr>
            <w:tcW w:w="934"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937"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4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233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支出部门经济分类科目</w:t>
            </w:r>
          </w:p>
        </w:tc>
        <w:tc>
          <w:tcPr>
            <w:tcW w:w="231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科目编码</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科目名称</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人员经费</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栏次</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930.65</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749.87</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180.78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工资福利支出</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748.41</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748.41</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30101</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基本工资</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326.87</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326.87</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30102</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津贴补贴</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220.61</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220.61</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30103</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奖金</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26.11</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26.11</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30107</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绩效工资</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6.08</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6.08</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30108</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机关事业单位基本养老保险缴费</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30110</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城镇职工基本医疗保险缴费</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30112</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其他社会保障缴费</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2.52</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2.52</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30113</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住房公积金</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商品和服务支出</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180.78</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180.78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30201</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办公费</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20.54</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30207</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邮电费</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0.36</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30211</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差旅费</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8.20</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30217</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公务接待费</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26.00</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30226</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劳务费</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29.76</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30228</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工会经费</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6.21</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30229</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福利费</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9.85</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30231</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公务用车运行维护费</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27.50</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30239</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其他交通费用</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51.60</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30299</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其他商品和服务支出</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0.76</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303</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对个人和家庭的补助</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1.46</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1.46</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30305</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生活补助</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1.46</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1.46</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pStyle w:val="39"/>
        <w:kinsoku w:val="0"/>
        <w:overflowPunct w:val="0"/>
        <w:spacing w:before="0" w:line="560" w:lineRule="atLeast"/>
        <w:ind w:left="0" w:leftChars="0" w:right="102" w:firstLine="0" w:firstLineChars="0"/>
        <w:jc w:val="both"/>
        <w:outlineLvl w:val="9"/>
        <w:rPr>
          <w:rFonts w:hint="eastAsia"/>
          <w:spacing w:val="-11"/>
          <w:w w:val="95"/>
        </w:rPr>
      </w:pPr>
    </w:p>
    <w:p>
      <w:pPr>
        <w:pStyle w:val="39"/>
        <w:kinsoku w:val="0"/>
        <w:overflowPunct w:val="0"/>
        <w:spacing w:before="0" w:line="560" w:lineRule="atLeast"/>
        <w:ind w:left="0" w:leftChars="0" w:right="102" w:firstLine="0" w:firstLineChars="0"/>
        <w:jc w:val="both"/>
        <w:outlineLvl w:val="9"/>
        <w:rPr>
          <w:rFonts w:hint="eastAsia"/>
          <w:spacing w:val="-11"/>
          <w:w w:val="95"/>
        </w:rPr>
      </w:pPr>
    </w:p>
    <w:p>
      <w:pPr>
        <w:pStyle w:val="39"/>
        <w:kinsoku w:val="0"/>
        <w:overflowPunct w:val="0"/>
        <w:spacing w:before="0" w:line="560" w:lineRule="atLeast"/>
        <w:ind w:left="0" w:leftChars="0" w:right="102" w:firstLine="0" w:firstLineChars="0"/>
        <w:jc w:val="both"/>
        <w:outlineLvl w:val="9"/>
        <w:rPr>
          <w:rFonts w:hint="eastAsia"/>
          <w:spacing w:val="-11"/>
          <w:w w:val="95"/>
        </w:rPr>
      </w:pPr>
    </w:p>
    <w:tbl>
      <w:tblPr>
        <w:tblStyle w:val="10"/>
        <w:tblpPr w:leftFromText="180" w:rightFromText="180" w:vertAnchor="text" w:horzAnchor="page" w:tblpX="1479" w:tblpY="-789"/>
        <w:tblOverlap w:val="never"/>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90"/>
        <w:gridCol w:w="2333"/>
        <w:gridCol w:w="2345"/>
        <w:gridCol w:w="1429"/>
        <w:gridCol w:w="3757"/>
        <w:gridCol w:w="3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1" w:hRule="atLeast"/>
          <w:jc w:val="center"/>
        </w:trPr>
        <w:tc>
          <w:tcPr>
            <w:tcW w:w="5000" w:type="pct"/>
            <w:gridSpan w:val="6"/>
            <w:tcBorders>
              <w:top w:val="nil"/>
              <w:left w:val="nil"/>
              <w:bottom w:val="nil"/>
              <w:right w:val="nil"/>
            </w:tcBorders>
            <w:shd w:val="clear" w:color="auto" w:fill="auto"/>
            <w:noWrap/>
            <w:vAlign w:val="center"/>
          </w:tcPr>
          <w:p>
            <w:pPr>
              <w:pStyle w:val="2"/>
              <w:bidi w:val="0"/>
              <w:jc w:val="center"/>
              <w:rPr>
                <w:rFonts w:hint="eastAsia" w:ascii="宋体" w:hAnsi="宋体" w:eastAsia="宋体" w:cs="宋体"/>
                <w:i w:val="0"/>
                <w:iCs w:val="0"/>
                <w:color w:val="000000"/>
                <w:szCs w:val="22"/>
                <w:u w:val="none"/>
              </w:rPr>
            </w:pPr>
            <w:r>
              <w:rPr>
                <w:rFonts w:hint="eastAsia" w:ascii="方正小标宋_GBK" w:hAnsi="方正小标宋_GBK" w:eastAsia="方正小标宋_GBK" w:cs="方正小标宋_GBK"/>
                <w:b w:val="0"/>
                <w:color w:val="000000"/>
                <w:kern w:val="0"/>
                <w:sz w:val="36"/>
                <w:szCs w:val="24"/>
                <w:lang w:val="en-US" w:eastAsia="zh-CN" w:bidi="ar-SA"/>
              </w:rPr>
              <w:t>单位预算政府基金预算财政拨款支出表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2496" w:type="pct"/>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预算单位编码及名称：[</w:t>
            </w:r>
            <w:r>
              <w:rPr>
                <w:rFonts w:hint="eastAsia" w:ascii="宋体" w:hAnsi="宋体" w:cs="宋体"/>
                <w:i w:val="0"/>
                <w:iCs w:val="0"/>
                <w:color w:val="000000"/>
                <w:kern w:val="0"/>
                <w:sz w:val="22"/>
                <w:szCs w:val="22"/>
                <w:u w:val="none"/>
                <w:lang w:val="en-US" w:eastAsia="zh-CN" w:bidi="ar"/>
              </w:rPr>
              <w:t>222001</w:t>
            </w:r>
            <w:r>
              <w:rPr>
                <w:rFonts w:hint="eastAsia" w:ascii="宋体" w:hAnsi="宋体" w:eastAsia="宋体" w:cs="宋体"/>
                <w:i w:val="0"/>
                <w:iCs w:val="0"/>
                <w:color w:val="000000"/>
                <w:kern w:val="0"/>
                <w:sz w:val="22"/>
                <w:szCs w:val="22"/>
                <w:u w:val="none"/>
                <w:lang w:val="en-US" w:eastAsia="zh-CN" w:bidi="ar"/>
              </w:rPr>
              <w:t>]中国共产党河北省涞水县纪律检查委员会</w:t>
            </w:r>
          </w:p>
        </w:tc>
        <w:tc>
          <w:tcPr>
            <w:tcW w:w="1251"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1252"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46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55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支出功能分类科目</w:t>
            </w:r>
          </w:p>
        </w:tc>
        <w:tc>
          <w:tcPr>
            <w:tcW w:w="47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125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基本支出</w:t>
            </w:r>
          </w:p>
        </w:tc>
        <w:tc>
          <w:tcPr>
            <w:tcW w:w="125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4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科目编码</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科目名称</w:t>
            </w:r>
          </w:p>
        </w:tc>
        <w:tc>
          <w:tcPr>
            <w:tcW w:w="47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25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25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栏次</w:t>
            </w: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w:t>
            </w: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Calibri" w:hAnsi="Calibri" w:eastAsia="宋体" w:cs="Calibri"/>
                <w:i w:val="0"/>
                <w:iCs w:val="0"/>
                <w:color w:val="000000"/>
                <w:sz w:val="22"/>
                <w:szCs w:val="22"/>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000" w:type="pct"/>
            <w:gridSpan w:val="6"/>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注：无政府基金预算财政拨款支出，空表列示。</w:t>
            </w:r>
          </w:p>
        </w:tc>
      </w:tr>
    </w:tbl>
    <w:p>
      <w:pPr>
        <w:pStyle w:val="39"/>
        <w:kinsoku w:val="0"/>
        <w:overflowPunct w:val="0"/>
        <w:spacing w:before="0" w:line="560" w:lineRule="atLeast"/>
        <w:ind w:left="0" w:leftChars="0" w:right="102" w:firstLine="0" w:firstLineChars="0"/>
        <w:jc w:val="both"/>
        <w:outlineLvl w:val="9"/>
        <w:rPr>
          <w:rFonts w:hint="eastAsia"/>
          <w:spacing w:val="-11"/>
          <w:w w:val="95"/>
        </w:rPr>
      </w:pPr>
    </w:p>
    <w:p>
      <w:pPr>
        <w:pStyle w:val="39"/>
        <w:kinsoku w:val="0"/>
        <w:overflowPunct w:val="0"/>
        <w:spacing w:before="0" w:line="560" w:lineRule="atLeast"/>
        <w:ind w:left="0" w:leftChars="0" w:right="102" w:firstLine="0" w:firstLineChars="0"/>
        <w:jc w:val="both"/>
        <w:outlineLvl w:val="9"/>
        <w:rPr>
          <w:rFonts w:hint="eastAsia"/>
          <w:spacing w:val="-11"/>
          <w:w w:val="95"/>
        </w:rPr>
      </w:pPr>
    </w:p>
    <w:p>
      <w:pPr>
        <w:pStyle w:val="39"/>
        <w:kinsoku w:val="0"/>
        <w:overflowPunct w:val="0"/>
        <w:spacing w:before="0" w:line="560" w:lineRule="atLeast"/>
        <w:ind w:left="0" w:leftChars="0" w:right="102" w:firstLine="0" w:firstLineChars="0"/>
        <w:jc w:val="both"/>
        <w:outlineLvl w:val="9"/>
        <w:rPr>
          <w:rFonts w:hint="eastAsia"/>
          <w:spacing w:val="-11"/>
          <w:w w:val="95"/>
        </w:rPr>
      </w:pPr>
    </w:p>
    <w:p>
      <w:pPr>
        <w:pStyle w:val="39"/>
        <w:kinsoku w:val="0"/>
        <w:overflowPunct w:val="0"/>
        <w:spacing w:before="0" w:line="560" w:lineRule="atLeast"/>
        <w:ind w:left="0" w:leftChars="0" w:right="102" w:firstLine="0" w:firstLineChars="0"/>
        <w:jc w:val="both"/>
        <w:outlineLvl w:val="9"/>
        <w:rPr>
          <w:rFonts w:hint="eastAsia"/>
          <w:spacing w:val="-11"/>
          <w:w w:val="95"/>
        </w:rPr>
      </w:pPr>
    </w:p>
    <w:p>
      <w:pPr>
        <w:pStyle w:val="39"/>
        <w:kinsoku w:val="0"/>
        <w:overflowPunct w:val="0"/>
        <w:spacing w:before="0" w:line="560" w:lineRule="atLeast"/>
        <w:ind w:left="0" w:leftChars="0" w:right="102" w:firstLine="0" w:firstLineChars="0"/>
        <w:jc w:val="both"/>
        <w:outlineLvl w:val="9"/>
        <w:rPr>
          <w:rFonts w:hint="eastAsia"/>
          <w:spacing w:val="-11"/>
          <w:w w:val="95"/>
        </w:rPr>
      </w:pPr>
    </w:p>
    <w:p>
      <w:pPr>
        <w:pStyle w:val="39"/>
        <w:kinsoku w:val="0"/>
        <w:overflowPunct w:val="0"/>
        <w:spacing w:before="0" w:line="560" w:lineRule="atLeast"/>
        <w:ind w:left="0" w:leftChars="0" w:right="102" w:firstLine="0" w:firstLineChars="0"/>
        <w:jc w:val="both"/>
        <w:outlineLvl w:val="9"/>
        <w:rPr>
          <w:rFonts w:hint="eastAsia"/>
          <w:spacing w:val="-11"/>
          <w:w w:val="95"/>
        </w:rPr>
      </w:pPr>
    </w:p>
    <w:p>
      <w:pPr>
        <w:pStyle w:val="39"/>
        <w:kinsoku w:val="0"/>
        <w:overflowPunct w:val="0"/>
        <w:spacing w:before="0" w:line="560" w:lineRule="atLeast"/>
        <w:ind w:left="0" w:leftChars="0" w:right="102" w:firstLine="0" w:firstLineChars="0"/>
        <w:jc w:val="both"/>
        <w:outlineLvl w:val="9"/>
        <w:rPr>
          <w:rFonts w:hint="eastAsia"/>
          <w:spacing w:val="-11"/>
          <w:w w:val="95"/>
        </w:rPr>
      </w:pP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02"/>
        <w:gridCol w:w="2342"/>
        <w:gridCol w:w="2348"/>
        <w:gridCol w:w="1405"/>
        <w:gridCol w:w="3757"/>
        <w:gridCol w:w="3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000" w:type="pct"/>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方正小标宋_GBK" w:hAnsi="方正小标宋_GBK" w:eastAsia="方正小标宋_GBK" w:cs="方正小标宋_GBK"/>
                <w:b w:val="0"/>
                <w:color w:val="000000"/>
                <w:kern w:val="0"/>
                <w:sz w:val="36"/>
                <w:szCs w:val="24"/>
                <w:lang w:val="en-US" w:eastAsia="zh-CN" w:bidi="ar-SA"/>
              </w:rPr>
              <w:t>单位预算国有资本经营预算财政拨款支出表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496" w:type="pct"/>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预算单位编码及名称：[</w:t>
            </w:r>
            <w:r>
              <w:rPr>
                <w:rFonts w:hint="eastAsia" w:ascii="宋体" w:hAnsi="宋体" w:cs="宋体"/>
                <w:i w:val="0"/>
                <w:iCs w:val="0"/>
                <w:color w:val="000000"/>
                <w:kern w:val="0"/>
                <w:sz w:val="22"/>
                <w:szCs w:val="22"/>
                <w:u w:val="none"/>
                <w:lang w:val="en-US" w:eastAsia="zh-CN" w:bidi="ar"/>
              </w:rPr>
              <w:t>222001</w:t>
            </w:r>
            <w:r>
              <w:rPr>
                <w:rFonts w:hint="eastAsia" w:ascii="宋体" w:hAnsi="宋体" w:eastAsia="宋体" w:cs="宋体"/>
                <w:i w:val="0"/>
                <w:iCs w:val="0"/>
                <w:color w:val="000000"/>
                <w:kern w:val="0"/>
                <w:sz w:val="22"/>
                <w:szCs w:val="22"/>
                <w:u w:val="none"/>
                <w:lang w:val="en-US" w:eastAsia="zh-CN" w:bidi="ar"/>
              </w:rPr>
              <w:t>]中国共产党河北省涞水县纪律检查委员会</w:t>
            </w:r>
          </w:p>
        </w:tc>
        <w:tc>
          <w:tcPr>
            <w:tcW w:w="1251"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1251"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6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56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支出功能分类科目</w:t>
            </w:r>
          </w:p>
        </w:tc>
        <w:tc>
          <w:tcPr>
            <w:tcW w:w="46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125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基本支出</w:t>
            </w:r>
          </w:p>
        </w:tc>
        <w:tc>
          <w:tcPr>
            <w:tcW w:w="125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科目编码</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科目名称</w:t>
            </w:r>
          </w:p>
        </w:tc>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25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25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栏次</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w:t>
            </w: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Calibri" w:hAnsi="Calibri" w:eastAsia="宋体" w:cs="Calibri"/>
                <w:i w:val="0"/>
                <w:iCs w:val="0"/>
                <w:color w:val="000000"/>
                <w:sz w:val="22"/>
                <w:szCs w:val="22"/>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000" w:type="pct"/>
            <w:gridSpan w:val="6"/>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注：无国有资本经营预算财政拨款支出，空表列示。</w:t>
            </w:r>
          </w:p>
        </w:tc>
      </w:tr>
    </w:tbl>
    <w:p>
      <w:pPr>
        <w:pStyle w:val="39"/>
        <w:kinsoku w:val="0"/>
        <w:overflowPunct w:val="0"/>
        <w:spacing w:before="0" w:line="560" w:lineRule="atLeast"/>
        <w:ind w:left="0" w:leftChars="0" w:right="102" w:firstLine="0" w:firstLineChars="0"/>
        <w:jc w:val="both"/>
        <w:outlineLvl w:val="9"/>
        <w:rPr>
          <w:rFonts w:hint="eastAsia"/>
          <w:spacing w:val="-11"/>
          <w:w w:val="95"/>
        </w:rPr>
      </w:pPr>
    </w:p>
    <w:p>
      <w:pPr>
        <w:pStyle w:val="39"/>
        <w:kinsoku w:val="0"/>
        <w:overflowPunct w:val="0"/>
        <w:spacing w:before="0" w:line="560" w:lineRule="atLeast"/>
        <w:ind w:left="0" w:leftChars="0" w:right="102" w:firstLine="0" w:firstLineChars="0"/>
        <w:jc w:val="both"/>
        <w:outlineLvl w:val="9"/>
        <w:rPr>
          <w:rFonts w:hint="eastAsia"/>
          <w:spacing w:val="-11"/>
          <w:w w:val="95"/>
        </w:rPr>
      </w:pPr>
    </w:p>
    <w:p>
      <w:pPr>
        <w:pStyle w:val="39"/>
        <w:kinsoku w:val="0"/>
        <w:overflowPunct w:val="0"/>
        <w:spacing w:before="0" w:line="560" w:lineRule="atLeast"/>
        <w:ind w:left="0" w:leftChars="0" w:right="102" w:firstLine="0" w:firstLineChars="0"/>
        <w:jc w:val="both"/>
        <w:outlineLvl w:val="9"/>
        <w:rPr>
          <w:rFonts w:hint="eastAsia"/>
          <w:spacing w:val="-11"/>
          <w:w w:val="95"/>
        </w:rPr>
      </w:pP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42"/>
        <w:gridCol w:w="4982"/>
        <w:gridCol w:w="811"/>
        <w:gridCol w:w="2748"/>
        <w:gridCol w:w="2483"/>
        <w:gridCol w:w="32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000" w:type="pct"/>
            <w:gridSpan w:val="6"/>
            <w:tcBorders>
              <w:top w:val="nil"/>
              <w:left w:val="nil"/>
              <w:bottom w:val="nil"/>
              <w:right w:val="nil"/>
            </w:tcBorders>
            <w:shd w:val="clear" w:color="auto" w:fill="auto"/>
            <w:noWrap/>
            <w:vAlign w:val="center"/>
          </w:tcPr>
          <w:p>
            <w:pPr>
              <w:pStyle w:val="2"/>
              <w:bidi w:val="0"/>
              <w:jc w:val="center"/>
              <w:rPr>
                <w:rFonts w:hint="eastAsia" w:ascii="宋体" w:hAnsi="宋体" w:eastAsia="宋体" w:cs="宋体"/>
                <w:i w:val="0"/>
                <w:iCs w:val="0"/>
                <w:color w:val="000000"/>
                <w:szCs w:val="22"/>
                <w:u w:val="none"/>
              </w:rPr>
            </w:pPr>
            <w:r>
              <w:rPr>
                <w:rFonts w:hint="eastAsia" w:ascii="方正小标宋_GBK" w:hAnsi="方正小标宋_GBK" w:eastAsia="方正小标宋_GBK" w:cs="方正小标宋_GBK"/>
                <w:b w:val="0"/>
                <w:color w:val="000000"/>
                <w:kern w:val="0"/>
                <w:sz w:val="36"/>
                <w:szCs w:val="24"/>
                <w:lang w:val="en-US" w:eastAsia="zh-CN" w:bidi="ar-SA"/>
              </w:rPr>
              <w:t>单位预算财政拨款“三公”经费支出表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091" w:type="pct"/>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预算单位编码及名称：[</w:t>
            </w:r>
            <w:r>
              <w:rPr>
                <w:rFonts w:hint="eastAsia" w:ascii="宋体" w:hAnsi="宋体" w:cs="宋体"/>
                <w:b/>
                <w:bCs/>
                <w:i w:val="0"/>
                <w:iCs w:val="0"/>
                <w:color w:val="000000"/>
                <w:kern w:val="0"/>
                <w:sz w:val="22"/>
                <w:szCs w:val="22"/>
                <w:u w:val="none"/>
                <w:lang w:val="en-US" w:eastAsia="zh-CN" w:bidi="ar"/>
              </w:rPr>
              <w:t>222001</w:t>
            </w:r>
            <w:r>
              <w:rPr>
                <w:rFonts w:hint="eastAsia" w:ascii="宋体" w:hAnsi="宋体" w:eastAsia="宋体" w:cs="宋体"/>
                <w:b/>
                <w:bCs/>
                <w:i w:val="0"/>
                <w:iCs w:val="0"/>
                <w:color w:val="000000"/>
                <w:kern w:val="0"/>
                <w:sz w:val="22"/>
                <w:szCs w:val="22"/>
                <w:u w:val="none"/>
                <w:lang w:val="en-US" w:eastAsia="zh-CN" w:bidi="ar"/>
              </w:rPr>
              <w:t>]中国共产党河北省涞水县纪律检查委员会</w:t>
            </w:r>
          </w:p>
        </w:tc>
        <w:tc>
          <w:tcPr>
            <w:tcW w:w="827"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预算年度：2022</w:t>
            </w:r>
          </w:p>
        </w:tc>
        <w:tc>
          <w:tcPr>
            <w:tcW w:w="1080"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4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65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w:t>
            </w:r>
          </w:p>
        </w:tc>
        <w:tc>
          <w:tcPr>
            <w:tcW w:w="3093"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资金性质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2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6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一般公共预算财政拨款</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政府性基金财政拨款</w:t>
            </w:r>
          </w:p>
        </w:tc>
        <w:tc>
          <w:tcPr>
            <w:tcW w:w="10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栏次</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w:t>
            </w:r>
          </w:p>
        </w:tc>
        <w:tc>
          <w:tcPr>
            <w:tcW w:w="10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lang w:val="en-US" w:eastAsia="zh-CN"/>
              </w:rPr>
            </w:pPr>
            <w:r>
              <w:rPr>
                <w:rFonts w:hint="eastAsia" w:ascii="Calibri" w:hAnsi="Calibri" w:cs="Calibri"/>
                <w:i w:val="0"/>
                <w:iCs w:val="0"/>
                <w:color w:val="000000"/>
                <w:sz w:val="22"/>
                <w:szCs w:val="22"/>
                <w:u w:val="none"/>
                <w:lang w:val="en-US" w:eastAsia="zh-CN"/>
              </w:rPr>
              <w:t>99.50</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r>
              <w:rPr>
                <w:rFonts w:hint="eastAsia" w:ascii="Calibri" w:hAnsi="Calibri" w:cs="Calibri"/>
                <w:i w:val="0"/>
                <w:iCs w:val="0"/>
                <w:color w:val="000000"/>
                <w:sz w:val="22"/>
                <w:szCs w:val="22"/>
                <w:u w:val="none"/>
                <w:lang w:val="en-US" w:eastAsia="zh-CN"/>
              </w:rPr>
              <w:t>99.50</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“三公”经费小计</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r>
              <w:rPr>
                <w:rFonts w:hint="eastAsia" w:ascii="Calibri" w:hAnsi="Calibri" w:cs="Calibri"/>
                <w:i w:val="0"/>
                <w:iCs w:val="0"/>
                <w:color w:val="000000"/>
                <w:sz w:val="22"/>
                <w:szCs w:val="22"/>
                <w:u w:val="none"/>
                <w:lang w:val="en-US" w:eastAsia="zh-CN"/>
              </w:rPr>
              <w:t>99.50</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r>
              <w:rPr>
                <w:rFonts w:hint="eastAsia" w:ascii="Calibri" w:hAnsi="Calibri" w:cs="Calibri"/>
                <w:i w:val="0"/>
                <w:iCs w:val="0"/>
                <w:color w:val="000000"/>
                <w:sz w:val="22"/>
                <w:szCs w:val="22"/>
                <w:u w:val="none"/>
                <w:lang w:val="en-US" w:eastAsia="zh-CN"/>
              </w:rPr>
              <w:t>99.50</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一、因公出国（境）费</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    其中：教学科研人员因公出国（境）费</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          其他因公出国（境）费</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二、公务用车购置及运维费</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    其中：公务用车购置费</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          公务用车运行维护费</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42.50</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42.50</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三、公务接待费</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57.00</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57.00</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pStyle w:val="39"/>
        <w:kinsoku w:val="0"/>
        <w:overflowPunct w:val="0"/>
        <w:spacing w:before="0" w:line="560" w:lineRule="atLeast"/>
        <w:ind w:left="0" w:leftChars="0" w:right="102" w:firstLine="0" w:firstLineChars="0"/>
        <w:jc w:val="both"/>
        <w:outlineLvl w:val="9"/>
        <w:rPr>
          <w:rFonts w:hint="eastAsia" w:ascii="宋体" w:hAnsi="宋体" w:eastAsia="宋体" w:cs="宋体"/>
          <w:b/>
          <w:bCs/>
          <w:spacing w:val="-11"/>
          <w:w w:val="95"/>
          <w:sz w:val="44"/>
          <w:szCs w:val="44"/>
          <w:lang w:val="en-US" w:eastAsia="zh-CN"/>
        </w:rPr>
      </w:pPr>
    </w:p>
    <w:p>
      <w:pPr>
        <w:pStyle w:val="39"/>
        <w:kinsoku w:val="0"/>
        <w:overflowPunct w:val="0"/>
        <w:spacing w:before="0" w:line="560" w:lineRule="atLeast"/>
        <w:ind w:left="0" w:leftChars="0" w:right="102" w:firstLine="0" w:firstLineChars="0"/>
        <w:jc w:val="both"/>
        <w:outlineLvl w:val="9"/>
        <w:rPr>
          <w:rFonts w:hint="eastAsia" w:ascii="宋体" w:hAnsi="宋体" w:eastAsia="宋体" w:cs="宋体"/>
          <w:b/>
          <w:bCs/>
          <w:spacing w:val="-11"/>
          <w:w w:val="95"/>
          <w:sz w:val="44"/>
          <w:szCs w:val="44"/>
          <w:lang w:val="en-US" w:eastAsia="zh-CN"/>
        </w:rPr>
      </w:pPr>
    </w:p>
    <w:p>
      <w:pPr>
        <w:pStyle w:val="39"/>
        <w:kinsoku w:val="0"/>
        <w:overflowPunct w:val="0"/>
        <w:spacing w:before="0" w:line="560" w:lineRule="atLeast"/>
        <w:ind w:left="0" w:leftChars="0" w:right="102" w:firstLine="0" w:firstLineChars="0"/>
        <w:jc w:val="both"/>
        <w:outlineLvl w:val="9"/>
        <w:rPr>
          <w:rFonts w:hint="eastAsia" w:ascii="宋体" w:hAnsi="宋体" w:eastAsia="宋体" w:cs="宋体"/>
          <w:b/>
          <w:bCs/>
          <w:spacing w:val="-11"/>
          <w:w w:val="95"/>
          <w:sz w:val="44"/>
          <w:szCs w:val="44"/>
          <w:lang w:val="en-US" w:eastAsia="zh-CN"/>
        </w:rPr>
      </w:pPr>
    </w:p>
    <w:p>
      <w:pPr>
        <w:pStyle w:val="39"/>
        <w:kinsoku w:val="0"/>
        <w:overflowPunct w:val="0"/>
        <w:spacing w:before="0" w:line="560" w:lineRule="atLeast"/>
        <w:ind w:left="0" w:leftChars="0" w:right="102" w:firstLine="0" w:firstLineChars="0"/>
        <w:jc w:val="both"/>
        <w:outlineLvl w:val="9"/>
        <w:rPr>
          <w:rFonts w:hint="eastAsia" w:ascii="宋体" w:hAnsi="宋体" w:eastAsia="宋体" w:cs="宋体"/>
          <w:b/>
          <w:bCs/>
          <w:spacing w:val="-11"/>
          <w:w w:val="95"/>
          <w:sz w:val="44"/>
          <w:szCs w:val="44"/>
          <w:lang w:val="en-US" w:eastAsia="zh-CN"/>
        </w:rPr>
      </w:pPr>
    </w:p>
    <w:p>
      <w:pPr>
        <w:pStyle w:val="39"/>
        <w:kinsoku w:val="0"/>
        <w:overflowPunct w:val="0"/>
        <w:spacing w:before="0" w:line="560" w:lineRule="atLeast"/>
        <w:ind w:left="0" w:leftChars="0" w:right="102" w:firstLine="0" w:firstLineChars="0"/>
        <w:jc w:val="both"/>
        <w:outlineLvl w:val="9"/>
        <w:rPr>
          <w:rFonts w:hint="eastAsia" w:ascii="宋体" w:hAnsi="宋体" w:eastAsia="宋体" w:cs="宋体"/>
          <w:b/>
          <w:bCs/>
          <w:spacing w:val="-11"/>
          <w:w w:val="95"/>
          <w:sz w:val="44"/>
          <w:szCs w:val="44"/>
          <w:lang w:val="en-US" w:eastAsia="zh-CN"/>
        </w:rPr>
      </w:pPr>
    </w:p>
    <w:p>
      <w:pPr>
        <w:widowControl/>
        <w:spacing w:line="240" w:lineRule="auto"/>
        <w:jc w:val="center"/>
        <w:rPr>
          <w:rFonts w:hint="eastAsia" w:ascii="方正小标宋_GBK" w:hAnsi="方正小标宋_GBK" w:eastAsia="方正小标宋_GBK" w:cs="方正小标宋_GBK"/>
          <w:color w:val="000000"/>
          <w:kern w:val="0"/>
          <w:sz w:val="44"/>
          <w:szCs w:val="24"/>
          <w:lang w:val="en-US" w:eastAsia="zh-CN"/>
        </w:rPr>
      </w:pPr>
      <w:bookmarkStart w:id="1" w:name="_Toc7613"/>
      <w:r>
        <w:rPr>
          <w:rFonts w:hint="eastAsia" w:ascii="方正小标宋_GBK" w:hAnsi="方正小标宋_GBK" w:eastAsia="方正小标宋_GBK" w:cs="方正小标宋_GBK"/>
          <w:color w:val="000000"/>
          <w:kern w:val="0"/>
          <w:sz w:val="44"/>
          <w:szCs w:val="24"/>
          <w:lang w:val="en-US" w:eastAsia="zh-CN"/>
        </w:rPr>
        <w:t>中国共产党河北省涞水县纪律检查委员会</w:t>
      </w:r>
      <w:bookmarkEnd w:id="1"/>
      <w:r>
        <w:rPr>
          <w:rFonts w:hint="eastAsia" w:ascii="方正小标宋_GBK" w:hAnsi="方正小标宋_GBK" w:eastAsia="方正小标宋_GBK" w:cs="方正小标宋_GBK"/>
          <w:color w:val="000000"/>
          <w:kern w:val="0"/>
          <w:sz w:val="44"/>
          <w:szCs w:val="24"/>
          <w:lang w:val="en-US" w:eastAsia="zh-CN"/>
        </w:rPr>
        <w:t>（本级）</w:t>
      </w:r>
    </w:p>
    <w:p>
      <w:pPr>
        <w:widowControl/>
        <w:spacing w:line="240" w:lineRule="auto"/>
        <w:jc w:val="center"/>
        <w:rPr>
          <w:rFonts w:hint="eastAsia" w:ascii="方正小标宋_GBK" w:hAnsi="方正小标宋_GBK" w:eastAsia="方正小标宋_GBK" w:cs="方正小标宋_GBK"/>
          <w:color w:val="000000"/>
          <w:kern w:val="0"/>
          <w:sz w:val="44"/>
          <w:szCs w:val="24"/>
          <w:lang w:val="en-US" w:eastAsia="zh-CN"/>
        </w:rPr>
      </w:pPr>
      <w:bookmarkStart w:id="2" w:name="_Toc27766"/>
      <w:r>
        <w:rPr>
          <w:rFonts w:hint="eastAsia" w:ascii="方正小标宋_GBK" w:hAnsi="方正小标宋_GBK" w:eastAsia="方正小标宋_GBK" w:cs="方正小标宋_GBK"/>
          <w:color w:val="000000"/>
          <w:kern w:val="0"/>
          <w:sz w:val="44"/>
          <w:szCs w:val="24"/>
          <w:lang w:val="en-US" w:eastAsia="zh-CN"/>
        </w:rPr>
        <w:t>2022年单位预算信息公开情况说明</w:t>
      </w:r>
      <w:bookmarkEnd w:id="2"/>
    </w:p>
    <w:p>
      <w:pPr>
        <w:pStyle w:val="39"/>
        <w:kinsoku w:val="0"/>
        <w:overflowPunct w:val="0"/>
        <w:spacing w:before="0" w:line="560" w:lineRule="atLeast"/>
        <w:ind w:right="102"/>
        <w:jc w:val="center"/>
        <w:outlineLvl w:val="9"/>
        <w:rPr>
          <w:rFonts w:hint="eastAsia" w:ascii="宋体" w:hAnsi="宋体" w:eastAsia="宋体" w:cs="宋体"/>
          <w:b/>
          <w:bCs/>
          <w:spacing w:val="-11"/>
          <w:w w:val="95"/>
          <w:sz w:val="48"/>
          <w:szCs w:val="48"/>
          <w:lang w:val="en-US" w:eastAsia="zh-CN"/>
        </w:rPr>
      </w:pPr>
    </w:p>
    <w:p>
      <w:pPr>
        <w:pStyle w:val="39"/>
        <w:kinsoku w:val="0"/>
        <w:overflowPunct w:val="0"/>
        <w:spacing w:before="0" w:line="560" w:lineRule="atLeast"/>
        <w:ind w:right="102" w:firstLine="660"/>
        <w:jc w:val="both"/>
        <w:outlineLvl w:val="9"/>
      </w:pPr>
      <w:r>
        <w:rPr>
          <w:rFonts w:hint="eastAsia"/>
          <w:spacing w:val="-11"/>
          <w:w w:val="95"/>
        </w:rPr>
        <w:t>按照《</w:t>
      </w:r>
      <w:bookmarkStart w:id="11" w:name="_GoBack"/>
      <w:bookmarkEnd w:id="11"/>
      <w:r>
        <w:rPr>
          <w:rFonts w:hint="eastAsia"/>
          <w:spacing w:val="-11"/>
          <w:w w:val="95"/>
          <w:lang w:eastAsia="zh-CN"/>
        </w:rPr>
        <w:t>中华人民共和国预算法</w:t>
      </w:r>
      <w:r>
        <w:rPr>
          <w:rFonts w:hint="eastAsia"/>
          <w:spacing w:val="-11"/>
          <w:w w:val="95"/>
        </w:rPr>
        <w:t>》、《地方预决算公开操作规程》和《河北省省级</w:t>
      </w:r>
      <w:r>
        <w:rPr>
          <w:rFonts w:hint="eastAsia"/>
          <w:spacing w:val="-7"/>
        </w:rPr>
        <w:t>预算公开办法》规定现将中共涞水县纪委</w:t>
      </w:r>
      <w:r>
        <w:t>202</w:t>
      </w:r>
      <w:r>
        <w:rPr>
          <w:rFonts w:hint="eastAsia"/>
        </w:rPr>
        <w:t>1年</w:t>
      </w:r>
      <w:r>
        <w:rPr>
          <w:rFonts w:hint="eastAsia"/>
          <w:lang w:eastAsia="zh-CN"/>
        </w:rPr>
        <w:t>单位</w:t>
      </w:r>
      <w:r>
        <w:rPr>
          <w:rFonts w:hint="eastAsia"/>
        </w:rPr>
        <w:t>预算公开如下：</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0"/>
        <w:rPr>
          <w:rFonts w:hint="eastAsia" w:ascii="黑体" w:hAnsi="黑体" w:eastAsia="黑体"/>
          <w:sz w:val="32"/>
          <w:szCs w:val="32"/>
        </w:rPr>
      </w:pPr>
      <w:bookmarkStart w:id="3" w:name="_Toc536088156"/>
      <w:r>
        <w:rPr>
          <w:rFonts w:hint="eastAsia" w:ascii="黑体" w:hAnsi="黑体" w:eastAsia="黑体"/>
          <w:sz w:val="32"/>
          <w:szCs w:val="32"/>
        </w:rPr>
        <w:t>一、</w:t>
      </w:r>
      <w:r>
        <w:rPr>
          <w:rFonts w:hint="eastAsia" w:ascii="黑体" w:hAnsi="黑体" w:eastAsia="黑体"/>
          <w:sz w:val="32"/>
          <w:szCs w:val="32"/>
          <w:lang w:eastAsia="zh-CN"/>
        </w:rPr>
        <w:t>单位</w:t>
      </w:r>
      <w:r>
        <w:rPr>
          <w:rFonts w:hint="eastAsia" w:ascii="黑体" w:hAnsi="黑体" w:eastAsia="黑体"/>
          <w:sz w:val="32"/>
          <w:szCs w:val="32"/>
        </w:rPr>
        <w:t>职责及机构设置情况</w:t>
      </w:r>
    </w:p>
    <w:p>
      <w:pPr>
        <w:snapToGrid w:val="0"/>
        <w:spacing w:line="560" w:lineRule="atLeast"/>
        <w:ind w:firstLine="640" w:firstLineChars="200"/>
        <w:outlineLvl w:val="1"/>
        <w:rPr>
          <w:rFonts w:ascii="楷体" w:hAnsi="楷体" w:eastAsia="楷体"/>
          <w:sz w:val="32"/>
          <w:szCs w:val="32"/>
        </w:rPr>
      </w:pPr>
      <w:r>
        <w:rPr>
          <w:rFonts w:hint="eastAsia" w:ascii="楷体" w:hAnsi="楷体" w:eastAsia="楷体"/>
          <w:sz w:val="32"/>
          <w:szCs w:val="32"/>
        </w:rPr>
        <w:t>（一）基本职责</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根据《中国共产党河北省涞水县纪律检查委员会职能配置、内设机构和人员编制规定》，中国共产党河北省涞水县纪律检查委员会的主要职责是：</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1、负责全县党的纪律检查工作。贯彻落实党中央、省委、保定市委和涞水县委关于纪律检查工作的决策部署，维护党的章程和其他党内法规，检查党的路线方针政策和决议的执行情况，协助县委推进全面从严治党、加强党风建设和组织协调反腐败工作。</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2、依照党的章程和其他党内法规履行监督、执纪、问责职责。负责经常对党员进行遵守纪律的教育，作出关于维护党纪的决定；对县委工作机关、县委批准设立的党组（党委）等党的组织和县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3、支持配合巡视巡察工作。承担对巡视巡察反馈问题整改工作的日常监督责任，做好巡视巡察整改督查督办工作，依规依纪依法处置巡视巡察移交的反映领导干部问题线索。</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4、负责全县监察工作。贯彻落实党中央、省委、保定市委和涞水县委关于监察工作的决策部署，维护宪法法律，依法对县委管理的行使公权力的公职人员进行监察，调查职务违法和职务犯罪，开展廉政建设和反腐败工作。</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5、依照法律规定履行监督、调查、处置职责。推动开展廉政教育，对县委管理的干部和其他行使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6、负责组织协调全面从严治党、党风廉政建设和反腐败宣传教育工作。</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7、负责综合分析全面从严治党、党风廉政建设和反腐败工作情况，对纪检监察工作重要理论及实践问题进行调查研究；落实上级纪检监察法规制度和有关法律、法规和规范性文件。</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8、负责组织协调全县反腐败追逃追赃和防逃工作，督促有关单位做好相关工作。</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9、根据干部管理权限，负责全县纪检监察系统领导班子建设、干部队伍建设和组织建设的综合规划、政策研究和制度建设；会同县委组织部负责县委巡察机构科级干部的提名、考察，报县委任免；根据干部管理权限负责县委巡察机构有关干部人事工作。会同有关方面做好县纪委监委派驻机构、乡镇纪检监察机构、县管企业纪检监察机构领导班子建设有关工作；组织和指导全县纪检监察系统干部教育培训工作等。</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10、完成上级纪委监委、县委交办的其他任务。</w:t>
      </w:r>
    </w:p>
    <w:p>
      <w:pPr>
        <w:snapToGrid w:val="0"/>
        <w:spacing w:line="560" w:lineRule="atLeast"/>
        <w:ind w:firstLine="640" w:firstLineChars="200"/>
        <w:outlineLvl w:val="1"/>
        <w:rPr>
          <w:rFonts w:ascii="楷体" w:hAnsi="楷体" w:eastAsia="楷体"/>
          <w:sz w:val="32"/>
          <w:szCs w:val="32"/>
        </w:rPr>
      </w:pPr>
      <w:r>
        <w:rPr>
          <w:rFonts w:hint="eastAsia" w:ascii="楷体" w:hAnsi="楷体" w:eastAsia="楷体"/>
          <w:sz w:val="32"/>
          <w:szCs w:val="32"/>
        </w:rPr>
        <w:t>（二）机构设置</w:t>
      </w:r>
    </w:p>
    <w:p>
      <w:pPr>
        <w:spacing w:line="560" w:lineRule="atLeast"/>
        <w:ind w:firstLine="640" w:firstLineChars="200"/>
        <w:jc w:val="left"/>
        <w:rPr>
          <w:rFonts w:ascii="仿宋" w:hAnsi="仿宋" w:eastAsia="仿宋"/>
          <w:sz w:val="32"/>
          <w:szCs w:val="32"/>
        </w:rPr>
      </w:pPr>
      <w:r>
        <w:rPr>
          <w:rFonts w:ascii="仿宋" w:hAnsi="仿宋" w:eastAsia="仿宋"/>
          <w:sz w:val="32"/>
          <w:szCs w:val="32"/>
        </w:rPr>
        <w:t>涞水县</w:t>
      </w:r>
      <w:r>
        <w:rPr>
          <w:rFonts w:hint="eastAsia" w:ascii="仿宋" w:hAnsi="仿宋" w:eastAsia="仿宋"/>
          <w:sz w:val="32"/>
          <w:szCs w:val="32"/>
        </w:rPr>
        <w:t>纪委</w:t>
      </w:r>
      <w:r>
        <w:rPr>
          <w:rFonts w:ascii="仿宋" w:hAnsi="仿宋" w:eastAsia="仿宋"/>
          <w:sz w:val="32"/>
          <w:szCs w:val="32"/>
        </w:rPr>
        <w:t>下设</w:t>
      </w:r>
      <w:r>
        <w:rPr>
          <w:rFonts w:hint="eastAsia" w:ascii="仿宋" w:hAnsi="仿宋" w:eastAsia="仿宋"/>
          <w:sz w:val="32"/>
          <w:szCs w:val="32"/>
        </w:rPr>
        <w:t>18</w:t>
      </w:r>
      <w:r>
        <w:rPr>
          <w:rFonts w:ascii="仿宋" w:hAnsi="仿宋" w:eastAsia="仿宋"/>
          <w:sz w:val="32"/>
          <w:szCs w:val="32"/>
        </w:rPr>
        <w:t>个</w:t>
      </w:r>
      <w:r>
        <w:rPr>
          <w:rFonts w:hint="eastAsia" w:ascii="仿宋" w:hAnsi="仿宋" w:eastAsia="仿宋"/>
          <w:sz w:val="32"/>
          <w:szCs w:val="32"/>
        </w:rPr>
        <w:t>内设机构</w:t>
      </w:r>
      <w:r>
        <w:rPr>
          <w:rFonts w:ascii="仿宋" w:hAnsi="仿宋" w:eastAsia="仿宋"/>
          <w:sz w:val="32"/>
          <w:szCs w:val="32"/>
        </w:rPr>
        <w:t>，各部门职责如下：</w:t>
      </w:r>
    </w:p>
    <w:p>
      <w:pPr>
        <w:adjustRightInd w:val="0"/>
        <w:spacing w:line="560" w:lineRule="atLeast"/>
        <w:ind w:firstLine="643" w:firstLineChars="200"/>
        <w:rPr>
          <w:rFonts w:ascii="仿宋" w:hAnsi="仿宋" w:eastAsia="仿宋" w:cs="??_GB2312"/>
          <w:b/>
          <w:szCs w:val="32"/>
        </w:rPr>
      </w:pPr>
      <w:r>
        <w:rPr>
          <w:rFonts w:hint="eastAsia" w:ascii="仿宋" w:hAnsi="仿宋" w:eastAsia="仿宋" w:cs="??_GB2312"/>
          <w:b/>
          <w:sz w:val="32"/>
          <w:szCs w:val="32"/>
        </w:rPr>
        <w:t>1、办公室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（1）汇总党风廉政建设和反腐败工作情况，组织起草县纪委、县监委有关文件文稿，编发通报和信息，审核以县纪委、县监委及办公室名义发布的公文；</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组织协调县纪委、县监委机关机要文件的办理和运行管理，保管、使用县纪委、县监委及其办公室印章，负责制发机关各部门、直属单位及派驻机构印章，负责机关保密工作，协调纪检监察系统密码管理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（3）负责县纪委、县监委机关对外联络接洽、秘书、值班工作；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（4）统筹指导归档工作，负责县纪委、县监委机关及派驻机构文书、音像等档案管理，编辑整理有关档案材料；</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（5）负责本部门干部日常管理和监督，承办领导交办的其他事项。</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（6）负责处理县纪委、县监委机关日常事务，负责县纪委全委会、县纪委</w:t>
      </w:r>
      <w:r>
        <w:rPr>
          <w:rFonts w:hint="eastAsia" w:ascii="仿宋" w:hAnsi="仿宋" w:eastAsia="仿宋" w:cs="??_GB2312"/>
          <w:sz w:val="32"/>
          <w:szCs w:val="32"/>
          <w:lang w:eastAsia="zh-CN"/>
        </w:rPr>
        <w:t>常委会会议</w:t>
      </w:r>
      <w:r>
        <w:rPr>
          <w:rFonts w:hint="eastAsia" w:ascii="仿宋" w:hAnsi="仿宋" w:eastAsia="仿宋" w:cs="??_GB2312"/>
          <w:sz w:val="32"/>
          <w:szCs w:val="32"/>
        </w:rPr>
        <w:t>、县监委委务会、县纪委书记办公会、县监委主任会及其他重要会议、活动的筹备组织工作，负责与县纪委委员的联系；</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（7）督促检查县纪委、县监委、县委、县政府领导批办交办事项的落实情况，以及县纪委全委会、县纪委</w:t>
      </w:r>
      <w:r>
        <w:rPr>
          <w:rFonts w:hint="eastAsia" w:ascii="仿宋" w:hAnsi="仿宋" w:eastAsia="仿宋" w:cs="??_GB2312"/>
          <w:sz w:val="32"/>
          <w:szCs w:val="32"/>
          <w:lang w:eastAsia="zh-CN"/>
        </w:rPr>
        <w:t>常委会会议</w:t>
      </w:r>
      <w:r>
        <w:rPr>
          <w:rFonts w:hint="eastAsia" w:ascii="仿宋" w:hAnsi="仿宋" w:eastAsia="仿宋" w:cs="??_GB2312"/>
          <w:sz w:val="32"/>
          <w:szCs w:val="32"/>
        </w:rPr>
        <w:t>、县监委委员会议、县纪委书记办公会、县监委主任会及县纪委、县监委领导批办交办事项的落实情况，汇总县纪委、县监委机关贯彻落实县委党的建设工作领导小组分工任务情况，组织县人大提案提交工作，组织协调有关县人大代表建议和县政协提案答复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（8）协调县纪委、县监委机关有关工作，指导纪检监察系统的办公室工作；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（9）负责县纪委、县监委机关后勤管理和服务等工作；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（10）负责县纪委、县监委机关及直属单位财务管理、国有资产管理、房管基建和安全保卫工作；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（11）配合审计主管部门对县纪委、县监委机关财务进行审计，对机关本级专项经费和直属单位财务进行审计；</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（12）负责县纪委、县监委机关及派驻机构涉案款物管理工作；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（13）负责县纪委、县监委机关及直属单位干部职工医疗和卫生防疫工作；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（14）负责本部门干部日常管理和监督，承办领导交办的其他事项。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2、组织部</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（1）负责全县纪检监察系统领导班子建设、干部队伍建设和组织建设的综合规划、政策研究和制度建设；</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（2）负责县纪委、县监委机关内部领导班子和干部队伍建设，承办有关机构编制、干部人事、人员档案、工资福利等工作，配合机关党委加强机关内部干部日常管理和监督；</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（3）负责承办县级派驻纪检监察机构领导班子和干部队伍建设以及有关综合协调工作，承办有关机构编制、干部人事、人员档案等工作；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（4）会同有关部门，负责县纪委派出纪工委领导班子考察、任免及组织建设等相关工作；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（5）会同有关部门，负责县直单位内设纪检监察机构领导班子和组织建设，承办相关干部人事工作；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（6）会同有关部门，负责县（县、区）纪检监察机关领导班子建设，承办县（县、区）纪委书记、副书记提名和考察等干部人事工作，指导全县纪检监察系统干部队伍建设和组织建设；</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负责全县纪检监察系统干部教育培训工作，会同有关部门承办对全县纪检监察系统的表彰、奖励工作，负责县纪委、监委机关因公临时出国（增）备案和机关、派驻机构工作人员因私出国（增）办理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（8）负责贯彻落实党中央、国务院、省委、省政府、市委、市政府、县委、县政府关于离退休工作的方针政策，结合县纪委、县监委机关实际制定实施办法；</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（9）负责离退休干部（职工）党组织建设和思想政治工作，组织离退休干部（职工）开展党员活动；</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（10）负责组织离退休干部（职工）开展文化娱乐和健康休养等活动；</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（11）协同县纪委、县监委机关有关部门做好离退休干部（职工）的生活服务管理、关系接转、信息统计、宣传表彰等工作，办理离退休人员的善后事宜；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（12）负责组织协调全县党风廉政建设和反腐败宣传工作，组织开展相关法律法规、理论政策、形势任务、决策部署、成效经验和先进典型等宣传及舆论引导工作；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（13）负责组织协调全县党风廉政建设和反腐败教育工作，开展对党员、公务员的理想信念和宗旨教育、党风党纪和廉洁自律教育，组织协调廉政文化建设及纪检监察电化教育工作；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（14）负责县纪委、县监委机关的新闻事务，承担县纪委、县监委新闻发布的日常工作，组织协调党风廉政建设和反腐败信息传播工作；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（15）负责组织协调全县党风廉政建设和反腐败网络舆情信息收集、研判和处置工作，协调县有关部门和重点新闻网站等做好网络宣传引导工作；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（16）指导全县纪检监察系统的宣传教育、廉政文化建设和网络信息工作；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（17）研究分析全县职务犯罪的特点、规律，提出预防对策及制定相关责任追究办法；</w:t>
      </w:r>
    </w:p>
    <w:p>
      <w:pPr>
        <w:spacing w:line="560" w:lineRule="atLeast"/>
        <w:ind w:firstLine="640" w:firstLineChars="200"/>
        <w:rPr>
          <w:rFonts w:ascii="仿宋_GB2312" w:eastAsia="仿宋_GB2312" w:cs="??_GB2312"/>
          <w:b/>
          <w:bCs/>
          <w:color w:val="000000"/>
          <w:kern w:val="0"/>
          <w:sz w:val="32"/>
          <w:szCs w:val="32"/>
        </w:rPr>
      </w:pPr>
      <w:r>
        <w:rPr>
          <w:rFonts w:hint="eastAsia" w:ascii="仿宋" w:hAnsi="仿宋" w:eastAsia="仿宋" w:cs="??_GB2312"/>
          <w:sz w:val="32"/>
          <w:szCs w:val="32"/>
        </w:rPr>
        <w:t>（18）负责本部门干部日常管理和监督，承办领导交办的其他事项。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3、党风政风监督室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（1）综合协调贯彻执行党的路线方针政策和决议、国家法律法规等情况的监督检查，组织协调重要监督检查活动；</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（2）综合协调党风廉政建设责任制、党政领导干部问责规定的贯彻落实；</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（3）综合协调政治纪律的执行和作风建设规定、廉洁自律规定的落实，开展有关党风政风监督专项检查，综合协调对违反作风建设规定问题的查处；</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（4）综合分析党风政风监督工作情况，开展相关政策理论研究，提出工作建议；</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（5）综合协调应由县纪委、县监委机关参与调查的事故、事件中涉及的监督、监察对象违纪违法行为和需要问责情形的调查处理，指导、督办地方和部门对相关事故、事件的调查处理；</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（6）统筹协调县纪委、县监委机关各监督部门开展监督工作，定期汇总监督检查情况，组织相关部门参加联系单位领导班子民主生活会；</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（7）指导全县纪检监察系统的党风政风监督工作；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（8）组织协调特邀监察员工作；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（9）协助办理县管干部任职前回复县委组织部意见工作</w:t>
      </w:r>
      <w:r>
        <w:rPr>
          <w:rFonts w:ascii="仿宋" w:hAnsi="仿宋" w:eastAsia="仿宋" w:cs="??_GB2312"/>
          <w:sz w:val="32"/>
          <w:szCs w:val="32"/>
        </w:rPr>
        <w:t>;</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（10）负责本部门干部日常管理和监督，承办领导交办的其他事项。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4、案件监督管理室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负责对县管干部问题线索进行集中管理、动态更新、定期汇总核对，提出分办意见，按程序移送承办部门；统一受理巡察工作机构和审计机关、行政执法机关、司法机关等单位移交的相关问题线索；对党风政风监督、执纪监督、执纪审查、干部监督部门发现的相关问题线索根据受理范围权限进行备案或转交相关监督执纪部门；对审理工作完成后，涉及的其他党员、监察对象的问题线索，经批准后及时移送有关纪检监察机关处置；负责对采取留置措施履行审批程序和管理；</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（2）按照查办腐败案件以上级纪委、监委领导为主的要求，线索处置和案件查办在向同级党委报告的同时，向省纪委、省监委报告；统一受理下级纪检监察机关线索处置和案件查办报告，分送相关监督检查室；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（3）负责查办案件相关工作的组织协调，建立跨地区跨部门协作办案机制，归口管理与有关部门的联系协调事项，负责国（境）内追逃防逃相关工作，建立健全追逃防逃国内协调机制；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（4）负责对依纪依法安全办案情况进行监督检查，对县纪委、县监委办案场所的安全保卫、保密工作进行监督检查，落实办案安全工作责任制，督促各级纪检监察机关做好办案安全事故调查和责任追究；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（5）督促查办市纪委、市监委领导批办、交办案件及办理相关事项；</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（6）组织、协调、指挥重大案件的侦查、协作等工作；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（7）负责对查办案件及其相关专项工作情况进行统计分析；</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（8）组织办理县管干部任职前回复县委组织部意见工作；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（9）指导全县纪检监察系统的案件监督管理工作；</w:t>
      </w:r>
    </w:p>
    <w:p>
      <w:pPr>
        <w:spacing w:line="560" w:lineRule="atLeast"/>
        <w:ind w:firstLine="640" w:firstLineChars="200"/>
        <w:rPr>
          <w:rFonts w:ascii="仿宋_GB2312" w:hAnsi="宋体" w:eastAsia="仿宋_GB2312" w:cs="??_GB2312"/>
          <w:sz w:val="32"/>
          <w:szCs w:val="32"/>
        </w:rPr>
      </w:pPr>
      <w:r>
        <w:rPr>
          <w:rFonts w:hint="eastAsia" w:ascii="仿宋" w:hAnsi="仿宋" w:eastAsia="仿宋" w:cs="??_GB2312"/>
          <w:sz w:val="32"/>
          <w:szCs w:val="32"/>
        </w:rPr>
        <w:t>（10）负责本部门干部日常管理和监督，承办领导交办的其他事项。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5、信访室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（1）受理对党组织、党员和监察对象违反党纪政纪行为的检举、控告，受理不服党纪政纪处分和其他处理的申诉，处理群众来信、接待群众来访、接听举报电话、处理网络举报；</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（2）提供信访举报信息，向县纪委、县监委领导报告重要举报情况；</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（3）负责省纪委、省监委交办的信访案件的转办、督办工作；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（4）向下级纪检监察机关交办并督办有关检举、控告和申诉事项，审核办理结果；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（5）对打击报复举报人的检举、控告进行核实；</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（6）处置信访举报中的突发情况；</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（7）对信访举报工作进行调查研究，指导全县纪检监察系统的信访举报工作；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（8）协助办理县管干部任职前回复县委组织部意见工作</w:t>
      </w:r>
      <w:r>
        <w:rPr>
          <w:rFonts w:ascii="仿宋" w:hAnsi="仿宋" w:eastAsia="仿宋" w:cs="??_GB2312"/>
          <w:sz w:val="32"/>
          <w:szCs w:val="32"/>
        </w:rPr>
        <w:t>;</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6、案件审理室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（1）审理县纪委、县监委直接审查处理和县级党组织、政府（部门）报批或备案的案件；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承办党员、监察对象对县纪委、县监委作出的党纪、政务处分或其他处理不服，对县级党组织、政府（部门）作出的复议复查（复审复查）决定不服的申诉案件，及其他需要由县纪委、县监委办理的申诉案件，处理、督办县纪委、县监委收到的申诉信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（3）承办县监委审查的有关案件向检察机关移送起诉工作；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（4）承担县监委的行政复议、行政应诉工作，承办县监委给予的政务处分的解除工作；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（5）承办县级党组织、政府（部门）和县纪委、县监委机关有关部门征求案件审理室意见的案件；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（6）起草案件审理、申诉复查和解除政务处分工作的程序性条规，对全县纪检监察系统案件审理、申诉复查复议工作进行业务指导和监督检查；</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（7）对执纪审查和案件审理工作中存在的问题提出改进意见和建议。</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7、第一审查调查室至第三审查调查室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（1）负责县委工作部门、县委批准设立的党组（党委），下一级党委、纪委等党组织和县管干部违反党的章程和其他党内法规的比较重要或复杂案件的初核、审查并提出处理建议；</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（2）负责对履行职责不力、失职失责的党组织和党员领导干部及其他领导人员的问责调查，参与事故、事件中涉及的监督对象违纪违法行为和需要问责情形的调查，并提出处理建议；</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（3）负责依法调查公职人员涉嫌贪污贿赂、滥用职权、玩忽职守、权利寻租、利益输送、徇私舞弊以及浪费国家资材等职务违法和职务犯罪行为，并提出处理意见；</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做好问题线索的日常管理工作；定期汇总线索处置情况，及时向案件监督管理部门通报；对本部门发现的相关问题线索，属于受理范围的送案件监督管理部门备案；不属本部门受理范围的，经审批后移送案件监督管理部门办理；对移送司法机关的案件，及时跟踪了解处置情况；协助、配合有关部门开展巡察、县管干部任职前回复意见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8、第四监督检查室至第八监督检查室（机构规格股级）</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（1）监督检查联系乡镇、社区县直单位党委（党组）落实党风廉政建设主体责任、纪委落实监督责任的情况，履行对联系乡镇、社区、县直单位党风廉政建设的监督责任；</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监督检查联系乡镇、社区、县直单位领导班子及县管干部遵守和执行党章以及其他党内法规，遵守和执行党的路线方针政策和决议、国家法律法规，落实县委、县政府的决策部署，遵守政治纪律和政治规矩，以及贯彻执行民主集中制、选拔任用干部、加强作风建设、依法行使职权和廉洁从政等情况，发现重要问题向县纪委及时报告。参加联系乡镇、社区、县直单位领导班子民主生活会，组织协调对联系乡镇、社区、县直单位县管干部的诫勉谈话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（3）综合、协调、指导联系乡镇、社区的纪检监察工作；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协助考察了解联系乡镇、社区纪检监察机关领导班子和干部队伍建设情况。对腐败现象易发多发领域和关键环节、群众关心关注的热点和难点问题，开展重点专题监督检查，发现思想、作风、管理、制度等建设方面存在的问题和漏洞。</w:t>
      </w:r>
    </w:p>
    <w:p>
      <w:pPr>
        <w:adjustRightInd w:val="0"/>
        <w:spacing w:line="560" w:lineRule="atLeast"/>
        <w:ind w:firstLine="643" w:firstLineChars="200"/>
        <w:rPr>
          <w:rFonts w:hint="eastAsia" w:ascii="仿宋" w:hAnsi="仿宋" w:eastAsia="仿宋" w:cs="??_GB2312"/>
          <w:b/>
          <w:sz w:val="32"/>
          <w:szCs w:val="32"/>
          <w:lang w:eastAsia="zh-CN"/>
        </w:rPr>
      </w:pPr>
      <w:r>
        <w:rPr>
          <w:rFonts w:hint="eastAsia" w:ascii="仿宋" w:hAnsi="仿宋" w:eastAsia="仿宋" w:cs="??_GB2312"/>
          <w:b/>
          <w:sz w:val="32"/>
          <w:szCs w:val="32"/>
        </w:rPr>
        <w:t>9、四个派驻</w:t>
      </w:r>
      <w:r>
        <w:rPr>
          <w:rFonts w:hint="eastAsia" w:ascii="仿宋" w:hAnsi="仿宋" w:eastAsia="仿宋" w:cs="??_GB2312"/>
          <w:b/>
          <w:sz w:val="32"/>
          <w:szCs w:val="32"/>
          <w:lang w:eastAsia="zh-CN"/>
        </w:rPr>
        <w:t>纪检监察组</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主要职责为：（1）监督促进驻在部门领导班子落实全面从严治党主体责任，监督促进驻在部门党政一把手当好第一责任人。监督检查驻在部门领导班子及其成员遵守党章党规党纪、执行党的路线方针政策和决议、推进党风廉政建设和反腐败斗争及廉洁自律等情况，经常、及时向县纪委报告上述情况及发现的重要问题。受理对驻在部门党的组织和党员的检举、控告。（2）经县纪委批准，初步核实反映驻在部门领导班子及县委管理干部的问题线索；参与审查驻在部门领导班子及县委管理干部违反党纪的案件。负责审查驻在部门管理的领导班子及其成员和股级干部违反党纪的案件。受理驻在部门党的组织和党员的申诉。（3）对违反党章和其他党内法规，不履行或者不正确履行职责的驻在部门党的组织和负有责任的党的领导干部，按照管理权限对其作出问责决定，或者向有权作出问责决定的党的组织提出问责建议。（4）推动驻在部门开展廉政教育。依法对驻在部门的领导班子和行使公权力的公职人员进行监督，维护宪法法律，对其依法履职、秉公用权、廉洁从政以及道德操守情况进行监督检查。发现领导班子和县委管理的公职人员存在问题的，及时向县纪委监委报告;发现其他公职人员存在问题的，会同驻在部门开展调查处置，强化监督职责。受理对驻在部门监察对象的检举、控告。(5)负责调</w:t>
      </w:r>
      <w:r>
        <w:rPr>
          <w:rFonts w:hint="eastAsia" w:ascii="仿宋" w:hAnsi="仿宋" w:eastAsia="仿宋" w:cs="??_GB2312"/>
          <w:sz w:val="32"/>
          <w:szCs w:val="32"/>
          <w:lang w:eastAsia="zh-CN"/>
        </w:rPr>
        <w:t>查</w:t>
      </w:r>
      <w:r>
        <w:rPr>
          <w:rFonts w:hint="eastAsia" w:ascii="仿宋" w:hAnsi="仿宋" w:eastAsia="仿宋" w:cs="??_GB2312"/>
          <w:sz w:val="32"/>
          <w:szCs w:val="32"/>
        </w:rPr>
        <w:t>驻在部门非县委管理的股级及以下公职人员涉嫌职务违法案件。在开展职务违法调查时，可以派驻机构名义采取不限制人身和财产权利的措施，确需采取冻结、查封、扣押等限制人身和财产权利的措施的，报县纪委监委批准后，以县纪委监委名义实施。发现涉嫌职务犯罪问题的，报县纪委监委批准后，移交县纪委监委相关审查调查室调查或者与县纪委监委相关审查调查室联合开展审查调查。移交纪委监委按程序报批后开展审查调查。受理驻在部门监察对象不服纪检监察组所作涉及本人的处理决定的复审申请。(6)按照管理权限，对驻在部门违法的公职人员依法作出政务处分决定。对不履行或者不正确履行职责负有责任的领导人员，按照管理权限对其作出问责决定，或者向有权作出问责决定的机关提出问责建议。根据监察结果，对驻在部门廉政建设和履行职责存在的问题等提出监察建议。(7)负责对本派驻机构干部的日常管理和监督。(8)完成县纪委监委交办的其他任务。</w:t>
      </w:r>
    </w:p>
    <w:p>
      <w:pPr>
        <w:snapToGrid w:val="0"/>
        <w:spacing w:line="560" w:lineRule="atLeast"/>
        <w:outlineLvl w:val="1"/>
        <w:rPr>
          <w:rFonts w:ascii="楷体" w:hAnsi="楷体" w:eastAsia="楷体"/>
          <w:sz w:val="32"/>
          <w:szCs w:val="32"/>
        </w:rPr>
      </w:pPr>
      <w:r>
        <w:rPr>
          <w:rFonts w:hint="eastAsia" w:ascii="楷体" w:hAnsi="楷体" w:eastAsia="楷体"/>
          <w:sz w:val="32"/>
          <w:szCs w:val="32"/>
        </w:rPr>
        <w:t>（三）、单位编制情况</w:t>
      </w:r>
    </w:p>
    <w:p>
      <w:pPr>
        <w:adjustRightInd w:val="0"/>
        <w:spacing w:line="560" w:lineRule="atLeast"/>
        <w:ind w:firstLine="640" w:firstLineChars="200"/>
        <w:rPr>
          <w:rFonts w:hint="eastAsia" w:ascii="仿宋" w:hAnsi="仿宋" w:eastAsia="仿宋"/>
          <w:sz w:val="32"/>
          <w:szCs w:val="32"/>
        </w:rPr>
      </w:pPr>
      <w:r>
        <w:rPr>
          <w:rFonts w:hint="eastAsia" w:ascii="仿宋" w:hAnsi="仿宋" w:eastAsia="仿宋"/>
          <w:sz w:val="32"/>
          <w:szCs w:val="32"/>
        </w:rPr>
        <w:t>我单位编制67人，在职人员64人（含两名工勤人员），退休人员17人。另有劳务派遣人员7人，公益岗2人，领取遗属补助人员2名。</w:t>
      </w:r>
    </w:p>
    <w:p>
      <w:pPr>
        <w:adjustRightInd w:val="0"/>
        <w:spacing w:line="560" w:lineRule="atLeast"/>
        <w:ind w:firstLine="640" w:firstLineChars="200"/>
        <w:rPr>
          <w:rFonts w:hint="eastAsia" w:ascii="仿宋" w:hAnsi="仿宋" w:eastAsia="仿宋"/>
          <w:sz w:val="32"/>
          <w:szCs w:val="32"/>
        </w:rPr>
      </w:pPr>
    </w:p>
    <w:p>
      <w:pPr>
        <w:jc w:val="center"/>
        <w:outlineLvl w:val="0"/>
        <w:rPr>
          <w:rFonts w:ascii="仿宋" w:hAnsi="仿宋" w:eastAsia="仿宋"/>
          <w:sz w:val="32"/>
        </w:rPr>
      </w:pPr>
      <w:bookmarkStart w:id="4" w:name="_Toc22916"/>
      <w:r>
        <w:rPr>
          <w:rFonts w:hint="eastAsia" w:ascii="仿宋" w:hAnsi="仿宋" w:eastAsia="仿宋"/>
          <w:sz w:val="32"/>
          <w:lang w:val="en-US" w:eastAsia="zh-CN"/>
        </w:rPr>
        <w:t>单位</w:t>
      </w:r>
      <w:r>
        <w:rPr>
          <w:rFonts w:hint="eastAsia" w:ascii="仿宋" w:hAnsi="仿宋" w:eastAsia="仿宋"/>
          <w:sz w:val="32"/>
        </w:rPr>
        <w:t>基本情况表</w:t>
      </w:r>
      <w:bookmarkEnd w:id="3"/>
      <w:bookmarkEnd w:id="4"/>
    </w:p>
    <w:p>
      <w:pPr>
        <w:jc w:val="center"/>
        <w:outlineLvl w:val="9"/>
        <w:rPr>
          <w:rFonts w:ascii="仿宋" w:hAnsi="仿宋" w:eastAsia="仿宋"/>
          <w:sz w:val="36"/>
        </w:rPr>
      </w:pPr>
    </w:p>
    <w:tbl>
      <w:tblPr>
        <w:tblStyle w:val="10"/>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738"/>
        <w:gridCol w:w="1915"/>
        <w:gridCol w:w="1642"/>
        <w:gridCol w:w="2532"/>
        <w:gridCol w:w="1030"/>
        <w:gridCol w:w="808"/>
        <w:gridCol w:w="724"/>
        <w:gridCol w:w="904"/>
        <w:gridCol w:w="556"/>
        <w:gridCol w:w="727"/>
        <w:gridCol w:w="871"/>
        <w:gridCol w:w="5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tblHeader/>
          <w:jc w:val="center"/>
        </w:trPr>
        <w:tc>
          <w:tcPr>
            <w:tcW w:w="3552" w:type="pct"/>
            <w:gridSpan w:val="6"/>
            <w:tcBorders>
              <w:top w:val="single" w:color="FFFFFF" w:sz="6" w:space="0"/>
              <w:left w:val="single" w:color="FFFFFF" w:sz="6" w:space="0"/>
              <w:right w:val="single" w:color="FFFFFF"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lang w:eastAsia="zh-CN"/>
              </w:rPr>
              <w:t>222001</w:t>
            </w:r>
            <w:r>
              <w:rPr>
                <w:rFonts w:hint="eastAsia" w:ascii="仿宋" w:hAnsi="仿宋" w:eastAsia="仿宋"/>
                <w:sz w:val="30"/>
                <w:szCs w:val="30"/>
              </w:rPr>
              <w:t>中国共产党河北省纪律检查委员会</w:t>
            </w:r>
          </w:p>
        </w:tc>
        <w:tc>
          <w:tcPr>
            <w:tcW w:w="1447" w:type="pct"/>
            <w:gridSpan w:val="6"/>
            <w:tcBorders>
              <w:top w:val="single" w:color="FFFFFF" w:sz="6" w:space="0"/>
              <w:left w:val="single" w:color="FFFFFF" w:sz="6" w:space="0"/>
              <w:right w:val="single" w:color="FFFFFF" w:sz="6" w:space="0"/>
            </w:tcBorders>
            <w:vAlign w:val="center"/>
          </w:tcPr>
          <w:p>
            <w:pPr>
              <w:spacing w:line="300" w:lineRule="exact"/>
              <w:jc w:val="right"/>
              <w:rPr>
                <w:rFonts w:ascii="仿宋" w:hAnsi="仿宋" w:eastAsia="仿宋"/>
                <w:sz w:val="30"/>
                <w:szCs w:val="30"/>
              </w:rPr>
            </w:pPr>
            <w:r>
              <w:rPr>
                <w:rFonts w:hint="eastAsia" w:ascii="仿宋" w:hAnsi="仿宋" w:eastAsia="仿宋"/>
                <w:sz w:val="30"/>
                <w:szCs w:val="30"/>
              </w:rPr>
              <w:t>单位：人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tblHeader/>
          <w:jc w:val="center"/>
        </w:trPr>
        <w:tc>
          <w:tcPr>
            <w:tcW w:w="912"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单位名称</w:t>
            </w:r>
          </w:p>
        </w:tc>
        <w:tc>
          <w:tcPr>
            <w:tcW w:w="638"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单位性质</w:t>
            </w:r>
          </w:p>
        </w:tc>
        <w:tc>
          <w:tcPr>
            <w:tcW w:w="547"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单位规格</w:t>
            </w:r>
          </w:p>
        </w:tc>
        <w:tc>
          <w:tcPr>
            <w:tcW w:w="843"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经费保障形式</w:t>
            </w:r>
          </w:p>
        </w:tc>
        <w:tc>
          <w:tcPr>
            <w:tcW w:w="343"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车辆实有数</w:t>
            </w:r>
          </w:p>
        </w:tc>
        <w:tc>
          <w:tcPr>
            <w:tcW w:w="508" w:type="pct"/>
            <w:gridSpan w:val="2"/>
            <w:vAlign w:val="center"/>
          </w:tcPr>
          <w:p>
            <w:pPr>
              <w:spacing w:line="300" w:lineRule="exact"/>
              <w:jc w:val="center"/>
              <w:rPr>
                <w:rFonts w:ascii="仿宋" w:hAnsi="仿宋" w:eastAsia="仿宋"/>
                <w:sz w:val="30"/>
                <w:szCs w:val="30"/>
              </w:rPr>
            </w:pPr>
            <w:r>
              <w:rPr>
                <w:rFonts w:hint="eastAsia" w:ascii="仿宋" w:hAnsi="仿宋" w:eastAsia="仿宋"/>
                <w:sz w:val="30"/>
                <w:szCs w:val="30"/>
              </w:rPr>
              <w:t>编制人数</w:t>
            </w:r>
          </w:p>
        </w:tc>
        <w:tc>
          <w:tcPr>
            <w:tcW w:w="486" w:type="pct"/>
            <w:gridSpan w:val="2"/>
            <w:vAlign w:val="center"/>
          </w:tcPr>
          <w:p>
            <w:pPr>
              <w:spacing w:line="300" w:lineRule="exact"/>
              <w:jc w:val="center"/>
              <w:rPr>
                <w:rFonts w:ascii="仿宋" w:hAnsi="仿宋" w:eastAsia="仿宋"/>
                <w:sz w:val="30"/>
                <w:szCs w:val="30"/>
              </w:rPr>
            </w:pPr>
            <w:r>
              <w:rPr>
                <w:rFonts w:hint="eastAsia" w:ascii="仿宋" w:hAnsi="仿宋" w:eastAsia="仿宋"/>
                <w:sz w:val="30"/>
                <w:szCs w:val="30"/>
              </w:rPr>
              <w:t>在职人数</w:t>
            </w:r>
          </w:p>
        </w:tc>
        <w:tc>
          <w:tcPr>
            <w:tcW w:w="719" w:type="pct"/>
            <w:gridSpan w:val="3"/>
            <w:vAlign w:val="center"/>
          </w:tcPr>
          <w:p>
            <w:pPr>
              <w:spacing w:line="300" w:lineRule="exact"/>
              <w:jc w:val="center"/>
              <w:rPr>
                <w:rFonts w:ascii="仿宋" w:hAnsi="仿宋" w:eastAsia="仿宋"/>
                <w:sz w:val="30"/>
                <w:szCs w:val="30"/>
              </w:rPr>
            </w:pPr>
            <w:r>
              <w:rPr>
                <w:rFonts w:hint="eastAsia" w:ascii="仿宋" w:hAnsi="仿宋" w:eastAsia="仿宋"/>
                <w:sz w:val="30"/>
                <w:szCs w:val="30"/>
              </w:rPr>
              <w:t>离退人数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8" w:hRule="atLeast"/>
          <w:tblHeader/>
          <w:jc w:val="center"/>
        </w:trPr>
        <w:tc>
          <w:tcPr>
            <w:tcW w:w="912" w:type="pct"/>
            <w:vMerge w:val="continue"/>
            <w:vAlign w:val="center"/>
          </w:tcPr>
          <w:p>
            <w:pPr>
              <w:spacing w:line="300" w:lineRule="exact"/>
              <w:jc w:val="left"/>
              <w:outlineLvl w:val="9"/>
              <w:rPr>
                <w:rFonts w:ascii="仿宋" w:hAnsi="仿宋" w:eastAsia="仿宋"/>
                <w:sz w:val="30"/>
                <w:szCs w:val="30"/>
              </w:rPr>
            </w:pPr>
          </w:p>
        </w:tc>
        <w:tc>
          <w:tcPr>
            <w:tcW w:w="638" w:type="pct"/>
            <w:vMerge w:val="continue"/>
            <w:vAlign w:val="center"/>
          </w:tcPr>
          <w:p>
            <w:pPr>
              <w:spacing w:line="300" w:lineRule="exact"/>
              <w:jc w:val="left"/>
              <w:outlineLvl w:val="9"/>
              <w:rPr>
                <w:rFonts w:ascii="仿宋" w:hAnsi="仿宋" w:eastAsia="仿宋"/>
                <w:sz w:val="30"/>
                <w:szCs w:val="30"/>
              </w:rPr>
            </w:pPr>
          </w:p>
        </w:tc>
        <w:tc>
          <w:tcPr>
            <w:tcW w:w="547" w:type="pct"/>
            <w:vMerge w:val="continue"/>
            <w:vAlign w:val="center"/>
          </w:tcPr>
          <w:p>
            <w:pPr>
              <w:spacing w:line="300" w:lineRule="exact"/>
              <w:jc w:val="left"/>
              <w:outlineLvl w:val="9"/>
              <w:rPr>
                <w:rFonts w:ascii="仿宋" w:hAnsi="仿宋" w:eastAsia="仿宋"/>
                <w:sz w:val="30"/>
                <w:szCs w:val="30"/>
              </w:rPr>
            </w:pPr>
          </w:p>
        </w:tc>
        <w:tc>
          <w:tcPr>
            <w:tcW w:w="843" w:type="pct"/>
            <w:vMerge w:val="continue"/>
            <w:vAlign w:val="center"/>
          </w:tcPr>
          <w:p>
            <w:pPr>
              <w:spacing w:line="300" w:lineRule="exact"/>
              <w:jc w:val="left"/>
              <w:outlineLvl w:val="9"/>
              <w:rPr>
                <w:rFonts w:ascii="仿宋" w:hAnsi="仿宋" w:eastAsia="仿宋"/>
                <w:sz w:val="30"/>
                <w:szCs w:val="30"/>
              </w:rPr>
            </w:pPr>
          </w:p>
        </w:tc>
        <w:tc>
          <w:tcPr>
            <w:tcW w:w="343" w:type="pct"/>
            <w:vMerge w:val="continue"/>
            <w:vAlign w:val="center"/>
          </w:tcPr>
          <w:p>
            <w:pPr>
              <w:spacing w:line="300" w:lineRule="exact"/>
              <w:jc w:val="left"/>
              <w:outlineLvl w:val="9"/>
              <w:rPr>
                <w:rFonts w:ascii="仿宋" w:hAnsi="仿宋" w:eastAsia="仿宋"/>
                <w:sz w:val="30"/>
                <w:szCs w:val="30"/>
              </w:rPr>
            </w:pPr>
          </w:p>
        </w:tc>
        <w:tc>
          <w:tcPr>
            <w:tcW w:w="266"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行政</w:t>
            </w:r>
          </w:p>
        </w:tc>
        <w:tc>
          <w:tcPr>
            <w:tcW w:w="241"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事业</w:t>
            </w:r>
          </w:p>
        </w:tc>
        <w:tc>
          <w:tcPr>
            <w:tcW w:w="301"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行政</w:t>
            </w:r>
          </w:p>
        </w:tc>
        <w:tc>
          <w:tcPr>
            <w:tcW w:w="185"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事业</w:t>
            </w:r>
          </w:p>
        </w:tc>
        <w:tc>
          <w:tcPr>
            <w:tcW w:w="242"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离休</w:t>
            </w:r>
          </w:p>
        </w:tc>
        <w:tc>
          <w:tcPr>
            <w:tcW w:w="290"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退休</w:t>
            </w:r>
          </w:p>
        </w:tc>
        <w:tc>
          <w:tcPr>
            <w:tcW w:w="186"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退职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6" w:hRule="atLeast"/>
          <w:jc w:val="center"/>
        </w:trPr>
        <w:tc>
          <w:tcPr>
            <w:tcW w:w="912"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合计</w:t>
            </w:r>
          </w:p>
        </w:tc>
        <w:tc>
          <w:tcPr>
            <w:tcW w:w="638" w:type="pct"/>
            <w:vAlign w:val="center"/>
          </w:tcPr>
          <w:p>
            <w:pPr>
              <w:spacing w:line="300" w:lineRule="exact"/>
              <w:jc w:val="center"/>
              <w:rPr>
                <w:rFonts w:ascii="仿宋" w:hAnsi="仿宋" w:eastAsia="仿宋"/>
                <w:sz w:val="30"/>
                <w:szCs w:val="30"/>
              </w:rPr>
            </w:pPr>
          </w:p>
        </w:tc>
        <w:tc>
          <w:tcPr>
            <w:tcW w:w="547" w:type="pct"/>
            <w:vAlign w:val="center"/>
          </w:tcPr>
          <w:p>
            <w:pPr>
              <w:spacing w:line="300" w:lineRule="exact"/>
              <w:jc w:val="center"/>
              <w:rPr>
                <w:rFonts w:ascii="仿宋" w:hAnsi="仿宋" w:eastAsia="仿宋"/>
                <w:sz w:val="30"/>
                <w:szCs w:val="30"/>
              </w:rPr>
            </w:pPr>
          </w:p>
        </w:tc>
        <w:tc>
          <w:tcPr>
            <w:tcW w:w="843" w:type="pct"/>
            <w:vAlign w:val="center"/>
          </w:tcPr>
          <w:p>
            <w:pPr>
              <w:spacing w:line="300" w:lineRule="exact"/>
              <w:jc w:val="center"/>
              <w:rPr>
                <w:rFonts w:ascii="仿宋" w:hAnsi="仿宋" w:eastAsia="仿宋"/>
                <w:sz w:val="30"/>
                <w:szCs w:val="30"/>
              </w:rPr>
            </w:pPr>
          </w:p>
        </w:tc>
        <w:tc>
          <w:tcPr>
            <w:tcW w:w="343"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14</w:t>
            </w:r>
          </w:p>
        </w:tc>
        <w:tc>
          <w:tcPr>
            <w:tcW w:w="266"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87</w:t>
            </w:r>
          </w:p>
        </w:tc>
        <w:tc>
          <w:tcPr>
            <w:tcW w:w="241" w:type="pct"/>
            <w:vAlign w:val="center"/>
          </w:tcPr>
          <w:p>
            <w:pPr>
              <w:spacing w:line="300" w:lineRule="exact"/>
              <w:jc w:val="center"/>
              <w:rPr>
                <w:rFonts w:ascii="仿宋" w:hAnsi="仿宋" w:eastAsia="仿宋"/>
                <w:sz w:val="30"/>
                <w:szCs w:val="30"/>
              </w:rPr>
            </w:pPr>
          </w:p>
        </w:tc>
        <w:tc>
          <w:tcPr>
            <w:tcW w:w="301"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87</w:t>
            </w:r>
          </w:p>
        </w:tc>
        <w:tc>
          <w:tcPr>
            <w:tcW w:w="185" w:type="pct"/>
            <w:vAlign w:val="center"/>
          </w:tcPr>
          <w:p>
            <w:pPr>
              <w:spacing w:line="300" w:lineRule="exact"/>
              <w:jc w:val="center"/>
              <w:rPr>
                <w:rFonts w:ascii="仿宋" w:hAnsi="仿宋" w:eastAsia="仿宋"/>
                <w:sz w:val="30"/>
                <w:szCs w:val="30"/>
              </w:rPr>
            </w:pPr>
          </w:p>
        </w:tc>
        <w:tc>
          <w:tcPr>
            <w:tcW w:w="242" w:type="pct"/>
            <w:vAlign w:val="center"/>
          </w:tcPr>
          <w:p>
            <w:pPr>
              <w:spacing w:line="300" w:lineRule="exact"/>
              <w:jc w:val="center"/>
              <w:rPr>
                <w:rFonts w:ascii="仿宋" w:hAnsi="仿宋" w:eastAsia="仿宋"/>
                <w:sz w:val="30"/>
                <w:szCs w:val="30"/>
              </w:rPr>
            </w:pPr>
          </w:p>
        </w:tc>
        <w:tc>
          <w:tcPr>
            <w:tcW w:w="290"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21</w:t>
            </w:r>
          </w:p>
        </w:tc>
        <w:tc>
          <w:tcPr>
            <w:tcW w:w="186" w:type="pct"/>
            <w:vAlign w:val="center"/>
          </w:tcPr>
          <w:p>
            <w:pPr>
              <w:spacing w:line="300" w:lineRule="exact"/>
              <w:jc w:val="center"/>
              <w:rPr>
                <w:rFonts w:ascii="仿宋" w:hAnsi="仿宋" w:eastAsia="仿宋"/>
                <w:sz w:val="30"/>
                <w:szCs w:val="3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jc w:val="center"/>
        </w:trPr>
        <w:tc>
          <w:tcPr>
            <w:tcW w:w="912" w:type="pct"/>
            <w:vAlign w:val="center"/>
          </w:tcPr>
          <w:p>
            <w:pPr>
              <w:spacing w:line="300" w:lineRule="exact"/>
              <w:jc w:val="left"/>
              <w:rPr>
                <w:rFonts w:ascii="仿宋" w:hAnsi="仿宋" w:eastAsia="仿宋"/>
                <w:sz w:val="30"/>
                <w:szCs w:val="30"/>
              </w:rPr>
            </w:pPr>
            <w:r>
              <w:rPr>
                <w:rFonts w:hint="eastAsia" w:ascii="仿宋" w:hAnsi="仿宋" w:eastAsia="仿宋"/>
                <w:sz w:val="30"/>
                <w:szCs w:val="30"/>
              </w:rPr>
              <w:t>中国共产党河北省纪律检查委员会</w:t>
            </w:r>
          </w:p>
        </w:tc>
        <w:tc>
          <w:tcPr>
            <w:tcW w:w="638"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行政</w:t>
            </w:r>
          </w:p>
        </w:tc>
        <w:tc>
          <w:tcPr>
            <w:tcW w:w="547"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副处级</w:t>
            </w:r>
          </w:p>
        </w:tc>
        <w:tc>
          <w:tcPr>
            <w:tcW w:w="843"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财政性资金基本保证</w:t>
            </w:r>
          </w:p>
        </w:tc>
        <w:tc>
          <w:tcPr>
            <w:tcW w:w="343"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14</w:t>
            </w:r>
          </w:p>
        </w:tc>
        <w:tc>
          <w:tcPr>
            <w:tcW w:w="266"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87</w:t>
            </w:r>
          </w:p>
        </w:tc>
        <w:tc>
          <w:tcPr>
            <w:tcW w:w="241" w:type="pct"/>
            <w:vAlign w:val="center"/>
          </w:tcPr>
          <w:p>
            <w:pPr>
              <w:spacing w:line="300" w:lineRule="exact"/>
              <w:jc w:val="center"/>
              <w:rPr>
                <w:rFonts w:ascii="仿宋" w:hAnsi="仿宋" w:eastAsia="仿宋"/>
                <w:sz w:val="30"/>
                <w:szCs w:val="30"/>
              </w:rPr>
            </w:pPr>
          </w:p>
        </w:tc>
        <w:tc>
          <w:tcPr>
            <w:tcW w:w="301"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87</w:t>
            </w:r>
          </w:p>
        </w:tc>
        <w:tc>
          <w:tcPr>
            <w:tcW w:w="185" w:type="pct"/>
            <w:vAlign w:val="center"/>
          </w:tcPr>
          <w:p>
            <w:pPr>
              <w:spacing w:line="300" w:lineRule="exact"/>
              <w:jc w:val="center"/>
              <w:rPr>
                <w:rFonts w:ascii="仿宋" w:hAnsi="仿宋" w:eastAsia="仿宋"/>
                <w:sz w:val="30"/>
                <w:szCs w:val="30"/>
              </w:rPr>
            </w:pPr>
          </w:p>
        </w:tc>
        <w:tc>
          <w:tcPr>
            <w:tcW w:w="242" w:type="pct"/>
            <w:vAlign w:val="center"/>
          </w:tcPr>
          <w:p>
            <w:pPr>
              <w:spacing w:line="300" w:lineRule="exact"/>
              <w:jc w:val="center"/>
              <w:rPr>
                <w:rFonts w:ascii="仿宋" w:hAnsi="仿宋" w:eastAsia="仿宋"/>
                <w:sz w:val="30"/>
                <w:szCs w:val="30"/>
              </w:rPr>
            </w:pPr>
          </w:p>
        </w:tc>
        <w:tc>
          <w:tcPr>
            <w:tcW w:w="290"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21</w:t>
            </w:r>
          </w:p>
        </w:tc>
        <w:tc>
          <w:tcPr>
            <w:tcW w:w="186" w:type="pct"/>
            <w:vAlign w:val="center"/>
          </w:tcPr>
          <w:p>
            <w:pPr>
              <w:spacing w:line="300" w:lineRule="exact"/>
              <w:jc w:val="center"/>
              <w:rPr>
                <w:rFonts w:ascii="仿宋" w:hAnsi="仿宋" w:eastAsia="仿宋"/>
                <w:sz w:val="30"/>
                <w:szCs w:val="30"/>
              </w:rPr>
            </w:pPr>
          </w:p>
        </w:tc>
      </w:tr>
    </w:tbl>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0"/>
        <w:rPr>
          <w:rFonts w:hint="eastAsia" w:ascii="黑体" w:hAnsi="黑体" w:eastAsia="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0"/>
        <w:rPr>
          <w:rFonts w:hint="eastAsia" w:ascii="黑体" w:hAnsi="黑体" w:eastAsia="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0"/>
        <w:rPr>
          <w:rFonts w:hint="eastAsia" w:ascii="黑体" w:hAnsi="黑体" w:eastAsia="黑体"/>
          <w:sz w:val="32"/>
          <w:szCs w:val="32"/>
        </w:rPr>
      </w:pPr>
      <w:r>
        <w:rPr>
          <w:rFonts w:hint="eastAsia" w:ascii="黑体" w:hAnsi="黑体" w:eastAsia="黑体"/>
          <w:sz w:val="32"/>
          <w:szCs w:val="32"/>
        </w:rPr>
        <w:t xml:space="preserve">二、 </w:t>
      </w:r>
      <w:r>
        <w:rPr>
          <w:rFonts w:hint="eastAsia" w:ascii="黑体" w:hAnsi="黑体" w:eastAsia="黑体"/>
          <w:sz w:val="32"/>
          <w:szCs w:val="32"/>
          <w:lang w:eastAsia="zh-CN"/>
        </w:rPr>
        <w:t>单位预算</w:t>
      </w:r>
      <w:r>
        <w:rPr>
          <w:rFonts w:hint="eastAsia" w:ascii="黑体" w:hAnsi="黑体" w:eastAsia="黑体"/>
          <w:sz w:val="32"/>
          <w:szCs w:val="32"/>
        </w:rPr>
        <w:t>安排总体情况</w:t>
      </w:r>
    </w:p>
    <w:p>
      <w:pPr>
        <w:snapToGrid w:val="0"/>
        <w:ind w:firstLine="640" w:firstLineChars="200"/>
        <w:rPr>
          <w:rFonts w:ascii="仿宋" w:hAnsi="仿宋" w:eastAsia="仿宋"/>
          <w:sz w:val="32"/>
          <w:szCs w:val="32"/>
        </w:rPr>
      </w:pPr>
      <w:r>
        <w:rPr>
          <w:rFonts w:hint="eastAsia" w:ascii="仿宋" w:hAnsi="仿宋" w:eastAsia="仿宋"/>
          <w:sz w:val="32"/>
          <w:szCs w:val="32"/>
        </w:rPr>
        <w:t>（一）、收入情况</w:t>
      </w:r>
    </w:p>
    <w:p>
      <w:pPr>
        <w:snapToGrid w:val="0"/>
        <w:ind w:firstLine="640" w:firstLineChars="200"/>
        <w:rPr>
          <w:rFonts w:ascii="仿宋" w:hAnsi="仿宋" w:eastAsia="仿宋"/>
          <w:sz w:val="32"/>
          <w:szCs w:val="32"/>
        </w:rPr>
      </w:pPr>
      <w:r>
        <w:rPr>
          <w:rFonts w:hint="eastAsia" w:ascii="仿宋" w:hAnsi="仿宋" w:eastAsia="仿宋"/>
          <w:sz w:val="32"/>
          <w:szCs w:val="32"/>
        </w:rPr>
        <w:t>2022年我</w:t>
      </w:r>
      <w:r>
        <w:rPr>
          <w:rFonts w:hint="eastAsia" w:ascii="仿宋" w:hAnsi="仿宋" w:eastAsia="仿宋"/>
          <w:sz w:val="32"/>
          <w:szCs w:val="32"/>
          <w:lang w:eastAsia="zh-CN"/>
        </w:rPr>
        <w:t>单位预算</w:t>
      </w:r>
      <w:r>
        <w:rPr>
          <w:rFonts w:hint="eastAsia" w:ascii="仿宋" w:hAnsi="仿宋" w:eastAsia="仿宋"/>
          <w:sz w:val="32"/>
          <w:szCs w:val="32"/>
        </w:rPr>
        <w:t>收入总额为1250.65万元，其中：一般公共预算拨款收入1250.65万元，政府性基金预算拨款0万元，国有资本经营预算拨款0万元，其他来源收入0万元。</w:t>
      </w:r>
    </w:p>
    <w:p>
      <w:pPr>
        <w:snapToGrid w:val="0"/>
        <w:ind w:firstLine="640" w:firstLineChars="200"/>
        <w:rPr>
          <w:rFonts w:ascii="仿宋" w:hAnsi="仿宋" w:eastAsia="仿宋"/>
          <w:sz w:val="32"/>
          <w:szCs w:val="32"/>
        </w:rPr>
      </w:pPr>
      <w:r>
        <w:rPr>
          <w:rFonts w:hint="eastAsia" w:ascii="仿宋" w:hAnsi="仿宋" w:eastAsia="仿宋"/>
          <w:sz w:val="32"/>
          <w:szCs w:val="32"/>
        </w:rPr>
        <w:t>（二）、支出情况</w:t>
      </w:r>
    </w:p>
    <w:p>
      <w:pPr>
        <w:snapToGrid w:val="0"/>
        <w:ind w:firstLine="640" w:firstLineChars="200"/>
        <w:rPr>
          <w:rFonts w:ascii="仿宋" w:hAnsi="仿宋" w:eastAsia="仿宋"/>
          <w:sz w:val="32"/>
          <w:szCs w:val="32"/>
        </w:rPr>
      </w:pPr>
      <w:r>
        <w:rPr>
          <w:rFonts w:hint="eastAsia" w:ascii="仿宋" w:hAnsi="仿宋" w:eastAsia="仿宋"/>
          <w:sz w:val="32"/>
          <w:szCs w:val="32"/>
        </w:rPr>
        <w:t>收支预算总表支出栏、基本支出表、项目支出表按经济分类和支出功能分类科目编制，反映我单位预算支出中预算的总体情况。2022年我单位安排预算支出1250.65万元。其中：基本支出930.65万元（人员经费749.87万元，日常公用经费180.78万元）；项目支出320万元（主要是专项公用经费320万元）。</w:t>
      </w:r>
    </w:p>
    <w:p>
      <w:pPr>
        <w:snapToGrid w:val="0"/>
        <w:ind w:firstLine="640" w:firstLineChars="200"/>
        <w:rPr>
          <w:rFonts w:ascii="仿宋" w:hAnsi="仿宋" w:eastAsia="仿宋"/>
          <w:sz w:val="32"/>
          <w:szCs w:val="32"/>
        </w:rPr>
      </w:pPr>
      <w:r>
        <w:rPr>
          <w:rFonts w:hint="eastAsia" w:ascii="仿宋" w:hAnsi="仿宋" w:eastAsia="仿宋"/>
          <w:sz w:val="32"/>
          <w:szCs w:val="32"/>
        </w:rPr>
        <w:t>（二）、比上年增减情况</w:t>
      </w:r>
    </w:p>
    <w:p>
      <w:pPr>
        <w:snapToGrid w:val="0"/>
        <w:ind w:firstLine="640" w:firstLineChars="200"/>
        <w:rPr>
          <w:rFonts w:hint="eastAsia" w:ascii="仿宋" w:hAnsi="仿宋" w:eastAsia="仿宋"/>
          <w:sz w:val="32"/>
          <w:szCs w:val="32"/>
        </w:rPr>
      </w:pPr>
      <w:r>
        <w:rPr>
          <w:rFonts w:hint="eastAsia" w:ascii="仿宋" w:hAnsi="仿宋" w:eastAsia="仿宋"/>
          <w:sz w:val="32"/>
          <w:szCs w:val="32"/>
        </w:rPr>
        <w:t>本年度预算收支安排1250.65万元，较上年减少11.07万元。其中基本支出增加8.93万元，主要是因为人员增加，导致人员经费增加。项目支出减少了20万元。由于上年度疫情督导，出差次数增加,导致2021年项目支出增加。</w:t>
      </w:r>
    </w:p>
    <w:p>
      <w:pPr>
        <w:snapToGrid w:val="0"/>
        <w:ind w:firstLine="640" w:firstLineChars="200"/>
        <w:rPr>
          <w:rFonts w:hint="eastAsia" w:ascii="仿宋" w:hAnsi="仿宋" w:eastAsia="仿宋"/>
          <w:sz w:val="32"/>
          <w:szCs w:val="32"/>
        </w:rPr>
      </w:pPr>
    </w:p>
    <w:p>
      <w:pPr>
        <w:snapToGrid w:val="0"/>
        <w:ind w:firstLine="640" w:firstLineChars="200"/>
        <w:outlineLvl w:val="0"/>
        <w:rPr>
          <w:rFonts w:ascii="黑体" w:hAnsi="黑体" w:eastAsia="黑体"/>
          <w:sz w:val="32"/>
          <w:szCs w:val="32"/>
        </w:rPr>
      </w:pPr>
      <w:r>
        <w:rPr>
          <w:rFonts w:hint="eastAsia" w:ascii="黑体" w:hAnsi="黑体" w:eastAsia="黑体"/>
          <w:sz w:val="32"/>
          <w:szCs w:val="32"/>
        </w:rPr>
        <w:t>三、机关运行经费安排情况</w:t>
      </w:r>
    </w:p>
    <w:p>
      <w:pPr>
        <w:ind w:firstLine="640" w:firstLineChars="200"/>
        <w:outlineLvl w:val="0"/>
        <w:rPr>
          <w:rFonts w:hint="eastAsia" w:ascii="仿宋" w:hAnsi="仿宋" w:eastAsia="仿宋"/>
          <w:sz w:val="32"/>
          <w:szCs w:val="32"/>
        </w:rPr>
      </w:pPr>
      <w:r>
        <w:rPr>
          <w:rFonts w:hint="eastAsia" w:ascii="仿宋" w:hAnsi="仿宋" w:eastAsia="仿宋"/>
          <w:sz w:val="32"/>
          <w:szCs w:val="32"/>
        </w:rPr>
        <w:t>2022年我</w:t>
      </w:r>
      <w:r>
        <w:rPr>
          <w:rFonts w:hint="eastAsia" w:ascii="仿宋" w:hAnsi="仿宋" w:eastAsia="仿宋"/>
          <w:sz w:val="32"/>
          <w:szCs w:val="32"/>
          <w:lang w:eastAsia="zh-CN"/>
        </w:rPr>
        <w:t>单位预算</w:t>
      </w:r>
      <w:r>
        <w:rPr>
          <w:rFonts w:hint="eastAsia" w:ascii="仿宋" w:hAnsi="仿宋" w:eastAsia="仿宋"/>
          <w:sz w:val="32"/>
          <w:szCs w:val="32"/>
        </w:rPr>
        <w:t>安排财政拨款支出主要用于保障该</w:t>
      </w:r>
      <w:r>
        <w:rPr>
          <w:rFonts w:hint="eastAsia" w:ascii="仿宋" w:hAnsi="仿宋" w:eastAsia="仿宋"/>
          <w:sz w:val="32"/>
          <w:szCs w:val="32"/>
          <w:lang w:eastAsia="zh-CN"/>
        </w:rPr>
        <w:t>单位</w:t>
      </w:r>
      <w:r>
        <w:rPr>
          <w:rFonts w:hint="eastAsia" w:ascii="仿宋" w:hAnsi="仿宋" w:eastAsia="仿宋"/>
          <w:sz w:val="32"/>
          <w:szCs w:val="32"/>
        </w:rPr>
        <w:t>机构正常运转、完成日常工作任务以及纪检监察事业发展相关工作。正常公用经费180.78万元，其中：四大班子领导办公费2.5万元，</w:t>
      </w:r>
      <w:r>
        <w:rPr>
          <w:rFonts w:hint="eastAsia" w:ascii="仿宋" w:hAnsi="仿宋" w:eastAsia="仿宋"/>
          <w:sz w:val="32"/>
          <w:szCs w:val="32"/>
          <w:lang w:eastAsia="zh-CN"/>
        </w:rPr>
        <w:t>单位</w:t>
      </w:r>
      <w:r>
        <w:rPr>
          <w:rFonts w:hint="eastAsia" w:ascii="仿宋" w:hAnsi="仿宋" w:eastAsia="仿宋"/>
          <w:sz w:val="32"/>
          <w:szCs w:val="32"/>
        </w:rPr>
        <w:t>办公费18.04万元，邮电费0.36万元，差旅费8.20万元，公务接待费26万元，公务用车运行维护费27.5万元，公务交通补贴51.60万元，劳务费29.76万元，离退休人员公用经费0.76万元，工会经费6.21万元，职工福利费9.85万元。</w:t>
      </w:r>
    </w:p>
    <w:p>
      <w:pPr>
        <w:ind w:firstLine="640" w:firstLineChars="200"/>
        <w:outlineLvl w:val="0"/>
        <w:rPr>
          <w:rFonts w:ascii="黑体" w:hAnsi="黑体" w:eastAsia="黑体"/>
          <w:sz w:val="32"/>
          <w:szCs w:val="32"/>
        </w:rPr>
      </w:pPr>
      <w:r>
        <w:rPr>
          <w:rFonts w:hint="eastAsia" w:ascii="黑体" w:hAnsi="黑体" w:eastAsia="黑体"/>
          <w:sz w:val="32"/>
          <w:szCs w:val="32"/>
        </w:rPr>
        <w:t>四、财政拨款“三公经费”预算情况及增减变化原因</w:t>
      </w:r>
    </w:p>
    <w:p>
      <w:pPr>
        <w:ind w:firstLine="640" w:firstLineChars="200"/>
        <w:outlineLvl w:val="0"/>
        <w:rPr>
          <w:rFonts w:ascii="仿宋" w:hAnsi="仿宋" w:eastAsia="仿宋"/>
          <w:sz w:val="32"/>
          <w:szCs w:val="32"/>
        </w:rPr>
      </w:pPr>
      <w:r>
        <w:rPr>
          <w:rFonts w:hint="eastAsia" w:ascii="仿宋" w:hAnsi="仿宋" w:eastAsia="仿宋"/>
          <w:sz w:val="32"/>
          <w:szCs w:val="32"/>
        </w:rPr>
        <w:t>2022年我</w:t>
      </w:r>
      <w:r>
        <w:rPr>
          <w:rFonts w:hint="eastAsia" w:ascii="仿宋" w:hAnsi="仿宋" w:eastAsia="仿宋"/>
          <w:sz w:val="32"/>
          <w:szCs w:val="32"/>
          <w:lang w:val="en-US" w:eastAsia="zh-CN"/>
        </w:rPr>
        <w:t>单位</w:t>
      </w:r>
      <w:r>
        <w:rPr>
          <w:rFonts w:hint="eastAsia" w:ascii="仿宋" w:hAnsi="仿宋" w:eastAsia="仿宋"/>
          <w:sz w:val="32"/>
          <w:szCs w:val="32"/>
        </w:rPr>
        <w:t>安排“三公经费”预算99.5万元，严格落实“三公经费”管理办法以及中央八项规定。其中，2022年公务用车运行维护费42.5万元，与2021年相比无变化；2022年公务接待费57万元，与2021年相比无变化；因公出国经费无；公务用车购置经费无。</w:t>
      </w:r>
    </w:p>
    <w:p>
      <w:pPr>
        <w:ind w:firstLine="640" w:firstLineChars="200"/>
        <w:outlineLvl w:val="9"/>
        <w:rPr>
          <w:rFonts w:ascii="仿宋" w:hAnsi="仿宋" w:eastAsia="仿宋"/>
          <w:sz w:val="32"/>
          <w:szCs w:val="32"/>
        </w:rPr>
      </w:pPr>
    </w:p>
    <w:tbl>
      <w:tblPr>
        <w:tblStyle w:val="10"/>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3"/>
        <w:gridCol w:w="2097"/>
        <w:gridCol w:w="2193"/>
        <w:gridCol w:w="2583"/>
        <w:gridCol w:w="5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项目名称</w:t>
            </w:r>
          </w:p>
        </w:tc>
        <w:tc>
          <w:tcPr>
            <w:tcW w:w="698"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2021年度预算</w:t>
            </w:r>
          </w:p>
        </w:tc>
        <w:tc>
          <w:tcPr>
            <w:tcW w:w="73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2022年度预算</w:t>
            </w:r>
          </w:p>
        </w:tc>
        <w:tc>
          <w:tcPr>
            <w:tcW w:w="86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增减金额</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因公出国经费</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公务用车购置经费</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公务用车运行经费</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42.5</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42.5</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ascii="仿宋" w:hAnsi="仿宋" w:eastAsia="仿宋"/>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公务接待费支出</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57</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57</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合计</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 xml:space="preserve"> 99.5</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99.5</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无增减变化</w:t>
            </w:r>
          </w:p>
        </w:tc>
      </w:tr>
    </w:tbl>
    <w:p>
      <w:pPr>
        <w:outlineLvl w:val="9"/>
        <w:rPr>
          <w:rFonts w:hint="eastAsia" w:ascii="黑体" w:hAnsi="黑体" w:eastAsia="黑体"/>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outlineLvl w:val="0"/>
        <w:rPr>
          <w:rFonts w:hint="eastAsia" w:ascii="黑体" w:hAnsi="黑体" w:eastAsia="黑体"/>
          <w:sz w:val="32"/>
          <w:szCs w:val="32"/>
        </w:rPr>
      </w:pPr>
      <w:r>
        <w:rPr>
          <w:rFonts w:hint="eastAsia" w:ascii="黑体" w:hAnsi="黑体" w:eastAsia="黑体"/>
          <w:sz w:val="32"/>
          <w:szCs w:val="32"/>
        </w:rPr>
        <w:t>绩效预算信息情况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黑体" w:hAnsi="黑体" w:eastAsia="黑体"/>
          <w:sz w:val="32"/>
          <w:szCs w:val="32"/>
          <w:lang w:val="en-US" w:eastAsia="zh-CN"/>
        </w:rPr>
      </w:pPr>
      <w:r>
        <w:rPr>
          <w:rFonts w:hint="eastAsia" w:ascii="黑体" w:hAnsi="黑体" w:eastAsia="黑体"/>
          <w:sz w:val="32"/>
          <w:szCs w:val="32"/>
          <w:lang w:val="en-US" w:eastAsia="zh-CN"/>
        </w:rPr>
        <w:t>第一部分 单位整体绩效目标</w:t>
      </w:r>
    </w:p>
    <w:p>
      <w:pPr>
        <w:spacing w:beforeLines="50" w:afterLines="50"/>
        <w:ind w:firstLine="640" w:firstLineChars="200"/>
        <w:jc w:val="left"/>
        <w:outlineLvl w:val="1"/>
        <w:rPr>
          <w:rFonts w:ascii="楷体" w:hAnsi="楷体" w:eastAsia="楷体"/>
          <w:sz w:val="32"/>
          <w:szCs w:val="32"/>
        </w:rPr>
      </w:pPr>
      <w:bookmarkStart w:id="5" w:name="_Toc62132114"/>
      <w:r>
        <w:rPr>
          <w:rFonts w:hint="eastAsia" w:ascii="楷体" w:hAnsi="楷体" w:eastAsia="楷体"/>
          <w:sz w:val="32"/>
          <w:szCs w:val="32"/>
        </w:rPr>
        <w:t>（一）、总体绩效目标</w:t>
      </w:r>
      <w:bookmarkEnd w:id="5"/>
      <w:r>
        <w:rPr>
          <w:rFonts w:ascii="楷体" w:hAnsi="楷体" w:eastAsia="楷体"/>
          <w:sz w:val="32"/>
          <w:szCs w:val="32"/>
        </w:rPr>
        <w:fldChar w:fldCharType="begin"/>
      </w:r>
      <w:r>
        <w:rPr>
          <w:rFonts w:hint="eastAsia" w:ascii="楷体" w:hAnsi="楷体" w:eastAsia="楷体"/>
          <w:sz w:val="32"/>
          <w:szCs w:val="32"/>
        </w:rPr>
        <w:instrText xml:space="preserve">TC 总体绩效目标 \f A \l 1</w:instrText>
      </w:r>
      <w:r>
        <w:rPr>
          <w:rFonts w:ascii="楷体" w:hAnsi="楷体" w:eastAsia="楷体"/>
          <w:sz w:val="32"/>
          <w:szCs w:val="32"/>
        </w:rPr>
        <w:fldChar w:fldCharType="end"/>
      </w:r>
    </w:p>
    <w:p>
      <w:pPr>
        <w:spacing w:line="500" w:lineRule="exact"/>
        <w:ind w:firstLine="640" w:firstLineChars="200"/>
        <w:jc w:val="left"/>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rPr>
        <w:t>2</w:t>
      </w:r>
      <w:r>
        <w:rPr>
          <w:rFonts w:ascii="仿宋" w:hAnsi="仿宋" w:eastAsia="仿宋"/>
          <w:sz w:val="32"/>
          <w:szCs w:val="32"/>
        </w:rPr>
        <w:t>年县纪委监委将立足职能，突出改革，着力强化监督执纪问责，为涞水营造风清气正的政治环境。重点做好以下七方面工作：一是落实全面从严治党政治责任，抓好省、市纪委指定管辖重点案件查办工作，协助县委抓好党风廉政建设和反腐败各项工作；二是充分发挥纪律监督、巡察监督、派驻监督和乡镇纪委作用，以实际行动筑牢思想防线；三是深化联乡镇</w:t>
      </w:r>
      <w:r>
        <w:rPr>
          <w:rFonts w:hint="eastAsia" w:ascii="仿宋" w:hAnsi="仿宋" w:eastAsia="仿宋"/>
          <w:sz w:val="32"/>
          <w:szCs w:val="32"/>
          <w:lang w:eastAsia="zh-CN"/>
        </w:rPr>
        <w:t>单位</w:t>
      </w:r>
      <w:r>
        <w:rPr>
          <w:rFonts w:ascii="仿宋" w:hAnsi="仿宋" w:eastAsia="仿宋"/>
          <w:sz w:val="32"/>
          <w:szCs w:val="32"/>
        </w:rPr>
        <w:t>监督；四是持之以恒强化作风建设；五是发挥巡察“利剑”作用；六是持续开展以群众身边腐败和作风问题为重点的专项整治工作；七是坚决把监督挺在前面，科学准确运用“五种方式”，“四种形态”，深入推进党风廉政建设和反腐败斗争；八是持续强化干部队伍建设，努力打造一支让党放心、让人民满意的纪检监察干部队伍。</w:t>
      </w:r>
    </w:p>
    <w:p>
      <w:pPr>
        <w:spacing w:beforeLines="50" w:afterLines="50" w:line="500" w:lineRule="exact"/>
        <w:ind w:firstLine="640" w:firstLineChars="200"/>
        <w:jc w:val="left"/>
        <w:outlineLvl w:val="1"/>
        <w:rPr>
          <w:rFonts w:ascii="楷体" w:hAnsi="楷体" w:eastAsia="楷体"/>
          <w:sz w:val="32"/>
          <w:szCs w:val="32"/>
        </w:rPr>
      </w:pPr>
      <w:bookmarkStart w:id="6" w:name="_Toc62132115"/>
      <w:r>
        <w:rPr>
          <w:rFonts w:hint="eastAsia" w:ascii="楷体" w:hAnsi="楷体" w:eastAsia="楷体"/>
          <w:sz w:val="32"/>
          <w:szCs w:val="32"/>
        </w:rPr>
        <w:t>（二）、分项绩效目标</w:t>
      </w:r>
      <w:bookmarkEnd w:id="6"/>
      <w:r>
        <w:rPr>
          <w:rFonts w:ascii="楷体" w:hAnsi="楷体" w:eastAsia="楷体"/>
          <w:sz w:val="32"/>
          <w:szCs w:val="32"/>
        </w:rPr>
        <w:fldChar w:fldCharType="begin"/>
      </w:r>
      <w:r>
        <w:rPr>
          <w:rFonts w:hint="eastAsia" w:ascii="楷体" w:hAnsi="楷体" w:eastAsia="楷体"/>
          <w:sz w:val="32"/>
          <w:szCs w:val="32"/>
        </w:rPr>
        <w:instrText xml:space="preserve">TC 分项绩效目标 \f A \l 1</w:instrText>
      </w:r>
      <w:r>
        <w:rPr>
          <w:rFonts w:ascii="楷体" w:hAnsi="楷体" w:eastAsia="楷体"/>
          <w:sz w:val="32"/>
          <w:szCs w:val="32"/>
        </w:rPr>
        <w:fldChar w:fldCharType="end"/>
      </w:r>
    </w:p>
    <w:p>
      <w:pPr>
        <w:spacing w:line="500" w:lineRule="exact"/>
        <w:ind w:firstLine="643" w:firstLineChars="200"/>
        <w:jc w:val="left"/>
        <w:rPr>
          <w:rFonts w:ascii="仿宋" w:hAnsi="仿宋" w:eastAsia="仿宋"/>
          <w:b/>
          <w:sz w:val="32"/>
          <w:szCs w:val="32"/>
        </w:rPr>
      </w:pPr>
      <w:r>
        <w:rPr>
          <w:rFonts w:hint="eastAsia" w:ascii="仿宋" w:hAnsi="仿宋" w:eastAsia="仿宋"/>
          <w:b/>
          <w:sz w:val="32"/>
          <w:szCs w:val="32"/>
        </w:rPr>
        <w:t>1、</w:t>
      </w:r>
      <w:r>
        <w:rPr>
          <w:rFonts w:ascii="仿宋" w:hAnsi="仿宋" w:eastAsia="仿宋"/>
          <w:b/>
          <w:sz w:val="32"/>
          <w:szCs w:val="32"/>
        </w:rPr>
        <w:t xml:space="preserve">党风廉政建设 </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组织协调全县党风廉政建设和反腐败工作，对行使公权力的人员严重违纪、涉嫌犯罪的采取留置措施；加强党风廉政建设和组织协调反腐败工作；开展审查调查及监督检查；加强派驻监督；扶贫领域监督执纪等。</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绩效指标：为涞水营造风清气正的政治环境，加大对职务犯罪人员对惩处力度，案件办结率达到70%。</w:t>
      </w:r>
    </w:p>
    <w:p>
      <w:pPr>
        <w:spacing w:line="500" w:lineRule="exact"/>
        <w:ind w:firstLine="643" w:firstLineChars="200"/>
        <w:jc w:val="left"/>
        <w:rPr>
          <w:rFonts w:ascii="仿宋" w:hAnsi="仿宋" w:eastAsia="仿宋"/>
          <w:b/>
          <w:sz w:val="32"/>
          <w:szCs w:val="32"/>
        </w:rPr>
      </w:pPr>
      <w:r>
        <w:rPr>
          <w:rFonts w:hint="eastAsia" w:ascii="仿宋" w:hAnsi="仿宋" w:eastAsia="仿宋"/>
          <w:b/>
          <w:sz w:val="32"/>
          <w:szCs w:val="32"/>
        </w:rPr>
        <w:t>2、</w:t>
      </w:r>
      <w:r>
        <w:rPr>
          <w:rFonts w:ascii="仿宋" w:hAnsi="仿宋" w:eastAsia="仿宋"/>
          <w:b/>
          <w:sz w:val="32"/>
          <w:szCs w:val="32"/>
        </w:rPr>
        <w:t xml:space="preserve">纪检监察事务管理 </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绩效目标：纪检监察系统网络安全及信息化建设、办公用房及公务用车管理、干部培训及其他事务管理、机关食堂运行与维护；其他纪检监察事务等工作。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绩效指标：为纪检监察工作提供服务和保障,保障率达到80%。</w:t>
      </w:r>
    </w:p>
    <w:p>
      <w:pPr>
        <w:spacing w:line="500" w:lineRule="exact"/>
        <w:ind w:firstLine="643" w:firstLineChars="200"/>
        <w:jc w:val="left"/>
        <w:rPr>
          <w:rFonts w:ascii="仿宋" w:hAnsi="仿宋" w:eastAsia="仿宋"/>
          <w:b/>
          <w:sz w:val="32"/>
          <w:szCs w:val="32"/>
        </w:rPr>
      </w:pPr>
      <w:r>
        <w:rPr>
          <w:rFonts w:hint="eastAsia" w:ascii="仿宋" w:hAnsi="仿宋" w:eastAsia="仿宋"/>
          <w:b/>
          <w:sz w:val="32"/>
          <w:szCs w:val="32"/>
        </w:rPr>
        <w:t>3、</w:t>
      </w:r>
      <w:r>
        <w:rPr>
          <w:rFonts w:ascii="仿宋" w:hAnsi="仿宋" w:eastAsia="仿宋"/>
          <w:b/>
          <w:sz w:val="32"/>
          <w:szCs w:val="32"/>
        </w:rPr>
        <w:t>巡察工作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绩效目标：承担县委巡察工作，对县政府工作部门、人民团体党组（党委）班子及其成员等进行巡察等工作。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绩效指标：发挥巡察“利剑”作用，巡察覆盖率达到90%。</w:t>
      </w:r>
    </w:p>
    <w:p>
      <w:pPr>
        <w:spacing w:beforeLines="50" w:afterLines="50" w:line="500" w:lineRule="exact"/>
        <w:ind w:firstLine="643" w:firstLineChars="200"/>
        <w:jc w:val="left"/>
        <w:outlineLvl w:val="1"/>
        <w:rPr>
          <w:rFonts w:ascii="仿宋" w:hAnsi="仿宋" w:eastAsia="仿宋"/>
          <w:b/>
          <w:sz w:val="32"/>
          <w:szCs w:val="32"/>
        </w:rPr>
      </w:pPr>
      <w:bookmarkStart w:id="7" w:name="_Toc62132116"/>
      <w:r>
        <w:rPr>
          <w:rFonts w:hint="eastAsia" w:ascii="仿宋" w:hAnsi="仿宋" w:eastAsia="仿宋"/>
          <w:b/>
          <w:sz w:val="32"/>
          <w:szCs w:val="32"/>
        </w:rPr>
        <w:t>4、工作保障措施</w:t>
      </w:r>
      <w:bookmarkEnd w:id="7"/>
      <w:r>
        <w:rPr>
          <w:rFonts w:ascii="仿宋" w:hAnsi="仿宋" w:eastAsia="仿宋"/>
          <w:b/>
          <w:sz w:val="32"/>
          <w:szCs w:val="32"/>
        </w:rPr>
        <w:fldChar w:fldCharType="begin"/>
      </w:r>
      <w:r>
        <w:rPr>
          <w:rFonts w:hint="eastAsia" w:ascii="仿宋" w:hAnsi="仿宋" w:eastAsia="仿宋"/>
          <w:b/>
          <w:sz w:val="32"/>
          <w:szCs w:val="32"/>
        </w:rPr>
        <w:instrText xml:space="preserve">TC 工作保障措施 \f A \l 1</w:instrText>
      </w:r>
      <w:r>
        <w:rPr>
          <w:rFonts w:ascii="仿宋" w:hAnsi="仿宋" w:eastAsia="仿宋"/>
          <w:b/>
          <w:sz w:val="32"/>
          <w:szCs w:val="32"/>
        </w:rPr>
        <w:fldChar w:fldCharType="end"/>
      </w:r>
    </w:p>
    <w:p>
      <w:pPr>
        <w:spacing w:line="500" w:lineRule="exact"/>
        <w:ind w:firstLine="640" w:firstLineChars="200"/>
        <w:jc w:val="left"/>
        <w:rPr>
          <w:rFonts w:ascii="仿宋" w:hAnsi="仿宋" w:eastAsia="仿宋"/>
          <w:sz w:val="32"/>
          <w:szCs w:val="32"/>
        </w:rPr>
      </w:pPr>
      <w:r>
        <w:rPr>
          <w:rFonts w:ascii="仿宋" w:hAnsi="仿宋" w:eastAsia="仿宋"/>
          <w:sz w:val="32"/>
          <w:szCs w:val="32"/>
        </w:rPr>
        <w:t>一是实行台账式管理，对全年各项工作任务实行台账式管理，根据工作部署和年初预算安排，指定详细的工作计划和工作目标。</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二是完善制度建设。制定完善预算绩效管理制度、资金管理办法、工作保障制度等，为全年预算绩效目标的实现奠定制度基础。</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三是加强支出管理。通过优化支出结构、编细编实预算、加快履行政府采购手续、尽快启动项目、及时支付资金、6月底前细化代编预算、按规定及时下达资金等多种措施，确保支出进度达标。</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四是加强绩效运行监控。按要求开展绩效运行监控，发现问题及时采取措施，确保绩效目标如期保质实现。</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五是做好绩效自评。按要求开展上年度</w:t>
      </w:r>
      <w:r>
        <w:rPr>
          <w:rFonts w:hint="eastAsia" w:ascii="仿宋" w:hAnsi="仿宋" w:eastAsia="仿宋"/>
          <w:sz w:val="32"/>
          <w:szCs w:val="32"/>
          <w:lang w:eastAsia="zh-CN"/>
        </w:rPr>
        <w:t>单位预算</w:t>
      </w:r>
      <w:r>
        <w:rPr>
          <w:rFonts w:ascii="仿宋" w:hAnsi="仿宋" w:eastAsia="仿宋"/>
          <w:sz w:val="32"/>
          <w:szCs w:val="32"/>
        </w:rPr>
        <w:t>绩效自评和重点评价工作，对评价中发现的问题及时整改，调整优化支出结构，提高财政资金使用效益。</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六是规范财务资产管理。完善财务管理制度，严格审批程序，加强固定资产登记、使用和报废处置管理，做到支出合理，物尽其用。</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七是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八是加强宣传培训调研等。加强人员培训，提高本</w:t>
      </w:r>
      <w:r>
        <w:rPr>
          <w:rFonts w:hint="eastAsia" w:ascii="仿宋" w:hAnsi="仿宋" w:eastAsia="仿宋"/>
          <w:sz w:val="32"/>
          <w:szCs w:val="32"/>
          <w:lang w:eastAsia="zh-CN"/>
        </w:rPr>
        <w:t>单位</w:t>
      </w:r>
      <w:r>
        <w:rPr>
          <w:rFonts w:ascii="仿宋" w:hAnsi="仿宋" w:eastAsia="仿宋"/>
          <w:sz w:val="32"/>
          <w:szCs w:val="32"/>
        </w:rPr>
        <w:t>职工业务素质；加强调研，提出优化财政资金配置、提高资金使用效益的意见意见；加大宣传力度，强化预算绩效管理意识，促进预算绩效管理水平进一步提升。</w:t>
      </w:r>
    </w:p>
    <w:p>
      <w:pPr>
        <w:spacing w:line="500" w:lineRule="exact"/>
        <w:ind w:firstLine="640" w:firstLineChars="200"/>
        <w:jc w:val="left"/>
        <w:rPr>
          <w:rFonts w:ascii="仿宋" w:hAnsi="仿宋" w:eastAsia="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黑体" w:hAnsi="黑体" w:eastAsia="黑体"/>
          <w:sz w:val="32"/>
          <w:szCs w:val="32"/>
          <w:lang w:val="en-US" w:eastAsia="zh-CN"/>
        </w:rPr>
      </w:pPr>
      <w:r>
        <w:rPr>
          <w:rFonts w:hint="eastAsia" w:ascii="黑体" w:hAnsi="黑体" w:eastAsia="黑体"/>
          <w:sz w:val="32"/>
          <w:szCs w:val="32"/>
          <w:lang w:val="en-US" w:eastAsia="zh-CN"/>
        </w:rPr>
        <w:t>第二部分 预算项目绩效目标</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3"/>
      </w:pPr>
      <w:bookmarkStart w:id="8" w:name="_Toc62132117"/>
      <w:r>
        <w:rPr>
          <w:rFonts w:hint="eastAsia" w:ascii="方正仿宋_GBK" w:eastAsia="方正仿宋_GBK"/>
          <w:b/>
          <w:sz w:val="28"/>
        </w:rPr>
        <w:t>1.党风廉政建设绩效目标表</w:t>
      </w:r>
      <w:bookmarkEnd w:id="8"/>
      <w:r>
        <w:rPr>
          <w:rFonts w:ascii="方正仿宋_GBK" w:eastAsia="方正仿宋_GBK"/>
          <w:b/>
          <w:sz w:val="28"/>
        </w:rPr>
        <w:fldChar w:fldCharType="begin"/>
      </w:r>
      <w:r>
        <w:rPr>
          <w:rFonts w:hint="eastAsia" w:ascii="方正仿宋_GBK" w:eastAsia="方正仿宋_GBK"/>
          <w:b/>
          <w:sz w:val="28"/>
        </w:rPr>
        <w:instrText xml:space="preserve">TC 1、党风廉政建设绩效目标表 \f C \l 1</w:instrText>
      </w:r>
      <w:r>
        <w:rPr>
          <w:rFonts w:ascii="方正仿宋_GBK" w:eastAsia="方正仿宋_GBK"/>
          <w:b/>
          <w:sz w:val="28"/>
        </w:rPr>
        <w:fldChar w:fldCharType="end"/>
      </w:r>
    </w:p>
    <w:tbl>
      <w:tblPr>
        <w:tblStyle w:val="10"/>
        <w:tblpPr w:leftFromText="180" w:rightFromText="180" w:vertAnchor="text" w:horzAnchor="page" w:tblpXSpec="center" w:tblpY="314"/>
        <w:tblOverlap w:val="never"/>
        <w:tblW w:w="5000" w:type="pct"/>
        <w:jc w:val="center"/>
        <w:tblLayout w:type="autofit"/>
        <w:tblCellMar>
          <w:top w:w="0" w:type="dxa"/>
          <w:left w:w="108" w:type="dxa"/>
          <w:bottom w:w="0" w:type="dxa"/>
          <w:right w:w="108" w:type="dxa"/>
        </w:tblCellMar>
      </w:tblPr>
      <w:tblGrid>
        <w:gridCol w:w="1271"/>
        <w:gridCol w:w="1567"/>
        <w:gridCol w:w="2168"/>
        <w:gridCol w:w="3369"/>
        <w:gridCol w:w="817"/>
        <w:gridCol w:w="367"/>
        <w:gridCol w:w="2918"/>
        <w:gridCol w:w="1121"/>
        <w:gridCol w:w="1417"/>
      </w:tblGrid>
      <w:tr>
        <w:tblPrEx>
          <w:tblCellMar>
            <w:top w:w="0" w:type="dxa"/>
            <w:left w:w="108" w:type="dxa"/>
            <w:bottom w:w="0" w:type="dxa"/>
            <w:right w:w="108" w:type="dxa"/>
          </w:tblCellMar>
        </w:tblPrEx>
        <w:trPr>
          <w:trHeight w:val="375" w:hRule="atLeast"/>
          <w:jc w:val="center"/>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年度目标（2022)</w:t>
            </w:r>
          </w:p>
        </w:tc>
      </w:tr>
      <w:tr>
        <w:tblPrEx>
          <w:tblCellMar>
            <w:top w:w="0" w:type="dxa"/>
            <w:left w:w="108" w:type="dxa"/>
            <w:bottom w:w="0" w:type="dxa"/>
            <w:right w:w="108" w:type="dxa"/>
          </w:tblCellMar>
        </w:tblPrEx>
        <w:trPr>
          <w:trHeight w:val="300" w:hRule="atLeast"/>
          <w:jc w:val="center"/>
        </w:trPr>
        <w:tc>
          <w:tcPr>
            <w:tcW w:w="42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项目编码及名称</w:t>
            </w:r>
          </w:p>
        </w:tc>
        <w:tc>
          <w:tcPr>
            <w:tcW w:w="2357"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[13062322P00754210001C]党风廉政建设</w:t>
            </w:r>
          </w:p>
        </w:tc>
        <w:tc>
          <w:tcPr>
            <w:tcW w:w="402"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主管部门</w:t>
            </w:r>
          </w:p>
        </w:tc>
        <w:tc>
          <w:tcPr>
            <w:tcW w:w="1814"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[222]中国共产党河北省涞水县纪律检查委员会</w:t>
            </w:r>
          </w:p>
        </w:tc>
      </w:tr>
      <w:tr>
        <w:tblPrEx>
          <w:tblCellMar>
            <w:top w:w="0" w:type="dxa"/>
            <w:left w:w="108" w:type="dxa"/>
            <w:bottom w:w="0" w:type="dxa"/>
            <w:right w:w="108" w:type="dxa"/>
          </w:tblCellMar>
        </w:tblPrEx>
        <w:trPr>
          <w:trHeight w:val="300" w:hRule="atLeast"/>
          <w:jc w:val="center"/>
        </w:trPr>
        <w:tc>
          <w:tcPr>
            <w:tcW w:w="42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项目单位</w:t>
            </w:r>
          </w:p>
        </w:tc>
        <w:tc>
          <w:tcPr>
            <w:tcW w:w="2357"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[222001]中国共产党河北省涞水县纪律检查委员会本级</w:t>
            </w:r>
          </w:p>
        </w:tc>
        <w:tc>
          <w:tcPr>
            <w:tcW w:w="402"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年度资金总额</w:t>
            </w:r>
          </w:p>
        </w:tc>
        <w:tc>
          <w:tcPr>
            <w:tcW w:w="1814"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130.000000</w:t>
            </w:r>
          </w:p>
        </w:tc>
      </w:tr>
      <w:tr>
        <w:tblPrEx>
          <w:tblCellMar>
            <w:top w:w="0" w:type="dxa"/>
            <w:left w:w="108" w:type="dxa"/>
            <w:bottom w:w="0" w:type="dxa"/>
            <w:right w:w="108" w:type="dxa"/>
          </w:tblCellMar>
        </w:tblPrEx>
        <w:trPr>
          <w:trHeight w:val="600" w:hRule="atLeast"/>
          <w:jc w:val="center"/>
        </w:trPr>
        <w:tc>
          <w:tcPr>
            <w:tcW w:w="42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资金用途</w:t>
            </w:r>
          </w:p>
        </w:tc>
        <w:tc>
          <w:tcPr>
            <w:tcW w:w="4575" w:type="pct"/>
            <w:gridSpan w:val="8"/>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用于开展党风廉政建设各项工作所需支付的办公费、差旅费及其他商品和服务支出。</w:t>
            </w:r>
          </w:p>
        </w:tc>
      </w:tr>
      <w:tr>
        <w:tblPrEx>
          <w:tblCellMar>
            <w:top w:w="0" w:type="dxa"/>
            <w:left w:w="108" w:type="dxa"/>
            <w:bottom w:w="0" w:type="dxa"/>
            <w:right w:w="108" w:type="dxa"/>
          </w:tblCellMar>
        </w:tblPrEx>
        <w:trPr>
          <w:trHeight w:val="405" w:hRule="atLeast"/>
          <w:jc w:val="center"/>
        </w:trPr>
        <w:tc>
          <w:tcPr>
            <w:tcW w:w="42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eastAsia="宋体" w:cs="Calibri"/>
                <w:b/>
                <w:bCs/>
                <w:kern w:val="0"/>
                <w:sz w:val="18"/>
                <w:szCs w:val="18"/>
                <w:lang w:eastAsia="zh-CN"/>
              </w:rPr>
            </w:pPr>
            <w:r>
              <w:rPr>
                <w:rFonts w:cs="Calibri"/>
                <w:b/>
                <w:bCs/>
                <w:kern w:val="0"/>
                <w:sz w:val="18"/>
                <w:szCs w:val="18"/>
              </w:rPr>
              <w:t>资金支出计划</w:t>
            </w:r>
          </w:p>
          <w:p>
            <w:pPr>
              <w:widowControl/>
              <w:spacing w:line="240" w:lineRule="auto"/>
              <w:jc w:val="center"/>
              <w:rPr>
                <w:rFonts w:cs="Calibri"/>
                <w:b/>
                <w:bCs/>
                <w:kern w:val="0"/>
                <w:sz w:val="18"/>
                <w:szCs w:val="18"/>
              </w:rPr>
            </w:pPr>
            <w:r>
              <w:rPr>
                <w:rFonts w:cs="Calibri"/>
                <w:b/>
                <w:bCs/>
                <w:kern w:val="0"/>
                <w:sz w:val="18"/>
                <w:szCs w:val="18"/>
              </w:rPr>
              <w:t>（累计支出比例）</w:t>
            </w:r>
          </w:p>
        </w:tc>
        <w:tc>
          <w:tcPr>
            <w:tcW w:w="1242"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3月底</w:t>
            </w:r>
          </w:p>
        </w:tc>
        <w:tc>
          <w:tcPr>
            <w:tcW w:w="1115"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6月底</w:t>
            </w:r>
          </w:p>
        </w:tc>
        <w:tc>
          <w:tcPr>
            <w:tcW w:w="1369"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10月底</w:t>
            </w:r>
          </w:p>
        </w:tc>
        <w:tc>
          <w:tcPr>
            <w:tcW w:w="848"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12月底</w:t>
            </w:r>
          </w:p>
        </w:tc>
      </w:tr>
      <w:tr>
        <w:tblPrEx>
          <w:tblCellMar>
            <w:top w:w="0" w:type="dxa"/>
            <w:left w:w="108" w:type="dxa"/>
            <w:bottom w:w="0" w:type="dxa"/>
            <w:right w:w="108" w:type="dxa"/>
          </w:tblCellMar>
        </w:tblPrEx>
        <w:trPr>
          <w:trHeight w:val="405" w:hRule="atLeast"/>
          <w:jc w:val="center"/>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242"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10%</w:t>
            </w:r>
          </w:p>
        </w:tc>
        <w:tc>
          <w:tcPr>
            <w:tcW w:w="111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50%</w:t>
            </w:r>
          </w:p>
        </w:tc>
        <w:tc>
          <w:tcPr>
            <w:tcW w:w="1369"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70%</w:t>
            </w:r>
          </w:p>
        </w:tc>
        <w:tc>
          <w:tcPr>
            <w:tcW w:w="848"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100%</w:t>
            </w:r>
          </w:p>
        </w:tc>
      </w:tr>
      <w:tr>
        <w:tblPrEx>
          <w:tblCellMar>
            <w:top w:w="0" w:type="dxa"/>
            <w:left w:w="108" w:type="dxa"/>
            <w:bottom w:w="0" w:type="dxa"/>
            <w:right w:w="108" w:type="dxa"/>
          </w:tblCellMar>
        </w:tblPrEx>
        <w:trPr>
          <w:trHeight w:val="300" w:hRule="atLeast"/>
          <w:jc w:val="center"/>
        </w:trPr>
        <w:tc>
          <w:tcPr>
            <w:tcW w:w="424"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年度绩效目标</w:t>
            </w:r>
          </w:p>
        </w:tc>
        <w:tc>
          <w:tcPr>
            <w:tcW w:w="5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目标1</w:t>
            </w:r>
          </w:p>
        </w:tc>
        <w:tc>
          <w:tcPr>
            <w:tcW w:w="4052"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深化标本兼治，推动全面从严治党向纵深发展。</w:t>
            </w:r>
          </w:p>
        </w:tc>
      </w:tr>
      <w:tr>
        <w:tblPrEx>
          <w:tblCellMar>
            <w:top w:w="0" w:type="dxa"/>
            <w:left w:w="108" w:type="dxa"/>
            <w:bottom w:w="0" w:type="dxa"/>
            <w:right w:w="108" w:type="dxa"/>
          </w:tblCellMar>
        </w:tblPrEx>
        <w:trPr>
          <w:trHeight w:val="300" w:hRule="atLeast"/>
          <w:jc w:val="center"/>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目标2</w:t>
            </w:r>
          </w:p>
        </w:tc>
        <w:tc>
          <w:tcPr>
            <w:tcW w:w="4052"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把党的政治建设摆在首位，坚决维护党中央权威和集中统一领导。</w:t>
            </w:r>
          </w:p>
        </w:tc>
      </w:tr>
      <w:tr>
        <w:tblPrEx>
          <w:tblCellMar>
            <w:top w:w="0" w:type="dxa"/>
            <w:left w:w="108" w:type="dxa"/>
            <w:bottom w:w="0" w:type="dxa"/>
            <w:right w:w="108" w:type="dxa"/>
          </w:tblCellMar>
        </w:tblPrEx>
        <w:trPr>
          <w:trHeight w:val="345" w:hRule="atLeast"/>
          <w:jc w:val="center"/>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目标3</w:t>
            </w:r>
          </w:p>
        </w:tc>
        <w:tc>
          <w:tcPr>
            <w:tcW w:w="4052"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持之以恒正风肃纪，密切党同人民群众对联系。</w:t>
            </w:r>
          </w:p>
        </w:tc>
      </w:tr>
      <w:tr>
        <w:tblPrEx>
          <w:tblCellMar>
            <w:top w:w="0" w:type="dxa"/>
            <w:left w:w="108" w:type="dxa"/>
            <w:bottom w:w="0" w:type="dxa"/>
            <w:right w:w="108" w:type="dxa"/>
          </w:tblCellMar>
        </w:tblPrEx>
        <w:trPr>
          <w:trHeight w:val="300" w:hRule="atLeast"/>
          <w:jc w:val="center"/>
        </w:trPr>
        <w:tc>
          <w:tcPr>
            <w:tcW w:w="424"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一级指标</w:t>
            </w:r>
          </w:p>
        </w:tc>
        <w:tc>
          <w:tcPr>
            <w:tcW w:w="52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二级指标</w:t>
            </w:r>
          </w:p>
        </w:tc>
        <w:tc>
          <w:tcPr>
            <w:tcW w:w="72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三级指标</w:t>
            </w:r>
          </w:p>
        </w:tc>
        <w:tc>
          <w:tcPr>
            <w:tcW w:w="1115"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绩效指标描述（指标内容）</w:t>
            </w:r>
          </w:p>
        </w:tc>
        <w:tc>
          <w:tcPr>
            <w:tcW w:w="1369"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指标值</w:t>
            </w:r>
          </w:p>
        </w:tc>
        <w:tc>
          <w:tcPr>
            <w:tcW w:w="375"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指标确定依据</w:t>
            </w:r>
          </w:p>
        </w:tc>
        <w:tc>
          <w:tcPr>
            <w:tcW w:w="47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评（扣）分标准</w:t>
            </w:r>
          </w:p>
        </w:tc>
      </w:tr>
      <w:tr>
        <w:tblPrEx>
          <w:tblCellMar>
            <w:top w:w="0" w:type="dxa"/>
            <w:left w:w="108" w:type="dxa"/>
            <w:bottom w:w="0" w:type="dxa"/>
            <w:right w:w="108" w:type="dxa"/>
          </w:tblCellMar>
        </w:tblPrEx>
        <w:trPr>
          <w:trHeight w:val="300" w:hRule="atLeast"/>
          <w:jc w:val="center"/>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2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7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11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27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符号</w:t>
            </w:r>
          </w:p>
        </w:tc>
        <w:tc>
          <w:tcPr>
            <w:tcW w:w="12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值</w:t>
            </w:r>
          </w:p>
        </w:tc>
        <w:tc>
          <w:tcPr>
            <w:tcW w:w="966"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单位（文字描述）</w:t>
            </w:r>
          </w:p>
        </w:tc>
        <w:tc>
          <w:tcPr>
            <w:tcW w:w="37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47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r>
      <w:tr>
        <w:tblPrEx>
          <w:tblCellMar>
            <w:top w:w="0" w:type="dxa"/>
            <w:left w:w="108" w:type="dxa"/>
            <w:bottom w:w="0" w:type="dxa"/>
            <w:right w:w="108" w:type="dxa"/>
          </w:tblCellMar>
        </w:tblPrEx>
        <w:trPr>
          <w:trHeight w:val="300" w:hRule="atLeast"/>
          <w:jc w:val="center"/>
        </w:trPr>
        <w:tc>
          <w:tcPr>
            <w:tcW w:w="424"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产出指标</w:t>
            </w:r>
          </w:p>
        </w:tc>
        <w:tc>
          <w:tcPr>
            <w:tcW w:w="5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数量指标</w:t>
            </w:r>
          </w:p>
        </w:tc>
        <w:tc>
          <w:tcPr>
            <w:tcW w:w="72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结案率</w:t>
            </w:r>
          </w:p>
        </w:tc>
        <w:tc>
          <w:tcPr>
            <w:tcW w:w="111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办理完结案件数量占全年发案的比率</w:t>
            </w:r>
          </w:p>
        </w:tc>
        <w:tc>
          <w:tcPr>
            <w:tcW w:w="2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27"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60</w:t>
            </w:r>
          </w:p>
        </w:tc>
        <w:tc>
          <w:tcPr>
            <w:tcW w:w="96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7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00" w:hRule="atLeast"/>
          <w:jc w:val="center"/>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质量指标</w:t>
            </w:r>
          </w:p>
        </w:tc>
        <w:tc>
          <w:tcPr>
            <w:tcW w:w="72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纪检监察问题线索查办结案率</w:t>
            </w:r>
          </w:p>
        </w:tc>
        <w:tc>
          <w:tcPr>
            <w:tcW w:w="111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反映县纪检监察机关查办举报问题线索完成情况</w:t>
            </w:r>
          </w:p>
        </w:tc>
        <w:tc>
          <w:tcPr>
            <w:tcW w:w="2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27"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80</w:t>
            </w:r>
          </w:p>
        </w:tc>
        <w:tc>
          <w:tcPr>
            <w:tcW w:w="96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7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00" w:hRule="atLeast"/>
          <w:jc w:val="center"/>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时效指标</w:t>
            </w:r>
          </w:p>
        </w:tc>
        <w:tc>
          <w:tcPr>
            <w:tcW w:w="72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案件处置率</w:t>
            </w:r>
          </w:p>
        </w:tc>
        <w:tc>
          <w:tcPr>
            <w:tcW w:w="111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案件处置情况</w:t>
            </w:r>
          </w:p>
        </w:tc>
        <w:tc>
          <w:tcPr>
            <w:tcW w:w="2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27"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70</w:t>
            </w:r>
          </w:p>
        </w:tc>
        <w:tc>
          <w:tcPr>
            <w:tcW w:w="96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7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jc w:val="center"/>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22"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成本指标</w:t>
            </w:r>
          </w:p>
        </w:tc>
        <w:tc>
          <w:tcPr>
            <w:tcW w:w="720"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资金支付率</w:t>
            </w:r>
          </w:p>
        </w:tc>
        <w:tc>
          <w:tcPr>
            <w:tcW w:w="1115"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年底前资金支付率</w:t>
            </w:r>
          </w:p>
        </w:tc>
        <w:tc>
          <w:tcPr>
            <w:tcW w:w="275"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27" w:type="pct"/>
            <w:tcBorders>
              <w:top w:val="nil"/>
              <w:left w:val="nil"/>
              <w:bottom w:val="single" w:color="auto" w:sz="4" w:space="0"/>
              <w:right w:val="single" w:color="auto" w:sz="4" w:space="0"/>
            </w:tcBorders>
            <w:shd w:val="clear" w:color="auto" w:fill="auto"/>
            <w:noWrap/>
          </w:tcPr>
          <w:p>
            <w:pPr>
              <w:widowControl/>
              <w:spacing w:line="240" w:lineRule="auto"/>
              <w:jc w:val="right"/>
              <w:rPr>
                <w:rFonts w:cs="Calibri"/>
                <w:color w:val="000000"/>
                <w:kern w:val="0"/>
                <w:sz w:val="18"/>
                <w:szCs w:val="18"/>
              </w:rPr>
            </w:pPr>
            <w:r>
              <w:rPr>
                <w:rFonts w:cs="Calibri"/>
                <w:color w:val="000000"/>
                <w:kern w:val="0"/>
                <w:sz w:val="18"/>
                <w:szCs w:val="18"/>
              </w:rPr>
              <w:t>70</w:t>
            </w:r>
          </w:p>
        </w:tc>
        <w:tc>
          <w:tcPr>
            <w:tcW w:w="966"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75"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72"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jc w:val="center"/>
        </w:trPr>
        <w:tc>
          <w:tcPr>
            <w:tcW w:w="424"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效益指标</w:t>
            </w:r>
          </w:p>
        </w:tc>
        <w:tc>
          <w:tcPr>
            <w:tcW w:w="5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经济效益指标</w:t>
            </w:r>
          </w:p>
        </w:tc>
        <w:tc>
          <w:tcPr>
            <w:tcW w:w="72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间接经济效益</w:t>
            </w:r>
          </w:p>
        </w:tc>
        <w:tc>
          <w:tcPr>
            <w:tcW w:w="111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对违法违纪案件涉案资金的收缴率</w:t>
            </w:r>
          </w:p>
        </w:tc>
        <w:tc>
          <w:tcPr>
            <w:tcW w:w="2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27"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60</w:t>
            </w:r>
          </w:p>
        </w:tc>
        <w:tc>
          <w:tcPr>
            <w:tcW w:w="96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7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jc w:val="center"/>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社会效益指标</w:t>
            </w:r>
          </w:p>
        </w:tc>
        <w:tc>
          <w:tcPr>
            <w:tcW w:w="72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社会影响力</w:t>
            </w:r>
          </w:p>
        </w:tc>
        <w:tc>
          <w:tcPr>
            <w:tcW w:w="111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通过查处案件净化全域政治环境向好发展</w:t>
            </w:r>
          </w:p>
        </w:tc>
        <w:tc>
          <w:tcPr>
            <w:tcW w:w="2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27"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96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通过查处案件净化全域政治环境向好发展</w:t>
            </w:r>
          </w:p>
        </w:tc>
        <w:tc>
          <w:tcPr>
            <w:tcW w:w="3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7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社会影响情况</w:t>
            </w:r>
          </w:p>
        </w:tc>
      </w:tr>
      <w:tr>
        <w:tblPrEx>
          <w:tblCellMar>
            <w:top w:w="0" w:type="dxa"/>
            <w:left w:w="108" w:type="dxa"/>
            <w:bottom w:w="0" w:type="dxa"/>
            <w:right w:w="108" w:type="dxa"/>
          </w:tblCellMar>
        </w:tblPrEx>
        <w:trPr>
          <w:trHeight w:val="330" w:hRule="atLeast"/>
          <w:jc w:val="center"/>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可持续影响指标</w:t>
            </w:r>
          </w:p>
        </w:tc>
        <w:tc>
          <w:tcPr>
            <w:tcW w:w="72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长期稳定性</w:t>
            </w:r>
          </w:p>
        </w:tc>
        <w:tc>
          <w:tcPr>
            <w:tcW w:w="111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维护社会稳定、巩固和谐社会</w:t>
            </w:r>
          </w:p>
        </w:tc>
        <w:tc>
          <w:tcPr>
            <w:tcW w:w="2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27"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96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违法违纪问题日益减少</w:t>
            </w:r>
          </w:p>
        </w:tc>
        <w:tc>
          <w:tcPr>
            <w:tcW w:w="3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7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社会稳定情况</w:t>
            </w:r>
          </w:p>
        </w:tc>
      </w:tr>
      <w:tr>
        <w:tblPrEx>
          <w:tblCellMar>
            <w:top w:w="0" w:type="dxa"/>
            <w:left w:w="108" w:type="dxa"/>
            <w:bottom w:w="0" w:type="dxa"/>
            <w:right w:w="108" w:type="dxa"/>
          </w:tblCellMar>
        </w:tblPrEx>
        <w:trPr>
          <w:trHeight w:val="330" w:hRule="atLeast"/>
          <w:jc w:val="center"/>
        </w:trPr>
        <w:tc>
          <w:tcPr>
            <w:tcW w:w="42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满意度指标</w:t>
            </w:r>
          </w:p>
        </w:tc>
        <w:tc>
          <w:tcPr>
            <w:tcW w:w="5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服务对象满意度指标</w:t>
            </w:r>
          </w:p>
        </w:tc>
        <w:tc>
          <w:tcPr>
            <w:tcW w:w="72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投诉举报人满意度</w:t>
            </w:r>
          </w:p>
        </w:tc>
        <w:tc>
          <w:tcPr>
            <w:tcW w:w="111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举报人满意度</w:t>
            </w:r>
          </w:p>
        </w:tc>
        <w:tc>
          <w:tcPr>
            <w:tcW w:w="2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27"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96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≥60举报人满意度日益提高</w:t>
            </w:r>
          </w:p>
        </w:tc>
        <w:tc>
          <w:tcPr>
            <w:tcW w:w="3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7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举报人满意度</w:t>
            </w:r>
          </w:p>
        </w:tc>
      </w:tr>
    </w:tbl>
    <w:p>
      <w:pPr>
        <w:spacing w:line="300" w:lineRule="exact"/>
        <w:jc w:val="left"/>
        <w:sectPr>
          <w:headerReference r:id="rId8" w:type="default"/>
          <w:footerReference r:id="rId9" w:type="default"/>
          <w:type w:val="continuous"/>
          <w:pgSz w:w="16839" w:h="11907" w:orient="landscape"/>
          <w:pgMar w:top="1361" w:right="1020" w:bottom="1134" w:left="1020" w:header="851" w:footer="992" w:gutter="0"/>
          <w:cols w:space="425" w:num="1"/>
          <w:docGrid w:type="lines" w:linePitch="312" w:charSpace="0"/>
        </w:sectPr>
      </w:pPr>
    </w:p>
    <w:p>
      <w:pPr>
        <w:jc w:val="left"/>
        <w:outlineLvl w:val="3"/>
        <w:rPr>
          <w:rFonts w:ascii="Times New Roman" w:hAnsi="宋体"/>
          <w:b/>
          <w:sz w:val="28"/>
        </w:rPr>
      </w:pPr>
      <w:bookmarkStart w:id="9" w:name="_Toc62132118"/>
      <w:r>
        <w:rPr>
          <w:rFonts w:hint="eastAsia" w:ascii="方正仿宋_GBK" w:eastAsia="方正仿宋_GBK"/>
          <w:b/>
          <w:sz w:val="28"/>
        </w:rPr>
        <w:t>2.县委巡察工作绩效目标表</w:t>
      </w:r>
      <w:bookmarkEnd w:id="9"/>
      <w:r>
        <w:rPr>
          <w:rFonts w:ascii="方正仿宋_GBK" w:eastAsia="方正仿宋_GBK"/>
          <w:b/>
          <w:sz w:val="28"/>
        </w:rPr>
        <w:fldChar w:fldCharType="begin"/>
      </w:r>
      <w:r>
        <w:rPr>
          <w:rFonts w:hint="eastAsia" w:ascii="方正仿宋_GBK" w:eastAsia="方正仿宋_GBK"/>
          <w:b/>
          <w:sz w:val="28"/>
        </w:rPr>
        <w:instrText xml:space="preserve">TC 2、县委巡察工作绩效目标表 \f C \l 1</w:instrText>
      </w:r>
      <w:r>
        <w:rPr>
          <w:rFonts w:ascii="方正仿宋_GBK" w:eastAsia="方正仿宋_GBK"/>
          <w:b/>
          <w:sz w:val="28"/>
        </w:rPr>
        <w:fldChar w:fldCharType="end"/>
      </w:r>
    </w:p>
    <w:tbl>
      <w:tblPr>
        <w:tblStyle w:val="10"/>
        <w:tblW w:w="5000" w:type="pct"/>
        <w:tblInd w:w="0" w:type="dxa"/>
        <w:tblLayout w:type="autofit"/>
        <w:tblCellMar>
          <w:top w:w="0" w:type="dxa"/>
          <w:left w:w="108" w:type="dxa"/>
          <w:bottom w:w="0" w:type="dxa"/>
          <w:right w:w="108" w:type="dxa"/>
        </w:tblCellMar>
      </w:tblPr>
      <w:tblGrid>
        <w:gridCol w:w="1339"/>
        <w:gridCol w:w="1654"/>
        <w:gridCol w:w="1494"/>
        <w:gridCol w:w="3092"/>
        <w:gridCol w:w="855"/>
        <w:gridCol w:w="377"/>
        <w:gridCol w:w="2453"/>
        <w:gridCol w:w="1179"/>
        <w:gridCol w:w="1494"/>
      </w:tblGrid>
      <w:tr>
        <w:tblPrEx>
          <w:tblCellMar>
            <w:top w:w="0" w:type="dxa"/>
            <w:left w:w="108" w:type="dxa"/>
            <w:bottom w:w="0" w:type="dxa"/>
            <w:right w:w="108" w:type="dxa"/>
          </w:tblCellMar>
        </w:tblPrEx>
        <w:trPr>
          <w:trHeight w:val="375" w:hRule="atLeast"/>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年度目标（2022)</w:t>
            </w:r>
          </w:p>
        </w:tc>
      </w:tr>
      <w:tr>
        <w:tblPrEx>
          <w:tblCellMar>
            <w:top w:w="0" w:type="dxa"/>
            <w:left w:w="108" w:type="dxa"/>
            <w:bottom w:w="0" w:type="dxa"/>
            <w:right w:w="108" w:type="dxa"/>
          </w:tblCellMar>
        </w:tblPrEx>
        <w:trPr>
          <w:trHeight w:val="300" w:hRule="atLeast"/>
        </w:trPr>
        <w:tc>
          <w:tcPr>
            <w:tcW w:w="48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项目编码及名称</w:t>
            </w:r>
          </w:p>
        </w:tc>
        <w:tc>
          <w:tcPr>
            <w:tcW w:w="2238"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[13062322P007543100012]巡察工作</w:t>
            </w:r>
          </w:p>
        </w:tc>
        <w:tc>
          <w:tcPr>
            <w:tcW w:w="442"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主管部门</w:t>
            </w:r>
          </w:p>
        </w:tc>
        <w:tc>
          <w:tcPr>
            <w:tcW w:w="1838"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[222]中国共产党河北省涞水县纪律检查委员会</w:t>
            </w:r>
          </w:p>
        </w:tc>
      </w:tr>
      <w:tr>
        <w:tblPrEx>
          <w:tblCellMar>
            <w:top w:w="0" w:type="dxa"/>
            <w:left w:w="108" w:type="dxa"/>
            <w:bottom w:w="0" w:type="dxa"/>
            <w:right w:w="108" w:type="dxa"/>
          </w:tblCellMar>
        </w:tblPrEx>
        <w:trPr>
          <w:trHeight w:val="300" w:hRule="atLeast"/>
        </w:trPr>
        <w:tc>
          <w:tcPr>
            <w:tcW w:w="48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项目单位</w:t>
            </w:r>
          </w:p>
        </w:tc>
        <w:tc>
          <w:tcPr>
            <w:tcW w:w="2238"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[222001]中国共产党河北省涞水县纪律检查委员会本级</w:t>
            </w:r>
          </w:p>
        </w:tc>
        <w:tc>
          <w:tcPr>
            <w:tcW w:w="442"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年度资金总额</w:t>
            </w:r>
          </w:p>
        </w:tc>
        <w:tc>
          <w:tcPr>
            <w:tcW w:w="1838"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40.000000</w:t>
            </w:r>
          </w:p>
        </w:tc>
      </w:tr>
      <w:tr>
        <w:tblPrEx>
          <w:tblCellMar>
            <w:top w:w="0" w:type="dxa"/>
            <w:left w:w="108" w:type="dxa"/>
            <w:bottom w:w="0" w:type="dxa"/>
            <w:right w:w="108" w:type="dxa"/>
          </w:tblCellMar>
        </w:tblPrEx>
        <w:trPr>
          <w:trHeight w:val="600" w:hRule="atLeast"/>
        </w:trPr>
        <w:tc>
          <w:tcPr>
            <w:tcW w:w="48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资金用途</w:t>
            </w:r>
          </w:p>
        </w:tc>
        <w:tc>
          <w:tcPr>
            <w:tcW w:w="4519" w:type="pct"/>
            <w:gridSpan w:val="8"/>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用于开展巡察工作所需支付对租车费、差旅费、培训费及各项办公费用</w:t>
            </w:r>
          </w:p>
        </w:tc>
      </w:tr>
      <w:tr>
        <w:tblPrEx>
          <w:tblCellMar>
            <w:top w:w="0" w:type="dxa"/>
            <w:left w:w="108" w:type="dxa"/>
            <w:bottom w:w="0" w:type="dxa"/>
            <w:right w:w="108" w:type="dxa"/>
          </w:tblCellMar>
        </w:tblPrEx>
        <w:trPr>
          <w:trHeight w:val="405" w:hRule="atLeast"/>
        </w:trPr>
        <w:tc>
          <w:tcPr>
            <w:tcW w:w="48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Calibri"/>
                <w:b/>
                <w:bCs/>
                <w:kern w:val="0"/>
                <w:sz w:val="18"/>
                <w:szCs w:val="18"/>
              </w:rPr>
            </w:pPr>
            <w:r>
              <w:rPr>
                <w:rFonts w:cs="Calibri"/>
                <w:b/>
                <w:bCs/>
                <w:kern w:val="0"/>
                <w:sz w:val="18"/>
                <w:szCs w:val="18"/>
              </w:rPr>
              <w:t>资金支出计划</w:t>
            </w:r>
          </w:p>
        </w:tc>
        <w:tc>
          <w:tcPr>
            <w:tcW w:w="1129"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3月底</w:t>
            </w:r>
          </w:p>
        </w:tc>
        <w:tc>
          <w:tcPr>
            <w:tcW w:w="110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6月底</w:t>
            </w:r>
          </w:p>
        </w:tc>
        <w:tc>
          <w:tcPr>
            <w:tcW w:w="1322"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10月底</w:t>
            </w:r>
          </w:p>
        </w:tc>
        <w:tc>
          <w:tcPr>
            <w:tcW w:w="958"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12月底</w:t>
            </w:r>
          </w:p>
        </w:tc>
      </w:tr>
      <w:tr>
        <w:tblPrEx>
          <w:tblCellMar>
            <w:top w:w="0" w:type="dxa"/>
            <w:left w:w="108" w:type="dxa"/>
            <w:bottom w:w="0" w:type="dxa"/>
            <w:right w:w="108" w:type="dxa"/>
          </w:tblCellMar>
        </w:tblPrEx>
        <w:trPr>
          <w:trHeight w:val="405"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129"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10%</w:t>
            </w:r>
          </w:p>
        </w:tc>
        <w:tc>
          <w:tcPr>
            <w:tcW w:w="110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50%</w:t>
            </w:r>
          </w:p>
        </w:tc>
        <w:tc>
          <w:tcPr>
            <w:tcW w:w="1322"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70%</w:t>
            </w:r>
          </w:p>
        </w:tc>
        <w:tc>
          <w:tcPr>
            <w:tcW w:w="958"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100%</w:t>
            </w:r>
          </w:p>
        </w:tc>
      </w:tr>
      <w:tr>
        <w:tblPrEx>
          <w:tblCellMar>
            <w:top w:w="0" w:type="dxa"/>
            <w:left w:w="108" w:type="dxa"/>
            <w:bottom w:w="0" w:type="dxa"/>
            <w:right w:w="108" w:type="dxa"/>
          </w:tblCellMar>
        </w:tblPrEx>
        <w:trPr>
          <w:trHeight w:val="300" w:hRule="atLeast"/>
        </w:trPr>
        <w:tc>
          <w:tcPr>
            <w:tcW w:w="48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年度绩效目标</w:t>
            </w: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目标1</w:t>
            </w:r>
          </w:p>
        </w:tc>
        <w:tc>
          <w:tcPr>
            <w:tcW w:w="3926"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政治巡察进一步深化</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目标2</w:t>
            </w:r>
          </w:p>
        </w:tc>
        <w:tc>
          <w:tcPr>
            <w:tcW w:w="3926"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巡察监督体系进一步完成</w:t>
            </w:r>
          </w:p>
        </w:tc>
      </w:tr>
      <w:tr>
        <w:tblPrEx>
          <w:tblCellMar>
            <w:top w:w="0" w:type="dxa"/>
            <w:left w:w="108" w:type="dxa"/>
            <w:bottom w:w="0" w:type="dxa"/>
            <w:right w:w="108" w:type="dxa"/>
          </w:tblCellMar>
        </w:tblPrEx>
        <w:trPr>
          <w:trHeight w:val="345"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目标3</w:t>
            </w:r>
          </w:p>
        </w:tc>
        <w:tc>
          <w:tcPr>
            <w:tcW w:w="3926"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监督合力进一步形成</w:t>
            </w:r>
          </w:p>
        </w:tc>
      </w:tr>
      <w:tr>
        <w:tblPrEx>
          <w:tblCellMar>
            <w:top w:w="0" w:type="dxa"/>
            <w:left w:w="108" w:type="dxa"/>
            <w:bottom w:w="0" w:type="dxa"/>
            <w:right w:w="108" w:type="dxa"/>
          </w:tblCellMar>
        </w:tblPrEx>
        <w:trPr>
          <w:trHeight w:val="300" w:hRule="atLeast"/>
        </w:trPr>
        <w:tc>
          <w:tcPr>
            <w:tcW w:w="48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一级指标</w:t>
            </w:r>
          </w:p>
        </w:tc>
        <w:tc>
          <w:tcPr>
            <w:tcW w:w="593"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二级指标</w:t>
            </w:r>
          </w:p>
        </w:tc>
        <w:tc>
          <w:tcPr>
            <w:tcW w:w="535"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三级指标</w:t>
            </w:r>
          </w:p>
        </w:tc>
        <w:tc>
          <w:tcPr>
            <w:tcW w:w="1109"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绩效指标描述（指标内容）</w:t>
            </w:r>
          </w:p>
        </w:tc>
        <w:tc>
          <w:tcPr>
            <w:tcW w:w="1322"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指标值</w:t>
            </w:r>
          </w:p>
        </w:tc>
        <w:tc>
          <w:tcPr>
            <w:tcW w:w="42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指标确定依据</w:t>
            </w:r>
          </w:p>
        </w:tc>
        <w:tc>
          <w:tcPr>
            <w:tcW w:w="535"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评（扣）分标准</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10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符号</w:t>
            </w:r>
          </w:p>
        </w:tc>
        <w:tc>
          <w:tcPr>
            <w:tcW w:w="13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值</w:t>
            </w:r>
          </w:p>
        </w:tc>
        <w:tc>
          <w:tcPr>
            <w:tcW w:w="88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单位（文字描述）</w:t>
            </w:r>
          </w:p>
        </w:tc>
        <w:tc>
          <w:tcPr>
            <w:tcW w:w="42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r>
      <w:tr>
        <w:tblPrEx>
          <w:tblCellMar>
            <w:top w:w="0" w:type="dxa"/>
            <w:left w:w="108" w:type="dxa"/>
            <w:bottom w:w="0" w:type="dxa"/>
            <w:right w:w="108" w:type="dxa"/>
          </w:tblCellMar>
        </w:tblPrEx>
        <w:trPr>
          <w:trHeight w:val="300" w:hRule="atLeast"/>
        </w:trPr>
        <w:tc>
          <w:tcPr>
            <w:tcW w:w="48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产出指标</w:t>
            </w: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数量指标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覆盖率</w:t>
            </w:r>
          </w:p>
        </w:tc>
        <w:tc>
          <w:tcPr>
            <w:tcW w:w="110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巡察工作覆盖率</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3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90</w:t>
            </w:r>
          </w:p>
        </w:tc>
        <w:tc>
          <w:tcPr>
            <w:tcW w:w="8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4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质量指标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业务工作保障质量</w:t>
            </w:r>
          </w:p>
        </w:tc>
        <w:tc>
          <w:tcPr>
            <w:tcW w:w="110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保障巡察工作质量</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3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8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对发现的问题进行整改到位</w:t>
            </w:r>
          </w:p>
        </w:tc>
        <w:tc>
          <w:tcPr>
            <w:tcW w:w="4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政策文件</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时效指标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按期完成率</w:t>
            </w:r>
          </w:p>
        </w:tc>
        <w:tc>
          <w:tcPr>
            <w:tcW w:w="110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按时限要求完成巡察工作</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3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8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在规定时限内完成巡察任务</w:t>
            </w:r>
          </w:p>
        </w:tc>
        <w:tc>
          <w:tcPr>
            <w:tcW w:w="4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政策文件</w:t>
            </w:r>
          </w:p>
        </w:tc>
      </w:tr>
      <w:tr>
        <w:tblPrEx>
          <w:tblCellMar>
            <w:top w:w="0" w:type="dxa"/>
            <w:left w:w="108" w:type="dxa"/>
            <w:bottom w:w="0" w:type="dxa"/>
            <w:right w:w="108" w:type="dxa"/>
          </w:tblCellMar>
        </w:tblPrEx>
        <w:trPr>
          <w:trHeight w:val="607"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成本指标</w:t>
            </w:r>
          </w:p>
        </w:tc>
        <w:tc>
          <w:tcPr>
            <w:tcW w:w="535"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资金支付率</w:t>
            </w:r>
          </w:p>
        </w:tc>
        <w:tc>
          <w:tcPr>
            <w:tcW w:w="1109"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年底前资金支付率</w:t>
            </w:r>
          </w:p>
        </w:tc>
        <w:tc>
          <w:tcPr>
            <w:tcW w:w="306"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35" w:type="pct"/>
            <w:tcBorders>
              <w:top w:val="nil"/>
              <w:left w:val="nil"/>
              <w:bottom w:val="single" w:color="auto" w:sz="4" w:space="0"/>
              <w:right w:val="single" w:color="auto" w:sz="4" w:space="0"/>
            </w:tcBorders>
            <w:shd w:val="clear" w:color="auto" w:fill="auto"/>
            <w:noWrap/>
          </w:tcPr>
          <w:p>
            <w:pPr>
              <w:widowControl/>
              <w:spacing w:line="240" w:lineRule="auto"/>
              <w:jc w:val="right"/>
              <w:rPr>
                <w:rFonts w:cs="Calibri"/>
                <w:color w:val="000000"/>
                <w:kern w:val="0"/>
                <w:sz w:val="18"/>
                <w:szCs w:val="18"/>
              </w:rPr>
            </w:pPr>
            <w:r>
              <w:rPr>
                <w:rFonts w:cs="Calibri"/>
                <w:color w:val="000000"/>
                <w:kern w:val="0"/>
                <w:sz w:val="18"/>
                <w:szCs w:val="18"/>
              </w:rPr>
              <w:t>80</w:t>
            </w:r>
          </w:p>
        </w:tc>
        <w:tc>
          <w:tcPr>
            <w:tcW w:w="880"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422"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5"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00" w:hRule="atLeast"/>
        </w:trPr>
        <w:tc>
          <w:tcPr>
            <w:tcW w:w="48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效益指标</w:t>
            </w: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经济效益指标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资金使用效益</w:t>
            </w:r>
          </w:p>
        </w:tc>
        <w:tc>
          <w:tcPr>
            <w:tcW w:w="110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提高资金使用效益和管理水平</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3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8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为各项工作开展提供有效保障</w:t>
            </w:r>
          </w:p>
        </w:tc>
        <w:tc>
          <w:tcPr>
            <w:tcW w:w="4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政策文件</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社会效益指标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工作能力</w:t>
            </w:r>
          </w:p>
        </w:tc>
        <w:tc>
          <w:tcPr>
            <w:tcW w:w="110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保障业务工作正常开展，提高工作完成率</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3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8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被巡察单位工作效率进一步提高</w:t>
            </w:r>
          </w:p>
        </w:tc>
        <w:tc>
          <w:tcPr>
            <w:tcW w:w="4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政策文件</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生态效益指标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社会影响力</w:t>
            </w:r>
          </w:p>
        </w:tc>
        <w:tc>
          <w:tcPr>
            <w:tcW w:w="110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对经济社会发展产生长期重要影响</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3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8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推动社会经济进一步发展</w:t>
            </w:r>
          </w:p>
        </w:tc>
        <w:tc>
          <w:tcPr>
            <w:tcW w:w="4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政策文件</w:t>
            </w:r>
          </w:p>
        </w:tc>
      </w:tr>
      <w:tr>
        <w:tblPrEx>
          <w:tblCellMar>
            <w:top w:w="0" w:type="dxa"/>
            <w:left w:w="108" w:type="dxa"/>
            <w:bottom w:w="0" w:type="dxa"/>
            <w:right w:w="108" w:type="dxa"/>
          </w:tblCellMar>
        </w:tblPrEx>
        <w:trPr>
          <w:trHeight w:val="300" w:hRule="atLeast"/>
        </w:trPr>
        <w:tc>
          <w:tcPr>
            <w:tcW w:w="48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满意度指标</w:t>
            </w: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服务对象满意度指标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投诉举报人满意度</w:t>
            </w:r>
          </w:p>
        </w:tc>
        <w:tc>
          <w:tcPr>
            <w:tcW w:w="110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巡察期间接受举报比率</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3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75</w:t>
            </w:r>
          </w:p>
        </w:tc>
        <w:tc>
          <w:tcPr>
            <w:tcW w:w="8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4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110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13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8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110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13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8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r>
    </w:tbl>
    <w:p>
      <w:pPr>
        <w:spacing w:line="300" w:lineRule="exact"/>
        <w:ind w:firstLine="480" w:firstLineChars="200"/>
        <w:jc w:val="left"/>
      </w:pPr>
    </w:p>
    <w:p>
      <w:pPr>
        <w:spacing w:line="300" w:lineRule="exact"/>
        <w:ind w:firstLine="480" w:firstLineChars="200"/>
        <w:jc w:val="left"/>
      </w:pPr>
    </w:p>
    <w:p>
      <w:pPr>
        <w:spacing w:line="300" w:lineRule="exact"/>
        <w:ind w:firstLine="480" w:firstLineChars="200"/>
        <w:jc w:val="left"/>
      </w:pPr>
    </w:p>
    <w:p>
      <w:pPr>
        <w:spacing w:line="300" w:lineRule="exact"/>
        <w:ind w:firstLine="480" w:firstLineChars="200"/>
        <w:jc w:val="left"/>
      </w:pPr>
    </w:p>
    <w:p>
      <w:pPr>
        <w:spacing w:line="300" w:lineRule="exact"/>
        <w:ind w:firstLine="480" w:firstLineChars="200"/>
        <w:jc w:val="left"/>
      </w:pPr>
    </w:p>
    <w:p>
      <w:pPr>
        <w:spacing w:line="300" w:lineRule="exact"/>
        <w:ind w:firstLine="480" w:firstLineChars="200"/>
        <w:jc w:val="left"/>
      </w:pPr>
    </w:p>
    <w:p>
      <w:pPr>
        <w:spacing w:line="300" w:lineRule="exact"/>
        <w:ind w:firstLine="480" w:firstLineChars="200"/>
        <w:jc w:val="left"/>
      </w:pPr>
    </w:p>
    <w:p>
      <w:pPr>
        <w:spacing w:line="300" w:lineRule="exact"/>
        <w:ind w:firstLine="480" w:firstLineChars="200"/>
        <w:jc w:val="left"/>
      </w:pPr>
    </w:p>
    <w:p>
      <w:pPr>
        <w:spacing w:line="300" w:lineRule="exact"/>
        <w:ind w:firstLine="480" w:firstLineChars="200"/>
        <w:jc w:val="left"/>
      </w:pPr>
    </w:p>
    <w:p>
      <w:pPr>
        <w:spacing w:line="300" w:lineRule="exact"/>
        <w:ind w:firstLine="480" w:firstLineChars="200"/>
        <w:jc w:val="left"/>
      </w:pPr>
    </w:p>
    <w:p>
      <w:pPr>
        <w:spacing w:line="300" w:lineRule="exact"/>
        <w:ind w:firstLine="480" w:firstLineChars="200"/>
        <w:jc w:val="left"/>
      </w:pPr>
    </w:p>
    <w:p>
      <w:pPr>
        <w:spacing w:line="300" w:lineRule="exact"/>
        <w:ind w:firstLine="480" w:firstLineChars="200"/>
        <w:jc w:val="left"/>
      </w:pPr>
    </w:p>
    <w:p>
      <w:pPr>
        <w:spacing w:line="300" w:lineRule="exact"/>
        <w:ind w:firstLine="480" w:firstLineChars="200"/>
        <w:jc w:val="left"/>
      </w:pPr>
    </w:p>
    <w:p>
      <w:pPr>
        <w:spacing w:line="300" w:lineRule="exact"/>
        <w:ind w:firstLine="480" w:firstLineChars="200"/>
        <w:jc w:val="left"/>
      </w:pPr>
    </w:p>
    <w:p>
      <w:pPr>
        <w:spacing w:line="300" w:lineRule="exact"/>
        <w:ind w:firstLine="480" w:firstLineChars="200"/>
        <w:jc w:val="left"/>
      </w:pPr>
    </w:p>
    <w:p>
      <w:pPr>
        <w:spacing w:line="300" w:lineRule="exact"/>
        <w:ind w:firstLine="480" w:firstLineChars="200"/>
        <w:jc w:val="left"/>
      </w:pPr>
    </w:p>
    <w:p>
      <w:pPr>
        <w:spacing w:line="300" w:lineRule="exact"/>
        <w:ind w:firstLine="480" w:firstLineChars="200"/>
        <w:jc w:val="left"/>
      </w:pPr>
    </w:p>
    <w:p>
      <w:pPr>
        <w:spacing w:line="300" w:lineRule="exact"/>
        <w:ind w:firstLine="480" w:firstLineChars="200"/>
        <w:jc w:val="left"/>
      </w:pPr>
    </w:p>
    <w:p>
      <w:pPr>
        <w:spacing w:line="300" w:lineRule="exact"/>
        <w:ind w:firstLine="480" w:firstLineChars="200"/>
        <w:jc w:val="left"/>
      </w:pPr>
    </w:p>
    <w:p>
      <w:pPr>
        <w:spacing w:line="300" w:lineRule="exact"/>
        <w:ind w:firstLine="480" w:firstLineChars="200"/>
        <w:jc w:val="left"/>
      </w:pPr>
    </w:p>
    <w:p>
      <w:pPr>
        <w:spacing w:line="300" w:lineRule="exact"/>
        <w:ind w:firstLine="480" w:firstLineChars="200"/>
        <w:jc w:val="left"/>
      </w:pPr>
    </w:p>
    <w:p>
      <w:pPr>
        <w:spacing w:line="300" w:lineRule="exact"/>
        <w:ind w:firstLine="480" w:firstLineChars="200"/>
        <w:jc w:val="left"/>
      </w:pPr>
    </w:p>
    <w:p>
      <w:pPr>
        <w:spacing w:line="300" w:lineRule="exact"/>
        <w:ind w:firstLine="480" w:firstLineChars="200"/>
        <w:jc w:val="left"/>
      </w:pPr>
    </w:p>
    <w:p>
      <w:pPr>
        <w:ind w:firstLine="560" w:firstLineChars="200"/>
        <w:jc w:val="left"/>
        <w:outlineLvl w:val="3"/>
        <w:rPr>
          <w:rFonts w:ascii="Times New Roman" w:hAnsi="宋体"/>
          <w:b/>
          <w:sz w:val="28"/>
        </w:rPr>
      </w:pPr>
      <w:bookmarkStart w:id="10" w:name="_Toc62132119"/>
      <w:r>
        <w:rPr>
          <w:rFonts w:hint="eastAsia" w:ascii="方正仿宋_GBK" w:eastAsia="方正仿宋_GBK"/>
          <w:b/>
          <w:sz w:val="28"/>
        </w:rPr>
        <w:t>3.纪检监察事务管理绩效目标表</w:t>
      </w:r>
      <w:bookmarkEnd w:id="10"/>
      <w:r>
        <w:rPr>
          <w:rFonts w:ascii="方正仿宋_GBK" w:eastAsia="方正仿宋_GBK"/>
          <w:b/>
          <w:sz w:val="28"/>
        </w:rPr>
        <w:fldChar w:fldCharType="begin"/>
      </w:r>
      <w:r>
        <w:rPr>
          <w:rFonts w:hint="eastAsia" w:ascii="方正仿宋_GBK" w:eastAsia="方正仿宋_GBK"/>
          <w:b/>
          <w:sz w:val="28"/>
        </w:rPr>
        <w:instrText xml:space="preserve">TC 3、纪检监察事务管理绩效目标表 \f C \l 1</w:instrText>
      </w:r>
      <w:r>
        <w:rPr>
          <w:rFonts w:ascii="方正仿宋_GBK" w:eastAsia="方正仿宋_GBK"/>
          <w:b/>
          <w:sz w:val="28"/>
        </w:rPr>
        <w:fldChar w:fldCharType="end"/>
      </w:r>
    </w:p>
    <w:tbl>
      <w:tblPr>
        <w:tblStyle w:val="10"/>
        <w:tblW w:w="5000" w:type="pct"/>
        <w:tblInd w:w="0" w:type="dxa"/>
        <w:tblLayout w:type="autofit"/>
        <w:tblCellMar>
          <w:top w:w="0" w:type="dxa"/>
          <w:left w:w="108" w:type="dxa"/>
          <w:bottom w:w="0" w:type="dxa"/>
          <w:right w:w="108" w:type="dxa"/>
        </w:tblCellMar>
      </w:tblPr>
      <w:tblGrid>
        <w:gridCol w:w="1206"/>
        <w:gridCol w:w="1485"/>
        <w:gridCol w:w="2190"/>
        <w:gridCol w:w="3459"/>
        <w:gridCol w:w="780"/>
        <w:gridCol w:w="358"/>
        <w:gridCol w:w="2049"/>
        <w:gridCol w:w="1066"/>
        <w:gridCol w:w="1344"/>
      </w:tblGrid>
      <w:tr>
        <w:tblPrEx>
          <w:tblCellMar>
            <w:top w:w="0" w:type="dxa"/>
            <w:left w:w="108" w:type="dxa"/>
            <w:bottom w:w="0" w:type="dxa"/>
            <w:right w:w="108" w:type="dxa"/>
          </w:tblCellMar>
        </w:tblPrEx>
        <w:trPr>
          <w:trHeight w:val="300" w:hRule="atLeast"/>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年度目标（2022)</w:t>
            </w:r>
          </w:p>
        </w:tc>
      </w:tr>
      <w:tr>
        <w:tblPrEx>
          <w:tblCellMar>
            <w:top w:w="0" w:type="dxa"/>
            <w:left w:w="108" w:type="dxa"/>
            <w:bottom w:w="0" w:type="dxa"/>
            <w:right w:w="108" w:type="dxa"/>
          </w:tblCellMar>
        </w:tblPrEx>
        <w:trPr>
          <w:trHeight w:val="300" w:hRule="atLeast"/>
        </w:trPr>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项目编码及名称</w:t>
            </w:r>
          </w:p>
        </w:tc>
        <w:tc>
          <w:tcPr>
            <w:tcW w:w="2586"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[13062322P00754410001P]纪检监察事务管理</w:t>
            </w:r>
          </w:p>
        </w:tc>
        <w:tc>
          <w:tcPr>
            <w:tcW w:w="386"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主管部门</w:t>
            </w:r>
          </w:p>
        </w:tc>
        <w:tc>
          <w:tcPr>
            <w:tcW w:w="1597"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[222]中国共产党河北省涞水县纪律检查委员会</w:t>
            </w:r>
          </w:p>
        </w:tc>
      </w:tr>
      <w:tr>
        <w:tblPrEx>
          <w:tblCellMar>
            <w:top w:w="0" w:type="dxa"/>
            <w:left w:w="108" w:type="dxa"/>
            <w:bottom w:w="0" w:type="dxa"/>
            <w:right w:w="108" w:type="dxa"/>
          </w:tblCellMar>
        </w:tblPrEx>
        <w:trPr>
          <w:trHeight w:val="300" w:hRule="atLeast"/>
        </w:trPr>
        <w:tc>
          <w:tcPr>
            <w:tcW w:w="429"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项目单位</w:t>
            </w:r>
          </w:p>
        </w:tc>
        <w:tc>
          <w:tcPr>
            <w:tcW w:w="2586"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[222001]中国共产党河北省涞水县纪律检查委员会本级</w:t>
            </w:r>
          </w:p>
        </w:tc>
        <w:tc>
          <w:tcPr>
            <w:tcW w:w="386"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年度资金总额</w:t>
            </w:r>
          </w:p>
        </w:tc>
        <w:tc>
          <w:tcPr>
            <w:tcW w:w="1597"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150.000000</w:t>
            </w:r>
          </w:p>
        </w:tc>
      </w:tr>
      <w:tr>
        <w:tblPrEx>
          <w:tblCellMar>
            <w:top w:w="0" w:type="dxa"/>
            <w:left w:w="108" w:type="dxa"/>
            <w:bottom w:w="0" w:type="dxa"/>
            <w:right w:w="108" w:type="dxa"/>
          </w:tblCellMar>
        </w:tblPrEx>
        <w:trPr>
          <w:trHeight w:val="600" w:hRule="atLeast"/>
        </w:trPr>
        <w:tc>
          <w:tcPr>
            <w:tcW w:w="429"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资金用途</w:t>
            </w:r>
          </w:p>
        </w:tc>
        <w:tc>
          <w:tcPr>
            <w:tcW w:w="4570" w:type="pct"/>
            <w:gridSpan w:val="8"/>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用于纪检监察各项工作正常有序开展所需要支付的办公费、邮电费、设备购置费、维修维护费、机关食堂运行维护费、公务接待费、公车运行费、维修维护费、劳务费 等各项费用支出。</w:t>
            </w:r>
          </w:p>
        </w:tc>
      </w:tr>
      <w:tr>
        <w:tblPrEx>
          <w:tblCellMar>
            <w:top w:w="0" w:type="dxa"/>
            <w:left w:w="108" w:type="dxa"/>
            <w:bottom w:w="0" w:type="dxa"/>
            <w:right w:w="108" w:type="dxa"/>
          </w:tblCellMar>
        </w:tblPrEx>
        <w:trPr>
          <w:trHeight w:val="405" w:hRule="atLeast"/>
        </w:trPr>
        <w:tc>
          <w:tcPr>
            <w:tcW w:w="429"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Calibri"/>
                <w:b/>
                <w:bCs/>
                <w:kern w:val="0"/>
                <w:sz w:val="18"/>
                <w:szCs w:val="18"/>
              </w:rPr>
            </w:pPr>
            <w:r>
              <w:rPr>
                <w:rFonts w:cs="Calibri"/>
                <w:b/>
                <w:bCs/>
                <w:kern w:val="0"/>
                <w:sz w:val="18"/>
                <w:szCs w:val="18"/>
              </w:rPr>
              <w:t>资金支出计划</w:t>
            </w:r>
          </w:p>
        </w:tc>
        <w:tc>
          <w:tcPr>
            <w:tcW w:w="1324"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3月底</w:t>
            </w:r>
          </w:p>
        </w:tc>
        <w:tc>
          <w:tcPr>
            <w:tcW w:w="126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6月底</w:t>
            </w:r>
          </w:p>
        </w:tc>
        <w:tc>
          <w:tcPr>
            <w:tcW w:w="1127"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10月底</w:t>
            </w:r>
          </w:p>
        </w:tc>
        <w:tc>
          <w:tcPr>
            <w:tcW w:w="857"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12月底</w:t>
            </w:r>
          </w:p>
        </w:tc>
      </w:tr>
      <w:tr>
        <w:tblPrEx>
          <w:tblCellMar>
            <w:top w:w="0" w:type="dxa"/>
            <w:left w:w="108" w:type="dxa"/>
            <w:bottom w:w="0" w:type="dxa"/>
            <w:right w:w="108" w:type="dxa"/>
          </w:tblCellMar>
        </w:tblPrEx>
        <w:trPr>
          <w:trHeight w:val="405"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324"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10%</w:t>
            </w:r>
          </w:p>
        </w:tc>
        <w:tc>
          <w:tcPr>
            <w:tcW w:w="126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50%</w:t>
            </w:r>
          </w:p>
        </w:tc>
        <w:tc>
          <w:tcPr>
            <w:tcW w:w="1127"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70%</w:t>
            </w:r>
          </w:p>
        </w:tc>
        <w:tc>
          <w:tcPr>
            <w:tcW w:w="857"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100%</w:t>
            </w:r>
          </w:p>
        </w:tc>
      </w:tr>
      <w:tr>
        <w:tblPrEx>
          <w:tblCellMar>
            <w:top w:w="0" w:type="dxa"/>
            <w:left w:w="108" w:type="dxa"/>
            <w:bottom w:w="0" w:type="dxa"/>
            <w:right w:w="108" w:type="dxa"/>
          </w:tblCellMar>
        </w:tblPrEx>
        <w:trPr>
          <w:trHeight w:val="300" w:hRule="atLeast"/>
        </w:trPr>
        <w:tc>
          <w:tcPr>
            <w:tcW w:w="429"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年度绩效目标</w:t>
            </w:r>
          </w:p>
        </w:tc>
        <w:tc>
          <w:tcPr>
            <w:tcW w:w="53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目标1</w:t>
            </w:r>
          </w:p>
        </w:tc>
        <w:tc>
          <w:tcPr>
            <w:tcW w:w="4039"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保障机关各项工作正常有序开展</w:t>
            </w:r>
          </w:p>
        </w:tc>
      </w:tr>
      <w:tr>
        <w:tblPrEx>
          <w:tblCellMar>
            <w:top w:w="0" w:type="dxa"/>
            <w:left w:w="108" w:type="dxa"/>
            <w:bottom w:w="0" w:type="dxa"/>
            <w:right w:w="108" w:type="dxa"/>
          </w:tblCellMar>
        </w:tblPrEx>
        <w:trPr>
          <w:trHeight w:val="300"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目标2</w:t>
            </w:r>
          </w:p>
        </w:tc>
        <w:tc>
          <w:tcPr>
            <w:tcW w:w="4039"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纪检监察系统网络一体化平台建设规范运行提供有力保障</w:t>
            </w:r>
          </w:p>
        </w:tc>
      </w:tr>
      <w:tr>
        <w:tblPrEx>
          <w:tblCellMar>
            <w:top w:w="0" w:type="dxa"/>
            <w:left w:w="108" w:type="dxa"/>
            <w:bottom w:w="0" w:type="dxa"/>
            <w:right w:w="108" w:type="dxa"/>
          </w:tblCellMar>
        </w:tblPrEx>
        <w:trPr>
          <w:trHeight w:val="345"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目标3</w:t>
            </w:r>
          </w:p>
        </w:tc>
        <w:tc>
          <w:tcPr>
            <w:tcW w:w="4039"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保障机关食堂正常运行</w:t>
            </w:r>
          </w:p>
        </w:tc>
      </w:tr>
      <w:tr>
        <w:tblPrEx>
          <w:tblCellMar>
            <w:top w:w="0" w:type="dxa"/>
            <w:left w:w="108" w:type="dxa"/>
            <w:bottom w:w="0" w:type="dxa"/>
            <w:right w:w="108" w:type="dxa"/>
          </w:tblCellMar>
        </w:tblPrEx>
        <w:trPr>
          <w:trHeight w:val="300" w:hRule="atLeast"/>
        </w:trPr>
        <w:tc>
          <w:tcPr>
            <w:tcW w:w="429"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一级指标</w:t>
            </w:r>
          </w:p>
        </w:tc>
        <w:tc>
          <w:tcPr>
            <w:tcW w:w="531"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二级指标</w:t>
            </w:r>
          </w:p>
        </w:tc>
        <w:tc>
          <w:tcPr>
            <w:tcW w:w="79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三级指标</w:t>
            </w:r>
          </w:p>
        </w:tc>
        <w:tc>
          <w:tcPr>
            <w:tcW w:w="126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绩效指标描述（指标内容）</w:t>
            </w:r>
          </w:p>
        </w:tc>
        <w:tc>
          <w:tcPr>
            <w:tcW w:w="1127"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指标值</w:t>
            </w:r>
          </w:p>
        </w:tc>
        <w:tc>
          <w:tcPr>
            <w:tcW w:w="376"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指标确定依据</w:t>
            </w:r>
          </w:p>
        </w:tc>
        <w:tc>
          <w:tcPr>
            <w:tcW w:w="48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评（扣）分标准</w:t>
            </w:r>
          </w:p>
        </w:tc>
      </w:tr>
      <w:tr>
        <w:tblPrEx>
          <w:tblCellMar>
            <w:top w:w="0" w:type="dxa"/>
            <w:left w:w="108" w:type="dxa"/>
            <w:bottom w:w="0" w:type="dxa"/>
            <w:right w:w="108" w:type="dxa"/>
          </w:tblCellMar>
        </w:tblPrEx>
        <w:trPr>
          <w:trHeight w:val="300"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1"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79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26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27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符号</w:t>
            </w:r>
          </w:p>
        </w:tc>
        <w:tc>
          <w:tcPr>
            <w:tcW w:w="11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值</w:t>
            </w:r>
          </w:p>
        </w:tc>
        <w:tc>
          <w:tcPr>
            <w:tcW w:w="74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单位（文字描述）</w:t>
            </w:r>
          </w:p>
        </w:tc>
        <w:tc>
          <w:tcPr>
            <w:tcW w:w="37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r>
      <w:tr>
        <w:tblPrEx>
          <w:tblCellMar>
            <w:top w:w="0" w:type="dxa"/>
            <w:left w:w="108" w:type="dxa"/>
            <w:bottom w:w="0" w:type="dxa"/>
            <w:right w:w="108" w:type="dxa"/>
          </w:tblCellMar>
        </w:tblPrEx>
        <w:trPr>
          <w:trHeight w:val="300" w:hRule="atLeast"/>
        </w:trPr>
        <w:tc>
          <w:tcPr>
            <w:tcW w:w="429"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产出指标</w:t>
            </w:r>
          </w:p>
        </w:tc>
        <w:tc>
          <w:tcPr>
            <w:tcW w:w="53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数量指标</w:t>
            </w:r>
          </w:p>
        </w:tc>
        <w:tc>
          <w:tcPr>
            <w:tcW w:w="79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开展执法检查次数</w:t>
            </w:r>
          </w:p>
        </w:tc>
        <w:tc>
          <w:tcPr>
            <w:tcW w:w="126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开展执法检查情况</w:t>
            </w:r>
          </w:p>
        </w:tc>
        <w:tc>
          <w:tcPr>
            <w:tcW w:w="27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1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1</w:t>
            </w:r>
          </w:p>
        </w:tc>
        <w:tc>
          <w:tcPr>
            <w:tcW w:w="7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次</w:t>
            </w:r>
          </w:p>
        </w:tc>
        <w:tc>
          <w:tcPr>
            <w:tcW w:w="37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开展执法检查次数</w:t>
            </w:r>
          </w:p>
        </w:tc>
      </w:tr>
      <w:tr>
        <w:tblPrEx>
          <w:tblCellMar>
            <w:top w:w="0" w:type="dxa"/>
            <w:left w:w="108" w:type="dxa"/>
            <w:bottom w:w="0" w:type="dxa"/>
            <w:right w:w="108" w:type="dxa"/>
          </w:tblCellMar>
        </w:tblPrEx>
        <w:trPr>
          <w:trHeight w:val="300"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质量指标</w:t>
            </w:r>
          </w:p>
        </w:tc>
        <w:tc>
          <w:tcPr>
            <w:tcW w:w="79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案件信息录入率</w:t>
            </w:r>
          </w:p>
        </w:tc>
        <w:tc>
          <w:tcPr>
            <w:tcW w:w="126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办案系统中录入案件信息数占全部案件信息数的比例</w:t>
            </w:r>
          </w:p>
        </w:tc>
        <w:tc>
          <w:tcPr>
            <w:tcW w:w="27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1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90</w:t>
            </w:r>
          </w:p>
        </w:tc>
        <w:tc>
          <w:tcPr>
            <w:tcW w:w="7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7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00"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时效指标</w:t>
            </w:r>
          </w:p>
        </w:tc>
        <w:tc>
          <w:tcPr>
            <w:tcW w:w="79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按时办结率</w:t>
            </w:r>
          </w:p>
        </w:tc>
        <w:tc>
          <w:tcPr>
            <w:tcW w:w="126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xml:space="preserve">督查督办工作按时办结的比重 </w:t>
            </w:r>
          </w:p>
        </w:tc>
        <w:tc>
          <w:tcPr>
            <w:tcW w:w="27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1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80</w:t>
            </w:r>
          </w:p>
        </w:tc>
        <w:tc>
          <w:tcPr>
            <w:tcW w:w="7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7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1"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成本指标</w:t>
            </w:r>
          </w:p>
        </w:tc>
        <w:tc>
          <w:tcPr>
            <w:tcW w:w="792"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资金执行率</w:t>
            </w:r>
          </w:p>
        </w:tc>
        <w:tc>
          <w:tcPr>
            <w:tcW w:w="1262"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资金执行率</w:t>
            </w:r>
          </w:p>
        </w:tc>
        <w:tc>
          <w:tcPr>
            <w:tcW w:w="270"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15" w:type="pct"/>
            <w:tcBorders>
              <w:top w:val="nil"/>
              <w:left w:val="nil"/>
              <w:bottom w:val="single" w:color="auto" w:sz="4" w:space="0"/>
              <w:right w:val="single" w:color="auto" w:sz="4" w:space="0"/>
            </w:tcBorders>
            <w:shd w:val="clear" w:color="auto" w:fill="auto"/>
            <w:noWrap/>
          </w:tcPr>
          <w:p>
            <w:pPr>
              <w:widowControl/>
              <w:spacing w:line="240" w:lineRule="auto"/>
              <w:jc w:val="right"/>
              <w:rPr>
                <w:rFonts w:cs="Calibri"/>
                <w:color w:val="000000"/>
                <w:kern w:val="0"/>
                <w:sz w:val="18"/>
                <w:szCs w:val="18"/>
              </w:rPr>
            </w:pPr>
            <w:r>
              <w:rPr>
                <w:rFonts w:cs="Calibri"/>
                <w:color w:val="000000"/>
                <w:kern w:val="0"/>
                <w:sz w:val="18"/>
                <w:szCs w:val="18"/>
              </w:rPr>
              <w:t>70</w:t>
            </w:r>
          </w:p>
        </w:tc>
        <w:tc>
          <w:tcPr>
            <w:tcW w:w="740"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76"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0"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trPr>
        <w:tc>
          <w:tcPr>
            <w:tcW w:w="429"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效益指标</w:t>
            </w:r>
          </w:p>
        </w:tc>
        <w:tc>
          <w:tcPr>
            <w:tcW w:w="53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经济效益指标</w:t>
            </w:r>
          </w:p>
        </w:tc>
        <w:tc>
          <w:tcPr>
            <w:tcW w:w="79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党风廉政效益指标：违纪犯罪率</w:t>
            </w:r>
          </w:p>
        </w:tc>
        <w:tc>
          <w:tcPr>
            <w:tcW w:w="126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发生严重违纪犯罪比例</w:t>
            </w:r>
          </w:p>
        </w:tc>
        <w:tc>
          <w:tcPr>
            <w:tcW w:w="27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1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10</w:t>
            </w:r>
          </w:p>
        </w:tc>
        <w:tc>
          <w:tcPr>
            <w:tcW w:w="7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7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社会效益指标</w:t>
            </w:r>
          </w:p>
        </w:tc>
        <w:tc>
          <w:tcPr>
            <w:tcW w:w="79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维护社会稳定</w:t>
            </w:r>
          </w:p>
        </w:tc>
        <w:tc>
          <w:tcPr>
            <w:tcW w:w="126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减少信访政治事件</w:t>
            </w:r>
          </w:p>
        </w:tc>
        <w:tc>
          <w:tcPr>
            <w:tcW w:w="27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1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5</w:t>
            </w:r>
          </w:p>
        </w:tc>
        <w:tc>
          <w:tcPr>
            <w:tcW w:w="7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7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987"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可持续影响指标</w:t>
            </w:r>
          </w:p>
        </w:tc>
        <w:tc>
          <w:tcPr>
            <w:tcW w:w="79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继续推动</w:t>
            </w:r>
          </w:p>
        </w:tc>
        <w:tc>
          <w:tcPr>
            <w:tcW w:w="126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进一步</w:t>
            </w:r>
          </w:p>
        </w:tc>
        <w:tc>
          <w:tcPr>
            <w:tcW w:w="27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1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7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持续推动政治环境进一步好转</w:t>
            </w:r>
          </w:p>
        </w:tc>
        <w:tc>
          <w:tcPr>
            <w:tcW w:w="37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政策文件</w:t>
            </w:r>
          </w:p>
        </w:tc>
      </w:tr>
      <w:tr>
        <w:tblPrEx>
          <w:tblCellMar>
            <w:top w:w="0" w:type="dxa"/>
            <w:left w:w="108" w:type="dxa"/>
            <w:bottom w:w="0" w:type="dxa"/>
            <w:right w:w="108" w:type="dxa"/>
          </w:tblCellMar>
        </w:tblPrEx>
        <w:trPr>
          <w:trHeight w:val="300" w:hRule="atLeast"/>
        </w:trPr>
        <w:tc>
          <w:tcPr>
            <w:tcW w:w="429"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满意度指标</w:t>
            </w:r>
          </w:p>
        </w:tc>
        <w:tc>
          <w:tcPr>
            <w:tcW w:w="53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服务对象满意度指标</w:t>
            </w:r>
          </w:p>
        </w:tc>
        <w:tc>
          <w:tcPr>
            <w:tcW w:w="79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投诉举报人满意度</w:t>
            </w:r>
          </w:p>
        </w:tc>
        <w:tc>
          <w:tcPr>
            <w:tcW w:w="126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举报人满意数占总举报人对比重</w:t>
            </w:r>
          </w:p>
        </w:tc>
        <w:tc>
          <w:tcPr>
            <w:tcW w:w="27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1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60</w:t>
            </w:r>
          </w:p>
        </w:tc>
        <w:tc>
          <w:tcPr>
            <w:tcW w:w="7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7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投诉举报人满意度</w:t>
            </w:r>
          </w:p>
        </w:tc>
      </w:tr>
    </w:tbl>
    <w:p>
      <w:pPr>
        <w:spacing w:line="14" w:lineRule="exact"/>
        <w:ind w:firstLine="480" w:firstLineChars="200"/>
        <w:jc w:val="center"/>
        <w:rPr>
          <w:rFonts w:ascii="Times New Roman" w:hAnsi="宋体"/>
        </w:rPr>
      </w:pPr>
    </w:p>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outlineLvl w:val="9"/>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0"/>
        <w:rPr>
          <w:rFonts w:ascii="黑体" w:hAnsi="黑体" w:eastAsia="黑体"/>
          <w:sz w:val="32"/>
          <w:szCs w:val="32"/>
        </w:rPr>
      </w:pPr>
      <w:r>
        <w:rPr>
          <w:rFonts w:hint="eastAsia" w:ascii="黑体" w:hAnsi="黑体" w:eastAsia="黑体"/>
          <w:sz w:val="32"/>
          <w:szCs w:val="32"/>
        </w:rPr>
        <w:t>六、政府采购预算情况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2022年我</w:t>
      </w:r>
      <w:r>
        <w:rPr>
          <w:rFonts w:hint="eastAsia" w:ascii="仿宋" w:hAnsi="仿宋" w:eastAsia="仿宋"/>
          <w:sz w:val="32"/>
          <w:szCs w:val="32"/>
          <w:lang w:val="en-US" w:eastAsia="zh-CN"/>
        </w:rPr>
        <w:t>单位</w:t>
      </w:r>
      <w:r>
        <w:rPr>
          <w:rFonts w:hint="eastAsia" w:ascii="仿宋" w:hAnsi="仿宋" w:eastAsia="仿宋"/>
          <w:sz w:val="32"/>
          <w:szCs w:val="32"/>
        </w:rPr>
        <w:t>没有安排政府采购项目</w:t>
      </w:r>
      <w:r>
        <w:rPr>
          <w:rFonts w:hint="eastAsia" w:ascii="仿宋" w:hAnsi="仿宋" w:eastAsia="仿宋"/>
          <w:sz w:val="32"/>
          <w:szCs w:val="32"/>
          <w:lang w:val="en-US" w:eastAsia="zh-CN"/>
        </w:rPr>
        <w:t>,空表列示</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sz w:val="32"/>
          <w:szCs w:val="32"/>
        </w:rPr>
      </w:pPr>
    </w:p>
    <w:p>
      <w:pPr>
        <w:spacing w:line="520" w:lineRule="exact"/>
        <w:ind w:firstLine="1285" w:firstLineChars="400"/>
        <w:jc w:val="center"/>
        <w:rPr>
          <w:rFonts w:ascii="仿宋" w:hAnsi="仿宋" w:eastAsia="仿宋"/>
          <w:b/>
          <w:sz w:val="32"/>
          <w:szCs w:val="32"/>
        </w:rPr>
      </w:pPr>
      <w:r>
        <w:rPr>
          <w:rFonts w:ascii="仿宋" w:hAnsi="仿宋" w:eastAsia="仿宋"/>
          <w:b/>
          <w:sz w:val="32"/>
          <w:szCs w:val="32"/>
        </w:rPr>
        <w:t>政府采购预算表</w:t>
      </w:r>
    </w:p>
    <w:p>
      <w:pPr>
        <w:spacing w:line="520" w:lineRule="exact"/>
        <w:ind w:firstLine="1200" w:firstLineChars="400"/>
        <w:jc w:val="right"/>
        <w:rPr>
          <w:rFonts w:ascii="仿宋" w:hAnsi="仿宋" w:eastAsia="仿宋"/>
          <w:sz w:val="30"/>
          <w:szCs w:val="30"/>
        </w:rPr>
      </w:pPr>
      <w:r>
        <w:rPr>
          <w:rFonts w:hint="eastAsia" w:ascii="仿宋" w:hAnsi="仿宋" w:eastAsia="仿宋"/>
          <w:sz w:val="30"/>
          <w:szCs w:val="30"/>
        </w:rPr>
        <w:t>单位：万元</w:t>
      </w:r>
    </w:p>
    <w:tbl>
      <w:tblPr>
        <w:tblStyle w:val="11"/>
        <w:tblW w:w="4999"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35"/>
        <w:gridCol w:w="1238"/>
        <w:gridCol w:w="1235"/>
        <w:gridCol w:w="1235"/>
        <w:gridCol w:w="865"/>
        <w:gridCol w:w="826"/>
        <w:gridCol w:w="958"/>
        <w:gridCol w:w="1217"/>
        <w:gridCol w:w="1475"/>
        <w:gridCol w:w="1265"/>
        <w:gridCol w:w="1331"/>
        <w:gridCol w:w="1061"/>
        <w:gridCol w:w="10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3" w:type="pct"/>
            <w:gridSpan w:val="2"/>
            <w:vAlign w:val="center"/>
          </w:tcPr>
          <w:p>
            <w:pPr>
              <w:spacing w:line="520" w:lineRule="exact"/>
              <w:jc w:val="center"/>
              <w:rPr>
                <w:rFonts w:ascii="仿宋" w:hAnsi="仿宋" w:eastAsia="仿宋"/>
                <w:sz w:val="32"/>
                <w:szCs w:val="32"/>
              </w:rPr>
            </w:pPr>
            <w:r>
              <w:rPr>
                <w:rFonts w:ascii="仿宋" w:hAnsi="仿宋" w:eastAsia="仿宋"/>
                <w:sz w:val="32"/>
                <w:szCs w:val="32"/>
              </w:rPr>
              <w:t>政府采购项目来源</w:t>
            </w:r>
          </w:p>
        </w:tc>
        <w:tc>
          <w:tcPr>
            <w:tcW w:w="411" w:type="pct"/>
            <w:vMerge w:val="restart"/>
            <w:vAlign w:val="center"/>
          </w:tcPr>
          <w:p>
            <w:pPr>
              <w:spacing w:line="520" w:lineRule="exact"/>
              <w:jc w:val="center"/>
              <w:rPr>
                <w:rFonts w:ascii="仿宋" w:hAnsi="仿宋" w:eastAsia="仿宋"/>
                <w:sz w:val="32"/>
                <w:szCs w:val="32"/>
              </w:rPr>
            </w:pPr>
            <w:r>
              <w:rPr>
                <w:rFonts w:ascii="仿宋" w:hAnsi="仿宋" w:eastAsia="仿宋"/>
                <w:sz w:val="32"/>
                <w:szCs w:val="32"/>
              </w:rPr>
              <w:t>采购物品名称</w:t>
            </w:r>
          </w:p>
        </w:tc>
        <w:tc>
          <w:tcPr>
            <w:tcW w:w="411" w:type="pct"/>
            <w:vMerge w:val="restart"/>
            <w:vAlign w:val="center"/>
          </w:tcPr>
          <w:p>
            <w:pPr>
              <w:spacing w:line="520" w:lineRule="exact"/>
              <w:jc w:val="center"/>
              <w:rPr>
                <w:rFonts w:ascii="仿宋" w:hAnsi="仿宋" w:eastAsia="仿宋"/>
                <w:sz w:val="32"/>
                <w:szCs w:val="32"/>
              </w:rPr>
            </w:pPr>
            <w:r>
              <w:rPr>
                <w:rFonts w:ascii="仿宋" w:hAnsi="仿宋" w:eastAsia="仿宋"/>
                <w:sz w:val="32"/>
                <w:szCs w:val="32"/>
              </w:rPr>
              <w:t>政府采购目录序号</w:t>
            </w:r>
          </w:p>
        </w:tc>
        <w:tc>
          <w:tcPr>
            <w:tcW w:w="288" w:type="pct"/>
            <w:vMerge w:val="restart"/>
            <w:vAlign w:val="center"/>
          </w:tcPr>
          <w:p>
            <w:pPr>
              <w:spacing w:line="520" w:lineRule="exact"/>
              <w:jc w:val="center"/>
              <w:rPr>
                <w:rFonts w:ascii="仿宋" w:hAnsi="仿宋" w:eastAsia="仿宋"/>
                <w:sz w:val="32"/>
                <w:szCs w:val="32"/>
              </w:rPr>
            </w:pPr>
            <w:r>
              <w:rPr>
                <w:rFonts w:ascii="仿宋" w:hAnsi="仿宋" w:eastAsia="仿宋"/>
                <w:sz w:val="32"/>
                <w:szCs w:val="32"/>
              </w:rPr>
              <w:t>计量单位</w:t>
            </w:r>
          </w:p>
        </w:tc>
        <w:tc>
          <w:tcPr>
            <w:tcW w:w="275" w:type="pct"/>
            <w:vMerge w:val="restart"/>
            <w:vAlign w:val="center"/>
          </w:tcPr>
          <w:p>
            <w:pPr>
              <w:spacing w:line="520" w:lineRule="exact"/>
              <w:jc w:val="center"/>
              <w:rPr>
                <w:rFonts w:ascii="仿宋" w:hAnsi="仿宋" w:eastAsia="仿宋"/>
                <w:sz w:val="32"/>
                <w:szCs w:val="32"/>
              </w:rPr>
            </w:pPr>
            <w:r>
              <w:rPr>
                <w:rFonts w:ascii="仿宋" w:hAnsi="仿宋" w:eastAsia="仿宋"/>
                <w:sz w:val="32"/>
                <w:szCs w:val="32"/>
              </w:rPr>
              <w:t>数量</w:t>
            </w:r>
          </w:p>
        </w:tc>
        <w:tc>
          <w:tcPr>
            <w:tcW w:w="319" w:type="pct"/>
            <w:vMerge w:val="restart"/>
            <w:vAlign w:val="center"/>
          </w:tcPr>
          <w:p>
            <w:pPr>
              <w:spacing w:line="520" w:lineRule="exact"/>
              <w:jc w:val="center"/>
              <w:rPr>
                <w:rFonts w:ascii="仿宋" w:hAnsi="仿宋" w:eastAsia="仿宋"/>
                <w:sz w:val="32"/>
                <w:szCs w:val="32"/>
              </w:rPr>
            </w:pPr>
            <w:r>
              <w:rPr>
                <w:rFonts w:ascii="仿宋" w:hAnsi="仿宋" w:eastAsia="仿宋"/>
                <w:sz w:val="32"/>
                <w:szCs w:val="32"/>
              </w:rPr>
              <w:t>单价</w:t>
            </w:r>
          </w:p>
        </w:tc>
        <w:tc>
          <w:tcPr>
            <w:tcW w:w="2469" w:type="pct"/>
            <w:gridSpan w:val="6"/>
            <w:vAlign w:val="center"/>
          </w:tcPr>
          <w:p>
            <w:pPr>
              <w:spacing w:line="520" w:lineRule="exact"/>
              <w:jc w:val="center"/>
              <w:rPr>
                <w:rFonts w:ascii="仿宋" w:hAnsi="仿宋" w:eastAsia="仿宋"/>
                <w:sz w:val="32"/>
                <w:szCs w:val="32"/>
              </w:rPr>
            </w:pPr>
            <w:r>
              <w:rPr>
                <w:rFonts w:ascii="仿宋" w:hAnsi="仿宋" w:eastAsia="仿宋"/>
                <w:sz w:val="32"/>
                <w:szCs w:val="32"/>
              </w:rPr>
              <w:t>政府采购金额（当年</w:t>
            </w:r>
            <w:r>
              <w:rPr>
                <w:rFonts w:hint="eastAsia" w:ascii="仿宋" w:hAnsi="仿宋" w:eastAsia="仿宋"/>
                <w:sz w:val="32"/>
                <w:szCs w:val="32"/>
                <w:lang w:eastAsia="zh-CN"/>
              </w:rPr>
              <w:t>单位预算</w:t>
            </w:r>
            <w:r>
              <w:rPr>
                <w:rFonts w:ascii="仿宋" w:hAnsi="仿宋" w:eastAsia="仿宋"/>
                <w:sz w:val="32"/>
                <w:szCs w:val="32"/>
              </w:rPr>
              <w:t>安排资金）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11" w:type="pct"/>
            <w:vAlign w:val="center"/>
          </w:tcPr>
          <w:p>
            <w:pPr>
              <w:spacing w:line="520" w:lineRule="exact"/>
              <w:jc w:val="center"/>
              <w:rPr>
                <w:rFonts w:ascii="仿宋" w:hAnsi="仿宋" w:eastAsia="仿宋"/>
                <w:sz w:val="32"/>
                <w:szCs w:val="32"/>
              </w:rPr>
            </w:pPr>
            <w:r>
              <w:rPr>
                <w:rFonts w:ascii="仿宋" w:hAnsi="仿宋" w:eastAsia="仿宋"/>
                <w:sz w:val="32"/>
                <w:szCs w:val="32"/>
              </w:rPr>
              <w:t>名称</w:t>
            </w:r>
          </w:p>
        </w:tc>
        <w:tc>
          <w:tcPr>
            <w:tcW w:w="411" w:type="pct"/>
            <w:vAlign w:val="center"/>
          </w:tcPr>
          <w:p>
            <w:pPr>
              <w:spacing w:line="520" w:lineRule="exact"/>
              <w:jc w:val="center"/>
              <w:rPr>
                <w:rFonts w:ascii="仿宋" w:hAnsi="仿宋" w:eastAsia="仿宋"/>
                <w:sz w:val="32"/>
                <w:szCs w:val="32"/>
              </w:rPr>
            </w:pPr>
            <w:r>
              <w:rPr>
                <w:rFonts w:ascii="仿宋" w:hAnsi="仿宋" w:eastAsia="仿宋"/>
                <w:sz w:val="32"/>
                <w:szCs w:val="32"/>
              </w:rPr>
              <w:t>预算资金</w:t>
            </w:r>
          </w:p>
        </w:tc>
        <w:tc>
          <w:tcPr>
            <w:tcW w:w="411" w:type="pct"/>
            <w:vMerge w:val="continue"/>
            <w:vAlign w:val="center"/>
          </w:tcPr>
          <w:p>
            <w:pPr>
              <w:spacing w:line="520" w:lineRule="exact"/>
              <w:jc w:val="center"/>
              <w:rPr>
                <w:rFonts w:ascii="仿宋" w:hAnsi="仿宋" w:eastAsia="仿宋"/>
                <w:sz w:val="32"/>
                <w:szCs w:val="32"/>
              </w:rPr>
            </w:pPr>
          </w:p>
        </w:tc>
        <w:tc>
          <w:tcPr>
            <w:tcW w:w="411" w:type="pct"/>
            <w:vMerge w:val="continue"/>
            <w:vAlign w:val="center"/>
          </w:tcPr>
          <w:p>
            <w:pPr>
              <w:spacing w:line="520" w:lineRule="exact"/>
              <w:jc w:val="center"/>
              <w:rPr>
                <w:rFonts w:ascii="仿宋" w:hAnsi="仿宋" w:eastAsia="仿宋"/>
                <w:sz w:val="32"/>
                <w:szCs w:val="32"/>
              </w:rPr>
            </w:pPr>
          </w:p>
        </w:tc>
        <w:tc>
          <w:tcPr>
            <w:tcW w:w="288" w:type="pct"/>
            <w:vMerge w:val="continue"/>
            <w:vAlign w:val="center"/>
          </w:tcPr>
          <w:p>
            <w:pPr>
              <w:spacing w:line="520" w:lineRule="exact"/>
              <w:jc w:val="center"/>
              <w:rPr>
                <w:rFonts w:ascii="仿宋" w:hAnsi="仿宋" w:eastAsia="仿宋"/>
                <w:sz w:val="32"/>
                <w:szCs w:val="32"/>
              </w:rPr>
            </w:pPr>
          </w:p>
        </w:tc>
        <w:tc>
          <w:tcPr>
            <w:tcW w:w="275" w:type="pct"/>
            <w:vMerge w:val="continue"/>
            <w:vAlign w:val="center"/>
          </w:tcPr>
          <w:p>
            <w:pPr>
              <w:spacing w:line="520" w:lineRule="exact"/>
              <w:jc w:val="center"/>
              <w:rPr>
                <w:rFonts w:ascii="仿宋" w:hAnsi="仿宋" w:eastAsia="仿宋"/>
                <w:sz w:val="32"/>
                <w:szCs w:val="32"/>
              </w:rPr>
            </w:pPr>
          </w:p>
        </w:tc>
        <w:tc>
          <w:tcPr>
            <w:tcW w:w="319" w:type="pct"/>
            <w:vMerge w:val="continue"/>
            <w:vAlign w:val="center"/>
          </w:tcPr>
          <w:p>
            <w:pPr>
              <w:spacing w:line="520" w:lineRule="exact"/>
              <w:jc w:val="center"/>
              <w:rPr>
                <w:rFonts w:ascii="仿宋" w:hAnsi="仿宋" w:eastAsia="仿宋"/>
                <w:sz w:val="32"/>
                <w:szCs w:val="32"/>
              </w:rPr>
            </w:pPr>
          </w:p>
        </w:tc>
        <w:tc>
          <w:tcPr>
            <w:tcW w:w="405" w:type="pct"/>
            <w:vAlign w:val="center"/>
          </w:tcPr>
          <w:p>
            <w:pPr>
              <w:spacing w:line="520" w:lineRule="exact"/>
              <w:jc w:val="center"/>
              <w:rPr>
                <w:rFonts w:ascii="仿宋" w:hAnsi="仿宋" w:eastAsia="仿宋"/>
                <w:sz w:val="32"/>
                <w:szCs w:val="32"/>
              </w:rPr>
            </w:pPr>
            <w:r>
              <w:rPr>
                <w:rFonts w:ascii="仿宋" w:hAnsi="仿宋" w:eastAsia="仿宋"/>
                <w:sz w:val="32"/>
                <w:szCs w:val="32"/>
              </w:rPr>
              <w:t>合计</w:t>
            </w:r>
          </w:p>
        </w:tc>
        <w:tc>
          <w:tcPr>
            <w:tcW w:w="491" w:type="pct"/>
            <w:vAlign w:val="center"/>
          </w:tcPr>
          <w:p>
            <w:pPr>
              <w:spacing w:line="520" w:lineRule="exact"/>
              <w:jc w:val="center"/>
              <w:rPr>
                <w:rFonts w:ascii="仿宋" w:hAnsi="仿宋" w:eastAsia="仿宋"/>
                <w:sz w:val="32"/>
                <w:szCs w:val="32"/>
              </w:rPr>
            </w:pPr>
            <w:r>
              <w:rPr>
                <w:rFonts w:ascii="仿宋" w:hAnsi="仿宋" w:eastAsia="仿宋"/>
                <w:sz w:val="32"/>
                <w:szCs w:val="32"/>
              </w:rPr>
              <w:t>一般公共预算拨款</w:t>
            </w:r>
          </w:p>
        </w:tc>
        <w:tc>
          <w:tcPr>
            <w:tcW w:w="421" w:type="pct"/>
            <w:vAlign w:val="center"/>
          </w:tcPr>
          <w:p>
            <w:pPr>
              <w:spacing w:line="520" w:lineRule="exact"/>
              <w:jc w:val="center"/>
              <w:rPr>
                <w:rFonts w:ascii="仿宋" w:hAnsi="仿宋" w:eastAsia="仿宋"/>
                <w:sz w:val="32"/>
                <w:szCs w:val="32"/>
              </w:rPr>
            </w:pPr>
            <w:r>
              <w:rPr>
                <w:rFonts w:ascii="仿宋" w:hAnsi="仿宋" w:eastAsia="仿宋"/>
                <w:sz w:val="32"/>
                <w:szCs w:val="32"/>
              </w:rPr>
              <w:t>基金预算拨款</w:t>
            </w:r>
          </w:p>
        </w:tc>
        <w:tc>
          <w:tcPr>
            <w:tcW w:w="443" w:type="pct"/>
            <w:vAlign w:val="center"/>
          </w:tcPr>
          <w:p>
            <w:pPr>
              <w:spacing w:line="520" w:lineRule="exact"/>
              <w:jc w:val="center"/>
              <w:rPr>
                <w:rFonts w:ascii="仿宋" w:hAnsi="仿宋" w:eastAsia="仿宋"/>
                <w:sz w:val="32"/>
                <w:szCs w:val="32"/>
              </w:rPr>
            </w:pPr>
            <w:r>
              <w:rPr>
                <w:rFonts w:ascii="仿宋" w:hAnsi="仿宋" w:eastAsia="仿宋"/>
                <w:sz w:val="32"/>
                <w:szCs w:val="32"/>
              </w:rPr>
              <w:t>国有资本经营预算拨款</w:t>
            </w:r>
          </w:p>
        </w:tc>
        <w:tc>
          <w:tcPr>
            <w:tcW w:w="353" w:type="pct"/>
            <w:vAlign w:val="center"/>
          </w:tcPr>
          <w:p>
            <w:pPr>
              <w:spacing w:line="520" w:lineRule="exact"/>
              <w:jc w:val="center"/>
              <w:rPr>
                <w:rFonts w:ascii="仿宋" w:hAnsi="仿宋" w:eastAsia="仿宋"/>
                <w:sz w:val="32"/>
                <w:szCs w:val="32"/>
              </w:rPr>
            </w:pPr>
            <w:r>
              <w:rPr>
                <w:rFonts w:ascii="仿宋" w:hAnsi="仿宋" w:eastAsia="仿宋"/>
                <w:sz w:val="32"/>
                <w:szCs w:val="32"/>
              </w:rPr>
              <w:t>财政专户拨款</w:t>
            </w:r>
          </w:p>
        </w:tc>
        <w:tc>
          <w:tcPr>
            <w:tcW w:w="353" w:type="pct"/>
            <w:vAlign w:val="center"/>
          </w:tcPr>
          <w:p>
            <w:pPr>
              <w:spacing w:line="520" w:lineRule="exact"/>
              <w:jc w:val="center"/>
              <w:rPr>
                <w:rFonts w:ascii="仿宋" w:hAnsi="仿宋" w:eastAsia="仿宋"/>
                <w:sz w:val="32"/>
                <w:szCs w:val="32"/>
              </w:rPr>
            </w:pPr>
            <w:r>
              <w:rPr>
                <w:rFonts w:ascii="仿宋" w:hAnsi="仿宋" w:eastAsia="仿宋"/>
                <w:sz w:val="32"/>
                <w:szCs w:val="32"/>
              </w:rPr>
              <w:t>其他来源收入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11" w:type="pct"/>
            <w:vAlign w:val="center"/>
          </w:tcPr>
          <w:p>
            <w:pPr>
              <w:spacing w:line="520" w:lineRule="exact"/>
              <w:jc w:val="center"/>
              <w:rPr>
                <w:rFonts w:ascii="仿宋" w:hAnsi="仿宋" w:eastAsia="仿宋"/>
                <w:sz w:val="32"/>
                <w:szCs w:val="32"/>
              </w:rPr>
            </w:pPr>
          </w:p>
        </w:tc>
        <w:tc>
          <w:tcPr>
            <w:tcW w:w="411" w:type="pct"/>
            <w:vAlign w:val="center"/>
          </w:tcPr>
          <w:p>
            <w:pPr>
              <w:spacing w:line="520" w:lineRule="exact"/>
              <w:jc w:val="center"/>
              <w:rPr>
                <w:rFonts w:ascii="仿宋" w:hAnsi="仿宋" w:eastAsia="仿宋"/>
                <w:sz w:val="32"/>
                <w:szCs w:val="32"/>
              </w:rPr>
            </w:pPr>
          </w:p>
        </w:tc>
        <w:tc>
          <w:tcPr>
            <w:tcW w:w="411" w:type="pct"/>
            <w:vAlign w:val="center"/>
          </w:tcPr>
          <w:p>
            <w:pPr>
              <w:spacing w:line="520" w:lineRule="exact"/>
              <w:jc w:val="center"/>
              <w:rPr>
                <w:rFonts w:ascii="仿宋" w:hAnsi="仿宋" w:eastAsia="仿宋"/>
                <w:sz w:val="32"/>
                <w:szCs w:val="32"/>
              </w:rPr>
            </w:pPr>
          </w:p>
        </w:tc>
        <w:tc>
          <w:tcPr>
            <w:tcW w:w="411" w:type="pct"/>
            <w:vAlign w:val="center"/>
          </w:tcPr>
          <w:p>
            <w:pPr>
              <w:spacing w:line="520" w:lineRule="exact"/>
              <w:jc w:val="center"/>
              <w:rPr>
                <w:rFonts w:ascii="仿宋" w:hAnsi="仿宋" w:eastAsia="仿宋"/>
                <w:sz w:val="32"/>
                <w:szCs w:val="32"/>
              </w:rPr>
            </w:pPr>
          </w:p>
        </w:tc>
        <w:tc>
          <w:tcPr>
            <w:tcW w:w="288" w:type="pct"/>
            <w:vAlign w:val="center"/>
          </w:tcPr>
          <w:p>
            <w:pPr>
              <w:spacing w:line="520" w:lineRule="exact"/>
              <w:jc w:val="center"/>
              <w:rPr>
                <w:rFonts w:ascii="仿宋" w:hAnsi="仿宋" w:eastAsia="仿宋"/>
                <w:sz w:val="32"/>
                <w:szCs w:val="32"/>
              </w:rPr>
            </w:pPr>
          </w:p>
        </w:tc>
        <w:tc>
          <w:tcPr>
            <w:tcW w:w="275" w:type="pct"/>
            <w:vAlign w:val="center"/>
          </w:tcPr>
          <w:p>
            <w:pPr>
              <w:spacing w:line="520" w:lineRule="exact"/>
              <w:jc w:val="center"/>
              <w:rPr>
                <w:rFonts w:ascii="仿宋" w:hAnsi="仿宋" w:eastAsia="仿宋"/>
                <w:sz w:val="32"/>
                <w:szCs w:val="32"/>
              </w:rPr>
            </w:pPr>
          </w:p>
        </w:tc>
        <w:tc>
          <w:tcPr>
            <w:tcW w:w="319" w:type="pct"/>
            <w:vAlign w:val="center"/>
          </w:tcPr>
          <w:p>
            <w:pPr>
              <w:spacing w:line="520" w:lineRule="exact"/>
              <w:jc w:val="center"/>
              <w:rPr>
                <w:rFonts w:ascii="仿宋" w:hAnsi="仿宋" w:eastAsia="仿宋"/>
                <w:sz w:val="32"/>
                <w:szCs w:val="32"/>
              </w:rPr>
            </w:pPr>
          </w:p>
        </w:tc>
        <w:tc>
          <w:tcPr>
            <w:tcW w:w="405" w:type="pct"/>
            <w:vAlign w:val="center"/>
          </w:tcPr>
          <w:p>
            <w:pPr>
              <w:spacing w:line="520" w:lineRule="exact"/>
              <w:jc w:val="center"/>
              <w:rPr>
                <w:rFonts w:ascii="仿宋" w:hAnsi="仿宋" w:eastAsia="仿宋"/>
                <w:sz w:val="32"/>
                <w:szCs w:val="32"/>
              </w:rPr>
            </w:pPr>
          </w:p>
        </w:tc>
        <w:tc>
          <w:tcPr>
            <w:tcW w:w="491" w:type="pct"/>
            <w:vAlign w:val="center"/>
          </w:tcPr>
          <w:p>
            <w:pPr>
              <w:spacing w:line="520" w:lineRule="exact"/>
              <w:jc w:val="center"/>
              <w:rPr>
                <w:rFonts w:ascii="仿宋" w:hAnsi="仿宋" w:eastAsia="仿宋"/>
                <w:sz w:val="32"/>
                <w:szCs w:val="32"/>
              </w:rPr>
            </w:pPr>
          </w:p>
        </w:tc>
        <w:tc>
          <w:tcPr>
            <w:tcW w:w="421" w:type="pct"/>
            <w:vAlign w:val="center"/>
          </w:tcPr>
          <w:p>
            <w:pPr>
              <w:spacing w:line="520" w:lineRule="exact"/>
              <w:jc w:val="center"/>
              <w:rPr>
                <w:rFonts w:ascii="仿宋" w:hAnsi="仿宋" w:eastAsia="仿宋"/>
                <w:sz w:val="32"/>
                <w:szCs w:val="32"/>
              </w:rPr>
            </w:pPr>
          </w:p>
        </w:tc>
        <w:tc>
          <w:tcPr>
            <w:tcW w:w="443" w:type="pct"/>
            <w:vAlign w:val="center"/>
          </w:tcPr>
          <w:p>
            <w:pPr>
              <w:spacing w:line="520" w:lineRule="exact"/>
              <w:jc w:val="center"/>
              <w:rPr>
                <w:rFonts w:ascii="仿宋" w:hAnsi="仿宋" w:eastAsia="仿宋"/>
                <w:sz w:val="32"/>
                <w:szCs w:val="32"/>
              </w:rPr>
            </w:pPr>
          </w:p>
        </w:tc>
        <w:tc>
          <w:tcPr>
            <w:tcW w:w="353" w:type="pct"/>
            <w:vAlign w:val="center"/>
          </w:tcPr>
          <w:p>
            <w:pPr>
              <w:spacing w:line="520" w:lineRule="exact"/>
              <w:jc w:val="center"/>
              <w:rPr>
                <w:rFonts w:ascii="仿宋" w:hAnsi="仿宋" w:eastAsia="仿宋"/>
                <w:sz w:val="32"/>
                <w:szCs w:val="32"/>
              </w:rPr>
            </w:pPr>
          </w:p>
        </w:tc>
        <w:tc>
          <w:tcPr>
            <w:tcW w:w="353" w:type="pct"/>
            <w:vAlign w:val="center"/>
          </w:tcPr>
          <w:p>
            <w:pPr>
              <w:spacing w:line="520" w:lineRule="exact"/>
              <w:jc w:val="center"/>
              <w:rPr>
                <w:rFonts w:ascii="仿宋" w:hAnsi="仿宋" w:eastAsia="仿宋"/>
                <w:sz w:val="32"/>
                <w:szCs w:val="32"/>
              </w:rPr>
            </w:pPr>
          </w:p>
        </w:tc>
      </w:tr>
    </w:tbl>
    <w:p>
      <w:pPr>
        <w:spacing w:line="520" w:lineRule="exact"/>
        <w:ind w:firstLine="480" w:firstLineChars="150"/>
        <w:rPr>
          <w:rFonts w:hint="eastAsia" w:ascii="黑体" w:hAnsi="黑体" w:eastAsia="黑体"/>
          <w:sz w:val="32"/>
          <w:szCs w:val="32"/>
        </w:rPr>
      </w:pPr>
    </w:p>
    <w:p>
      <w:pPr>
        <w:spacing w:line="520" w:lineRule="exact"/>
        <w:ind w:firstLine="480" w:firstLineChars="150"/>
        <w:rPr>
          <w:rFonts w:hint="eastAsia" w:ascii="黑体" w:hAnsi="黑体" w:eastAsia="黑体"/>
          <w:sz w:val="32"/>
          <w:szCs w:val="32"/>
        </w:rPr>
      </w:pPr>
    </w:p>
    <w:p>
      <w:pPr>
        <w:spacing w:line="520" w:lineRule="exact"/>
        <w:ind w:firstLine="480" w:firstLineChars="150"/>
        <w:rPr>
          <w:rFonts w:hint="eastAsia" w:ascii="黑体" w:hAnsi="黑体" w:eastAsia="黑体"/>
          <w:sz w:val="32"/>
          <w:szCs w:val="32"/>
        </w:rPr>
      </w:pPr>
    </w:p>
    <w:p>
      <w:pPr>
        <w:spacing w:line="520" w:lineRule="exact"/>
        <w:ind w:firstLine="480" w:firstLineChars="150"/>
        <w:rPr>
          <w:rFonts w:hint="eastAsia" w:ascii="黑体" w:hAnsi="黑体" w:eastAsia="黑体"/>
          <w:sz w:val="32"/>
          <w:szCs w:val="32"/>
        </w:rPr>
      </w:pPr>
    </w:p>
    <w:p>
      <w:pPr>
        <w:spacing w:line="520" w:lineRule="exact"/>
        <w:ind w:firstLine="480" w:firstLineChars="150"/>
        <w:rPr>
          <w:rFonts w:hint="eastAsia" w:ascii="黑体" w:hAnsi="黑体" w:eastAsia="黑体"/>
          <w:sz w:val="32"/>
          <w:szCs w:val="32"/>
        </w:rPr>
      </w:pPr>
    </w:p>
    <w:p>
      <w:pPr>
        <w:spacing w:line="520" w:lineRule="exact"/>
        <w:ind w:firstLine="480" w:firstLineChars="150"/>
        <w:outlineLvl w:val="0"/>
        <w:rPr>
          <w:rFonts w:ascii="黑体" w:hAnsi="黑体" w:eastAsia="黑体"/>
          <w:sz w:val="32"/>
          <w:szCs w:val="32"/>
        </w:rPr>
      </w:pPr>
      <w:r>
        <w:rPr>
          <w:rFonts w:hint="eastAsia" w:ascii="黑体" w:hAnsi="黑体" w:eastAsia="黑体"/>
          <w:sz w:val="32"/>
          <w:szCs w:val="32"/>
        </w:rPr>
        <w:t>七、国有资产信息情况</w:t>
      </w:r>
    </w:p>
    <w:p>
      <w:pPr>
        <w:spacing w:line="520" w:lineRule="exact"/>
        <w:ind w:firstLine="1280" w:firstLineChars="400"/>
        <w:rPr>
          <w:rFonts w:hint="eastAsia" w:ascii="仿宋" w:hAnsi="仿宋" w:eastAsia="仿宋"/>
          <w:sz w:val="32"/>
          <w:szCs w:val="32"/>
        </w:rPr>
      </w:pPr>
      <w:r>
        <w:rPr>
          <w:rFonts w:ascii="仿宋" w:hAnsi="仿宋" w:eastAsia="仿宋"/>
          <w:sz w:val="32"/>
          <w:szCs w:val="32"/>
        </w:rPr>
        <w:t>我单位</w:t>
      </w:r>
      <w:r>
        <w:rPr>
          <w:rFonts w:hint="eastAsia" w:ascii="仿宋" w:hAnsi="仿宋" w:eastAsia="仿宋"/>
          <w:sz w:val="32"/>
          <w:szCs w:val="32"/>
        </w:rPr>
        <w:t>2021年末固定资产总额为706.27万元</w:t>
      </w:r>
      <w:r>
        <w:rPr>
          <w:rFonts w:hint="eastAsia" w:ascii="仿宋" w:hAnsi="仿宋" w:eastAsia="仿宋"/>
          <w:sz w:val="32"/>
          <w:szCs w:val="32"/>
          <w:lang w:eastAsia="zh-CN"/>
        </w:rPr>
        <w:t>，</w:t>
      </w:r>
      <w:r>
        <w:rPr>
          <w:rFonts w:hint="eastAsia" w:ascii="仿宋" w:hAnsi="仿宋" w:eastAsia="仿宋"/>
          <w:sz w:val="32"/>
          <w:szCs w:val="32"/>
        </w:rPr>
        <w:t>2022年我</w:t>
      </w:r>
      <w:r>
        <w:rPr>
          <w:rFonts w:hint="eastAsia" w:ascii="仿宋" w:hAnsi="仿宋" w:eastAsia="仿宋"/>
          <w:sz w:val="32"/>
          <w:szCs w:val="32"/>
          <w:lang w:val="en-US" w:eastAsia="zh-CN"/>
        </w:rPr>
        <w:t>单位</w:t>
      </w:r>
      <w:r>
        <w:rPr>
          <w:rFonts w:hint="eastAsia" w:ascii="仿宋" w:hAnsi="仿宋" w:eastAsia="仿宋"/>
          <w:sz w:val="32"/>
          <w:szCs w:val="32"/>
        </w:rPr>
        <w:t>没有</w:t>
      </w:r>
      <w:r>
        <w:rPr>
          <w:rFonts w:hint="eastAsia" w:ascii="仿宋" w:hAnsi="仿宋" w:eastAsia="仿宋"/>
          <w:sz w:val="32"/>
          <w:szCs w:val="32"/>
          <w:lang w:eastAsia="zh-CN"/>
        </w:rPr>
        <w:t>购置固定资产情况</w:t>
      </w:r>
      <w:r>
        <w:rPr>
          <w:rFonts w:hint="eastAsia" w:ascii="仿宋" w:hAnsi="仿宋" w:eastAsia="仿宋"/>
          <w:sz w:val="32"/>
          <w:szCs w:val="32"/>
        </w:rPr>
        <w:t>。</w:t>
      </w:r>
    </w:p>
    <w:p>
      <w:pPr>
        <w:spacing w:line="520" w:lineRule="exact"/>
        <w:ind w:firstLine="1280" w:firstLineChars="400"/>
        <w:rPr>
          <w:rFonts w:hint="eastAsia" w:ascii="仿宋" w:hAnsi="仿宋" w:eastAsia="仿宋"/>
          <w:sz w:val="32"/>
          <w:szCs w:val="32"/>
        </w:rPr>
      </w:pPr>
    </w:p>
    <w:p>
      <w:pPr>
        <w:spacing w:line="520" w:lineRule="exact"/>
        <w:ind w:firstLine="1285" w:firstLineChars="400"/>
        <w:jc w:val="center"/>
        <w:rPr>
          <w:rFonts w:hint="eastAsia" w:ascii="仿宋" w:hAnsi="仿宋" w:eastAsia="仿宋"/>
          <w:sz w:val="32"/>
          <w:szCs w:val="32"/>
          <w:lang w:val="en-US" w:eastAsia="zh-CN"/>
        </w:rPr>
      </w:pPr>
      <w:r>
        <w:rPr>
          <w:rFonts w:hint="eastAsia" w:ascii="黑体" w:hAnsi="黑体" w:eastAsia="黑体" w:cs="黑体"/>
          <w:b/>
          <w:bCs/>
          <w:sz w:val="32"/>
          <w:szCs w:val="32"/>
          <w:lang w:val="en-US" w:eastAsia="zh-CN"/>
        </w:rPr>
        <w:t>单位固定资产占用情况表</w:t>
      </w:r>
    </w:p>
    <w:p>
      <w:pPr>
        <w:spacing w:line="520" w:lineRule="exact"/>
        <w:ind w:firstLine="1280" w:firstLineChars="400"/>
        <w:jc w:val="center"/>
        <w:rPr>
          <w:rFonts w:hint="default" w:ascii="仿宋" w:hAnsi="仿宋" w:eastAsia="仿宋"/>
          <w:sz w:val="32"/>
          <w:szCs w:val="32"/>
          <w:lang w:val="en-US" w:eastAsia="zh-CN"/>
        </w:rPr>
      </w:pPr>
      <w:r>
        <w:rPr>
          <w:rFonts w:hint="eastAsia" w:ascii="仿宋" w:hAnsi="仿宋" w:eastAsia="仿宋"/>
          <w:sz w:val="32"/>
          <w:szCs w:val="32"/>
          <w:lang w:val="en-US" w:eastAsia="zh-CN"/>
        </w:rPr>
        <w:t>截止时间：2021年12月31日</w:t>
      </w:r>
    </w:p>
    <w:tbl>
      <w:tblPr>
        <w:tblStyle w:val="11"/>
        <w:tblW w:w="4999"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003"/>
        <w:gridCol w:w="5004"/>
        <w:gridCol w:w="500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spacing w:line="520" w:lineRule="exact"/>
              <w:jc w:val="center"/>
              <w:rPr>
                <w:rFonts w:ascii="仿宋" w:hAnsi="仿宋" w:eastAsia="仿宋"/>
                <w:sz w:val="32"/>
                <w:szCs w:val="32"/>
              </w:rPr>
            </w:pPr>
            <w:r>
              <w:rPr>
                <w:rFonts w:ascii="仿宋" w:hAnsi="仿宋" w:eastAsia="仿宋"/>
                <w:sz w:val="32"/>
                <w:szCs w:val="32"/>
              </w:rPr>
              <w:t>项目</w:t>
            </w:r>
          </w:p>
        </w:tc>
        <w:tc>
          <w:tcPr>
            <w:tcW w:w="1666" w:type="pct"/>
            <w:vAlign w:val="center"/>
          </w:tcPr>
          <w:p>
            <w:pPr>
              <w:spacing w:line="520" w:lineRule="exact"/>
              <w:jc w:val="center"/>
              <w:rPr>
                <w:rFonts w:ascii="仿宋" w:hAnsi="仿宋" w:eastAsia="仿宋"/>
                <w:sz w:val="32"/>
                <w:szCs w:val="32"/>
              </w:rPr>
            </w:pPr>
            <w:r>
              <w:rPr>
                <w:rFonts w:ascii="仿宋" w:hAnsi="仿宋" w:eastAsia="仿宋"/>
                <w:sz w:val="32"/>
                <w:szCs w:val="32"/>
              </w:rPr>
              <w:t>数量</w:t>
            </w:r>
          </w:p>
        </w:tc>
        <w:tc>
          <w:tcPr>
            <w:tcW w:w="1666" w:type="pct"/>
            <w:vAlign w:val="center"/>
          </w:tcPr>
          <w:p>
            <w:pPr>
              <w:spacing w:line="520" w:lineRule="exact"/>
              <w:jc w:val="center"/>
              <w:rPr>
                <w:rFonts w:ascii="仿宋" w:hAnsi="仿宋" w:eastAsia="仿宋"/>
                <w:sz w:val="32"/>
                <w:szCs w:val="32"/>
              </w:rPr>
            </w:pPr>
            <w:r>
              <w:rPr>
                <w:rFonts w:ascii="仿宋" w:hAnsi="仿宋" w:eastAsia="仿宋"/>
                <w:sz w:val="32"/>
                <w:szCs w:val="32"/>
              </w:rPr>
              <w:t>价值（万元）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40"/>
              <w:kinsoku w:val="0"/>
              <w:overflowPunct w:val="0"/>
              <w:spacing w:before="106"/>
              <w:ind w:left="103"/>
              <w:jc w:val="center"/>
            </w:pPr>
            <w:r>
              <w:rPr>
                <w:rFonts w:hint="eastAsia" w:ascii="宋体" w:eastAsia="宋体" w:cs="宋体"/>
                <w:b/>
                <w:bCs/>
                <w:spacing w:val="2"/>
                <w:sz w:val="32"/>
                <w:szCs w:val="32"/>
              </w:rPr>
              <w:t>固定资产总额</w:t>
            </w:r>
          </w:p>
        </w:tc>
        <w:tc>
          <w:tcPr>
            <w:tcW w:w="1666" w:type="pct"/>
            <w:vAlign w:val="center"/>
          </w:tcPr>
          <w:p>
            <w:pPr>
              <w:spacing w:line="520" w:lineRule="exact"/>
              <w:jc w:val="center"/>
              <w:rPr>
                <w:rFonts w:ascii="仿宋" w:hAnsi="仿宋" w:eastAsia="仿宋"/>
                <w:sz w:val="32"/>
                <w:szCs w:val="32"/>
              </w:rPr>
            </w:pPr>
            <w:r>
              <w:rPr>
                <w:rFonts w:ascii="仿宋" w:hAnsi="仿宋" w:eastAsia="仿宋"/>
                <w:sz w:val="32"/>
                <w:szCs w:val="32"/>
              </w:rPr>
              <w:t>--</w:t>
            </w:r>
          </w:p>
        </w:tc>
        <w:tc>
          <w:tcPr>
            <w:tcW w:w="1666"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706.27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40"/>
              <w:kinsoku w:val="0"/>
              <w:overflowPunct w:val="0"/>
              <w:spacing w:before="108"/>
              <w:ind w:left="103"/>
              <w:jc w:val="center"/>
            </w:pPr>
            <w:r>
              <w:rPr>
                <w:rFonts w:ascii="宋体" w:eastAsia="宋体" w:cs="宋体"/>
                <w:sz w:val="32"/>
                <w:szCs w:val="32"/>
              </w:rPr>
              <w:t>1</w:t>
            </w:r>
            <w:r>
              <w:rPr>
                <w:rFonts w:hint="eastAsia" w:ascii="宋体" w:eastAsia="宋体" w:cs="宋体"/>
                <w:sz w:val="32"/>
                <w:szCs w:val="32"/>
              </w:rPr>
              <w:t>、房屋（平方米）</w:t>
            </w:r>
          </w:p>
        </w:tc>
        <w:tc>
          <w:tcPr>
            <w:tcW w:w="1666"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0</w:t>
            </w:r>
          </w:p>
        </w:tc>
        <w:tc>
          <w:tcPr>
            <w:tcW w:w="1666"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40"/>
              <w:kinsoku w:val="0"/>
              <w:overflowPunct w:val="0"/>
              <w:spacing w:before="106"/>
              <w:ind w:left="103"/>
              <w:jc w:val="center"/>
            </w:pPr>
            <w:r>
              <w:rPr>
                <w:rFonts w:ascii="宋体" w:eastAsia="宋体" w:cs="宋体"/>
                <w:sz w:val="32"/>
                <w:szCs w:val="32"/>
              </w:rPr>
              <w:t>2</w:t>
            </w:r>
            <w:r>
              <w:rPr>
                <w:rFonts w:hint="eastAsia" w:ascii="宋体" w:eastAsia="宋体" w:cs="宋体"/>
                <w:sz w:val="32"/>
                <w:szCs w:val="32"/>
              </w:rPr>
              <w:t>、车辆（台、辆）</w:t>
            </w:r>
          </w:p>
        </w:tc>
        <w:tc>
          <w:tcPr>
            <w:tcW w:w="1666"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14</w:t>
            </w:r>
          </w:p>
        </w:tc>
        <w:tc>
          <w:tcPr>
            <w:tcW w:w="1666"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175.78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40"/>
              <w:kinsoku w:val="0"/>
              <w:overflowPunct w:val="0"/>
              <w:spacing w:before="106"/>
              <w:ind w:left="103"/>
              <w:jc w:val="center"/>
            </w:pPr>
            <w:r>
              <w:rPr>
                <w:rFonts w:ascii="宋体" w:eastAsia="宋体" w:cs="宋体"/>
                <w:sz w:val="32"/>
                <w:szCs w:val="32"/>
              </w:rPr>
              <w:t>3</w:t>
            </w:r>
            <w:r>
              <w:rPr>
                <w:rFonts w:hint="eastAsia" w:ascii="宋体" w:eastAsia="宋体" w:cs="宋体"/>
                <w:sz w:val="32"/>
                <w:szCs w:val="32"/>
              </w:rPr>
              <w:t>、单价在</w:t>
            </w:r>
            <w:r>
              <w:rPr>
                <w:rFonts w:ascii="宋体" w:eastAsia="宋体" w:cs="宋体"/>
                <w:sz w:val="32"/>
                <w:szCs w:val="32"/>
              </w:rPr>
              <w:t>20</w:t>
            </w:r>
            <w:r>
              <w:rPr>
                <w:rFonts w:hint="eastAsia" w:ascii="宋体" w:eastAsia="宋体" w:cs="宋体"/>
                <w:sz w:val="32"/>
                <w:szCs w:val="32"/>
              </w:rPr>
              <w:t>万元以上</w:t>
            </w:r>
          </w:p>
        </w:tc>
        <w:tc>
          <w:tcPr>
            <w:tcW w:w="1666"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0</w:t>
            </w:r>
          </w:p>
        </w:tc>
        <w:tc>
          <w:tcPr>
            <w:tcW w:w="1666"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40"/>
              <w:kinsoku w:val="0"/>
              <w:overflowPunct w:val="0"/>
              <w:spacing w:before="106"/>
              <w:ind w:left="103"/>
              <w:jc w:val="center"/>
            </w:pPr>
            <w:r>
              <w:rPr>
                <w:rFonts w:ascii="宋体" w:eastAsia="宋体" w:cs="宋体"/>
                <w:sz w:val="32"/>
                <w:szCs w:val="32"/>
              </w:rPr>
              <w:t>4</w:t>
            </w:r>
            <w:r>
              <w:rPr>
                <w:rFonts w:hint="eastAsia" w:ascii="宋体" w:eastAsia="宋体" w:cs="宋体"/>
                <w:sz w:val="32"/>
                <w:szCs w:val="32"/>
              </w:rPr>
              <w:t>、其他固定资产</w:t>
            </w:r>
          </w:p>
        </w:tc>
        <w:tc>
          <w:tcPr>
            <w:tcW w:w="1666" w:type="pct"/>
            <w:vAlign w:val="center"/>
          </w:tcPr>
          <w:p>
            <w:pPr>
              <w:spacing w:line="520" w:lineRule="exact"/>
              <w:jc w:val="center"/>
              <w:rPr>
                <w:rFonts w:ascii="仿宋" w:hAnsi="仿宋" w:eastAsia="仿宋"/>
                <w:sz w:val="32"/>
                <w:szCs w:val="32"/>
              </w:rPr>
            </w:pPr>
            <w:r>
              <w:rPr>
                <w:rFonts w:ascii="仿宋" w:hAnsi="仿宋" w:eastAsia="仿宋"/>
                <w:sz w:val="32"/>
                <w:szCs w:val="32"/>
              </w:rPr>
              <w:t>--</w:t>
            </w:r>
          </w:p>
        </w:tc>
        <w:tc>
          <w:tcPr>
            <w:tcW w:w="1666"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530.49</w:t>
            </w:r>
          </w:p>
        </w:tc>
      </w:tr>
    </w:tbl>
    <w:p>
      <w:pPr>
        <w:spacing w:line="520" w:lineRule="exact"/>
        <w:ind w:firstLine="1280" w:firstLineChars="400"/>
        <w:rPr>
          <w:rFonts w:ascii="仿宋" w:hAnsi="仿宋" w:eastAsia="仿宋"/>
          <w:sz w:val="32"/>
          <w:szCs w:val="32"/>
        </w:rPr>
      </w:pPr>
    </w:p>
    <w:p>
      <w:pPr>
        <w:ind w:firstLine="627" w:firstLineChars="196"/>
        <w:outlineLvl w:val="0"/>
        <w:rPr>
          <w:rFonts w:ascii="黑体" w:hAnsi="黑体" w:eastAsia="黑体" w:cs="仿宋_GB2312"/>
          <w:sz w:val="32"/>
          <w:szCs w:val="32"/>
        </w:rPr>
      </w:pPr>
      <w:r>
        <w:rPr>
          <w:rFonts w:hint="eastAsia" w:ascii="黑体" w:hAnsi="黑体" w:eastAsia="黑体" w:cs="仿宋_GB2312"/>
          <w:sz w:val="32"/>
          <w:szCs w:val="32"/>
        </w:rPr>
        <w:t>八、专业名词解释</w:t>
      </w:r>
    </w:p>
    <w:p>
      <w:pPr>
        <w:ind w:firstLine="627" w:firstLineChars="196"/>
        <w:rPr>
          <w:rFonts w:ascii="仿宋" w:hAnsi="仿宋" w:eastAsia="仿宋"/>
          <w:sz w:val="32"/>
          <w:szCs w:val="32"/>
        </w:rPr>
      </w:pPr>
      <w:r>
        <w:rPr>
          <w:rFonts w:ascii="仿宋" w:hAnsi="仿宋" w:eastAsia="仿宋"/>
          <w:bCs/>
          <w:sz w:val="32"/>
          <w:szCs w:val="32"/>
        </w:rPr>
        <w:t>1</w:t>
      </w:r>
      <w:r>
        <w:rPr>
          <w:rFonts w:hint="eastAsia" w:ascii="仿宋" w:hAnsi="仿宋" w:eastAsia="仿宋"/>
          <w:bCs/>
          <w:sz w:val="32"/>
          <w:szCs w:val="32"/>
        </w:rPr>
        <w:t>、一般公共预算财政拨款收入：</w:t>
      </w:r>
      <w:r>
        <w:rPr>
          <w:rFonts w:hint="eastAsia" w:ascii="仿宋" w:hAnsi="仿宋" w:eastAsia="仿宋"/>
          <w:sz w:val="32"/>
          <w:szCs w:val="32"/>
        </w:rPr>
        <w:t>县级财政当年拨付的资金。</w:t>
      </w:r>
    </w:p>
    <w:p>
      <w:pPr>
        <w:pStyle w:val="9"/>
        <w:ind w:firstLine="576" w:firstLineChars="180"/>
        <w:rPr>
          <w:rFonts w:ascii="仿宋" w:hAnsi="仿宋" w:eastAsia="仿宋" w:cs="仿宋_GB2312"/>
          <w:sz w:val="32"/>
          <w:szCs w:val="32"/>
        </w:rPr>
      </w:pPr>
      <w:r>
        <w:rPr>
          <w:rStyle w:val="13"/>
          <w:rFonts w:ascii="仿宋" w:hAnsi="仿宋" w:eastAsia="仿宋" w:cs="仿宋_GB2312"/>
          <w:b w:val="0"/>
          <w:sz w:val="32"/>
          <w:szCs w:val="32"/>
          <w:shd w:val="clear" w:color="auto" w:fill="FFFFFF"/>
        </w:rPr>
        <w:t>2</w:t>
      </w:r>
      <w:r>
        <w:rPr>
          <w:rStyle w:val="13"/>
          <w:rFonts w:hint="eastAsia" w:ascii="仿宋" w:hAnsi="仿宋" w:eastAsia="仿宋" w:cs="仿宋_GB2312"/>
          <w:b w:val="0"/>
          <w:sz w:val="32"/>
          <w:szCs w:val="32"/>
          <w:shd w:val="clear" w:color="auto" w:fill="FFFFFF"/>
        </w:rPr>
        <w:t>、其他收入：</w:t>
      </w:r>
      <w:r>
        <w:rPr>
          <w:rFonts w:hint="eastAsia" w:ascii="仿宋" w:hAnsi="仿宋" w:eastAsia="仿宋" w:cs="仿宋_GB2312"/>
          <w:sz w:val="32"/>
          <w:szCs w:val="32"/>
          <w:shd w:val="clear" w:color="auto" w:fill="FFFFFF"/>
        </w:rPr>
        <w:t>指除上述财政拨款收入以外的收入。主要是存款利息收入。</w:t>
      </w:r>
    </w:p>
    <w:p>
      <w:pPr>
        <w:pStyle w:val="9"/>
        <w:ind w:firstLine="576" w:firstLineChars="180"/>
        <w:rPr>
          <w:rFonts w:ascii="仿宋" w:hAnsi="仿宋" w:eastAsia="仿宋"/>
          <w:sz w:val="32"/>
          <w:szCs w:val="32"/>
        </w:rPr>
      </w:pPr>
      <w:r>
        <w:rPr>
          <w:rStyle w:val="13"/>
          <w:rFonts w:ascii="仿宋" w:hAnsi="仿宋" w:eastAsia="仿宋" w:cs="仿宋_GB2312"/>
          <w:b w:val="0"/>
          <w:color w:val="000000"/>
          <w:sz w:val="32"/>
          <w:szCs w:val="32"/>
          <w:shd w:val="clear" w:color="auto" w:fill="FFFFFF"/>
        </w:rPr>
        <w:t>3</w:t>
      </w:r>
      <w:r>
        <w:rPr>
          <w:rFonts w:hint="eastAsia" w:ascii="仿宋" w:hAnsi="仿宋" w:eastAsia="仿宋"/>
          <w:bCs/>
          <w:sz w:val="32"/>
          <w:szCs w:val="32"/>
        </w:rPr>
        <w:t>、基本支出：</w:t>
      </w:r>
      <w:r>
        <w:rPr>
          <w:rFonts w:hint="eastAsia" w:ascii="仿宋" w:hAnsi="仿宋" w:eastAsia="仿宋"/>
          <w:sz w:val="32"/>
          <w:szCs w:val="32"/>
        </w:rPr>
        <w:t>指为保障机构正常运转、完成日常工作任务而发生的人员支出和公用支出。</w:t>
      </w:r>
    </w:p>
    <w:p>
      <w:pPr>
        <w:pStyle w:val="9"/>
        <w:rPr>
          <w:rFonts w:ascii="仿宋" w:hAnsi="仿宋" w:eastAsia="仿宋"/>
          <w:sz w:val="32"/>
          <w:szCs w:val="32"/>
        </w:rPr>
      </w:pPr>
      <w:r>
        <w:rPr>
          <w:rFonts w:ascii="仿宋" w:hAnsi="仿宋" w:eastAsia="仿宋"/>
          <w:bCs/>
          <w:sz w:val="32"/>
          <w:szCs w:val="32"/>
        </w:rPr>
        <w:t xml:space="preserve">    4</w:t>
      </w:r>
      <w:r>
        <w:rPr>
          <w:rFonts w:hint="eastAsia" w:ascii="仿宋" w:hAnsi="仿宋" w:eastAsia="仿宋"/>
          <w:bCs/>
          <w:sz w:val="32"/>
          <w:szCs w:val="32"/>
        </w:rPr>
        <w:t>、项目支出</w:t>
      </w:r>
      <w:r>
        <w:rPr>
          <w:rFonts w:hint="eastAsia" w:ascii="仿宋" w:hAnsi="仿宋" w:eastAsia="仿宋"/>
          <w:sz w:val="32"/>
          <w:szCs w:val="32"/>
        </w:rPr>
        <w:t>：指在基本支出之外为完成特定行政任务和事业发展目标所发生的支出。</w:t>
      </w:r>
    </w:p>
    <w:p>
      <w:pPr>
        <w:pStyle w:val="9"/>
        <w:ind w:firstLine="640" w:firstLineChars="200"/>
        <w:rPr>
          <w:rFonts w:ascii="仿宋" w:hAnsi="仿宋" w:eastAsia="仿宋"/>
          <w:sz w:val="32"/>
          <w:szCs w:val="32"/>
        </w:rPr>
      </w:pPr>
      <w:r>
        <w:rPr>
          <w:rFonts w:ascii="仿宋" w:hAnsi="仿宋" w:eastAsia="仿宋"/>
          <w:bCs/>
          <w:sz w:val="32"/>
          <w:szCs w:val="32"/>
        </w:rPr>
        <w:t>5</w:t>
      </w:r>
      <w:r>
        <w:rPr>
          <w:rFonts w:hint="eastAsia" w:ascii="仿宋" w:hAnsi="仿宋" w:eastAsia="仿宋"/>
          <w:bCs/>
          <w:sz w:val="32"/>
          <w:szCs w:val="32"/>
        </w:rPr>
        <w:t>、“三公”经费：</w:t>
      </w:r>
      <w:r>
        <w:rPr>
          <w:rFonts w:hint="eastAsia" w:ascii="仿宋" w:hAnsi="仿宋" w:eastAsia="仿宋"/>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9"/>
        <w:ind w:firstLine="640" w:firstLineChars="200"/>
        <w:rPr>
          <w:rFonts w:ascii="仿宋" w:hAnsi="仿宋" w:eastAsia="仿宋"/>
          <w:sz w:val="32"/>
          <w:szCs w:val="32"/>
        </w:rPr>
      </w:pPr>
      <w:r>
        <w:rPr>
          <w:rFonts w:ascii="仿宋" w:hAnsi="仿宋" w:eastAsia="仿宋"/>
          <w:bCs/>
          <w:sz w:val="32"/>
          <w:szCs w:val="32"/>
        </w:rPr>
        <w:t>6</w:t>
      </w:r>
      <w:r>
        <w:rPr>
          <w:rFonts w:hint="eastAsia" w:ascii="仿宋" w:hAnsi="仿宋" w:eastAsia="仿宋"/>
          <w:bCs/>
          <w:sz w:val="32"/>
          <w:szCs w:val="32"/>
        </w:rPr>
        <w:t>、机关运行经费：</w:t>
      </w:r>
      <w:r>
        <w:rPr>
          <w:rFonts w:hint="eastAsia" w:ascii="仿宋" w:hAnsi="仿宋" w:eastAsia="仿宋"/>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outlineLvl w:val="0"/>
        <w:rPr>
          <w:rFonts w:ascii="黑体" w:hAnsi="黑体" w:eastAsia="黑体" w:cs="黑体"/>
          <w:sz w:val="32"/>
          <w:szCs w:val="32"/>
        </w:rPr>
      </w:pPr>
      <w:r>
        <w:rPr>
          <w:rFonts w:hint="eastAsia" w:ascii="黑体" w:hAnsi="黑体" w:eastAsia="黑体" w:cs="黑体"/>
          <w:sz w:val="32"/>
          <w:szCs w:val="32"/>
        </w:rPr>
        <w:t xml:space="preserve"> 九、其他需要说明的事项</w:t>
      </w:r>
    </w:p>
    <w:p>
      <w:pPr>
        <w:spacing w:line="500" w:lineRule="exact"/>
        <w:ind w:firstLine="560"/>
        <w:sectPr>
          <w:headerReference r:id="rId10" w:type="default"/>
          <w:footerReference r:id="rId12" w:type="default"/>
          <w:headerReference r:id="rId11" w:type="even"/>
          <w:footerReference r:id="rId13" w:type="even"/>
          <w:type w:val="continuous"/>
          <w:pgSz w:w="16840" w:h="11900" w:orient="landscape"/>
          <w:pgMar w:top="1361" w:right="1021" w:bottom="1134" w:left="1021" w:header="720" w:footer="720" w:gutter="0"/>
          <w:cols w:space="720" w:num="1"/>
        </w:sectPr>
      </w:pPr>
      <w:r>
        <w:rPr>
          <w:rFonts w:hint="eastAsia" w:ascii="仿宋" w:hAnsi="仿宋" w:eastAsia="仿宋" w:cs="仿宋"/>
          <w:sz w:val="32"/>
          <w:szCs w:val="32"/>
        </w:rPr>
        <w:t>我</w:t>
      </w:r>
      <w:r>
        <w:rPr>
          <w:rFonts w:hint="eastAsia" w:ascii="仿宋" w:hAnsi="仿宋" w:eastAsia="仿宋" w:cs="仿宋"/>
          <w:sz w:val="32"/>
          <w:szCs w:val="32"/>
          <w:lang w:val="en-US" w:eastAsia="zh-CN"/>
        </w:rPr>
        <w:t>单位无其他需要说明的事项</w:t>
      </w:r>
      <w:r>
        <w:rPr>
          <w:rFonts w:hint="eastAsia" w:ascii="仿宋" w:hAnsi="仿宋" w:eastAsia="仿宋" w:cs="仿宋"/>
          <w:sz w:val="32"/>
          <w:szCs w:val="32"/>
        </w:rPr>
        <w:t>。</w:t>
      </w:r>
    </w:p>
    <w:p>
      <w:pPr>
        <w:jc w:val="both"/>
        <w:outlineLvl w:val="3"/>
      </w:pP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
    <w:altName w:val="宋体"/>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right"/>
                          </w:pPr>
                          <w:r>
                            <w:rPr>
                              <w:rStyle w:val="14"/>
                            </w:rPr>
                            <w:fldChar w:fldCharType="begin"/>
                          </w:r>
                          <w:r>
                            <w:rPr>
                              <w:rStyle w:val="14"/>
                            </w:rPr>
                            <w:instrText xml:space="preserve"> PAGE </w:instrText>
                          </w:r>
                          <w:r>
                            <w:rPr>
                              <w:rStyle w:val="14"/>
                            </w:rPr>
                            <w:fldChar w:fldCharType="separate"/>
                          </w:r>
                          <w:r>
                            <w:rPr>
                              <w:rStyle w:val="14"/>
                            </w:rPr>
                            <w:t>2</w:t>
                          </w:r>
                          <w:r>
                            <w:rPr>
                              <w:rStyle w:val="1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
                      <w:jc w:val="right"/>
                    </w:pPr>
                    <w:r>
                      <w:rPr>
                        <w:rStyle w:val="14"/>
                      </w:rPr>
                      <w:fldChar w:fldCharType="begin"/>
                    </w:r>
                    <w:r>
                      <w:rPr>
                        <w:rStyle w:val="14"/>
                      </w:rPr>
                      <w:instrText xml:space="preserve"> PAGE </w:instrText>
                    </w:r>
                    <w:r>
                      <w:rPr>
                        <w:rStyle w:val="14"/>
                      </w:rPr>
                      <w:fldChar w:fldCharType="separate"/>
                    </w:r>
                    <w:r>
                      <w:rPr>
                        <w:rStyle w:val="14"/>
                      </w:rPr>
                      <w:t>2</w:t>
                    </w:r>
                    <w:r>
                      <w:rPr>
                        <w:rStyle w:val="14"/>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fldChar w:fldCharType="begin"/>
                          </w:r>
                          <w:r>
                            <w:instrText xml:space="preserve">PAGE "page number"</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yX96c4AgAAbw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rJf3pzgCAABvBAAADgAAAAAAAAABACAAAAAfAQAAZHJzL2Uyb0RvYy54&#10;bWxQSwUGAAAAAAYABgBZAQAAyQU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4"/>
                            <w:jc w:val="right"/>
                          </w:pPr>
                          <w:r>
                            <w:rPr>
                              <w:rStyle w:val="14"/>
                            </w:rPr>
                            <w:fldChar w:fldCharType="begin"/>
                          </w:r>
                          <w:r>
                            <w:rPr>
                              <w:rStyle w:val="14"/>
                            </w:rPr>
                            <w:instrText xml:space="preserve"> PAGE </w:instrText>
                          </w:r>
                          <w:r>
                            <w:rPr>
                              <w:rStyle w:val="14"/>
                            </w:rPr>
                            <w:fldChar w:fldCharType="separate"/>
                          </w:r>
                          <w:r>
                            <w:rPr>
                              <w:rStyle w:val="14"/>
                            </w:rPr>
                            <w:t>1</w:t>
                          </w:r>
                          <w:r>
                            <w:rPr>
                              <w:rStyle w:val="14"/>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PBAlRrs&#10;AQAA1QMAAA4AAAAAAAAAAQAgAAAAHgEAAGRycy9lMm9Eb2MueG1sUEsFBgAAAAAGAAYAWQEAAHwF&#10;AAAAAA==&#10;">
              <v:fill on="f" focussize="0,0"/>
              <v:stroke on="f"/>
              <v:imagedata o:title=""/>
              <o:lock v:ext="edit" aspectratio="f"/>
              <v:textbox inset="0mm,0mm,0mm,0mm" style="mso-fit-shape-to-text:t;">
                <w:txbxContent>
                  <w:p>
                    <w:pPr>
                      <w:pStyle w:val="4"/>
                      <w:jc w:val="right"/>
                    </w:pPr>
                    <w:r>
                      <w:rPr>
                        <w:rStyle w:val="14"/>
                      </w:rPr>
                      <w:fldChar w:fldCharType="begin"/>
                    </w:r>
                    <w:r>
                      <w:rPr>
                        <w:rStyle w:val="14"/>
                      </w:rPr>
                      <w:instrText xml:space="preserve"> PAGE </w:instrText>
                    </w:r>
                    <w:r>
                      <w:rPr>
                        <w:rStyle w:val="14"/>
                      </w:rPr>
                      <w:fldChar w:fldCharType="separate"/>
                    </w:r>
                    <w:r>
                      <w:rPr>
                        <w:rStyle w:val="14"/>
                      </w:rPr>
                      <w:t>1</w:t>
                    </w:r>
                    <w:r>
                      <w:rPr>
                        <w:rStyle w:val="1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
                            <w:fldChar w:fldCharType="begin"/>
                          </w:r>
                          <w:r>
                            <w:instrText xml:space="preserve">PAGE "page number"</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CBEH87s&#10;AQAA1QMAAA4AAAAAAAAAAQAgAAAAHgEAAGRycy9lMm9Eb2MueG1sUEsFBgAAAAAGAAYAWQEAAHwF&#10;AAAAAA==&#10;">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2E0D31"/>
    <w:multiLevelType w:val="singleLevel"/>
    <w:tmpl w:val="1C2E0D31"/>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720"/>
  <w:evenAndOddHeaders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kM2RlMGE0NTA1OGJkN2EzMDIxMzkzMTgzZmI1OTUifQ=="/>
  </w:docVars>
  <w:rsids>
    <w:rsidRoot w:val="00781D3A"/>
    <w:rsid w:val="00064159"/>
    <w:rsid w:val="00120163"/>
    <w:rsid w:val="00182D82"/>
    <w:rsid w:val="001B15F6"/>
    <w:rsid w:val="00201266"/>
    <w:rsid w:val="00557C8E"/>
    <w:rsid w:val="0056582C"/>
    <w:rsid w:val="005C7741"/>
    <w:rsid w:val="00664099"/>
    <w:rsid w:val="0068454C"/>
    <w:rsid w:val="00714A9B"/>
    <w:rsid w:val="007304F6"/>
    <w:rsid w:val="00781D3A"/>
    <w:rsid w:val="00791CF2"/>
    <w:rsid w:val="008D0F2A"/>
    <w:rsid w:val="008F1C73"/>
    <w:rsid w:val="0098765C"/>
    <w:rsid w:val="00AC1402"/>
    <w:rsid w:val="00B10A12"/>
    <w:rsid w:val="00B52C69"/>
    <w:rsid w:val="00BC0518"/>
    <w:rsid w:val="00BD1DD9"/>
    <w:rsid w:val="00C83D45"/>
    <w:rsid w:val="00CC5F86"/>
    <w:rsid w:val="00D172D0"/>
    <w:rsid w:val="00D75591"/>
    <w:rsid w:val="00DA3F97"/>
    <w:rsid w:val="00E92AAD"/>
    <w:rsid w:val="00EC4DAA"/>
    <w:rsid w:val="00F1646A"/>
    <w:rsid w:val="00F826E0"/>
    <w:rsid w:val="00FB7ED6"/>
    <w:rsid w:val="00FE46E7"/>
    <w:rsid w:val="04500E6A"/>
    <w:rsid w:val="052B4646"/>
    <w:rsid w:val="0B6654D6"/>
    <w:rsid w:val="10685029"/>
    <w:rsid w:val="158F5031"/>
    <w:rsid w:val="1C690F26"/>
    <w:rsid w:val="22090B6C"/>
    <w:rsid w:val="28D2601D"/>
    <w:rsid w:val="2B0B2850"/>
    <w:rsid w:val="33840117"/>
    <w:rsid w:val="391B70EA"/>
    <w:rsid w:val="392A6249"/>
    <w:rsid w:val="3A4B0C5C"/>
    <w:rsid w:val="3B8F458E"/>
    <w:rsid w:val="3EA0160A"/>
    <w:rsid w:val="3F033BBB"/>
    <w:rsid w:val="48390A7E"/>
    <w:rsid w:val="527E0D0E"/>
    <w:rsid w:val="562A7E7A"/>
    <w:rsid w:val="667F37BD"/>
    <w:rsid w:val="66F275AB"/>
    <w:rsid w:val="6FB0221E"/>
    <w:rsid w:val="707C2F7C"/>
    <w:rsid w:val="74745854"/>
    <w:rsid w:val="76375D4D"/>
    <w:rsid w:val="7E486D4A"/>
    <w:rsid w:val="7EEB746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paragraph" w:styleId="2">
    <w:name w:val="heading 2"/>
    <w:basedOn w:val="1"/>
    <w:next w:val="1"/>
    <w:unhideWhenUsed/>
    <w:qFormat/>
    <w:locked/>
    <w:uiPriority w:val="0"/>
    <w:pPr>
      <w:keepNext/>
      <w:keepLines/>
      <w:spacing w:before="260" w:beforeLines="0" w:beforeAutospacing="0" w:after="260" w:afterLines="0" w:afterAutospacing="0" w:line="240" w:lineRule="auto"/>
      <w:jc w:val="center"/>
      <w:outlineLvl w:val="1"/>
    </w:pPr>
    <w:rPr>
      <w:rFonts w:ascii="Arial" w:hAnsi="Arial" w:eastAsia="方正小标宋"/>
      <w:b/>
      <w:sz w:val="36"/>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toc 3"/>
    <w:basedOn w:val="1"/>
    <w:next w:val="1"/>
    <w:qFormat/>
    <w:uiPriority w:val="99"/>
    <w:pPr>
      <w:ind w:left="480"/>
    </w:pPr>
  </w:style>
  <w:style w:type="paragraph" w:styleId="4">
    <w:name w:val="footer"/>
    <w:basedOn w:val="1"/>
    <w:link w:val="38"/>
    <w:qFormat/>
    <w:uiPriority w:val="99"/>
    <w:pPr>
      <w:tabs>
        <w:tab w:val="center" w:pos="4153"/>
        <w:tab w:val="right" w:pos="8306"/>
      </w:tabs>
      <w:snapToGrid w:val="0"/>
    </w:pPr>
    <w:rPr>
      <w:sz w:val="18"/>
      <w:szCs w:val="18"/>
    </w:rPr>
  </w:style>
  <w:style w:type="paragraph" w:styleId="5">
    <w:name w:val="header"/>
    <w:basedOn w:val="1"/>
    <w:link w:val="37"/>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99"/>
    <w:pPr>
      <w:spacing w:before="120"/>
      <w:ind w:firstLine="560"/>
    </w:pPr>
    <w:rPr>
      <w:rFonts w:eastAsia="方正仿宋_GBK"/>
      <w:color w:val="000000"/>
      <w:sz w:val="28"/>
    </w:rPr>
  </w:style>
  <w:style w:type="paragraph" w:styleId="7">
    <w:name w:val="toc 4"/>
    <w:basedOn w:val="1"/>
    <w:next w:val="1"/>
    <w:qFormat/>
    <w:uiPriority w:val="99"/>
    <w:pPr>
      <w:ind w:left="720"/>
    </w:pPr>
  </w:style>
  <w:style w:type="paragraph" w:styleId="8">
    <w:name w:val="toc 2"/>
    <w:basedOn w:val="1"/>
    <w:next w:val="1"/>
    <w:qFormat/>
    <w:uiPriority w:val="99"/>
    <w:pPr>
      <w:ind w:left="240"/>
    </w:p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1">
    <w:name w:val="Table Grid"/>
    <w:basedOn w:val="10"/>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3">
    <w:name w:val="Strong"/>
    <w:qFormat/>
    <w:locked/>
    <w:uiPriority w:val="0"/>
    <w:rPr>
      <w:b/>
    </w:rPr>
  </w:style>
  <w:style w:type="character" w:styleId="14">
    <w:name w:val="page number"/>
    <w:basedOn w:val="12"/>
    <w:qFormat/>
    <w:uiPriority w:val="99"/>
    <w:rPr>
      <w:rFonts w:cs="Times New Roman"/>
    </w:rPr>
  </w:style>
  <w:style w:type="paragraph" w:customStyle="1" w:styleId="15">
    <w:name w:val="单元格样式22"/>
    <w:basedOn w:val="1"/>
    <w:qFormat/>
    <w:uiPriority w:val="99"/>
    <w:pPr>
      <w:jc w:val="right"/>
    </w:pPr>
    <w:rPr>
      <w:rFonts w:ascii="方正小标宋_GBK" w:hAnsi="方正小标宋_GBK" w:eastAsia="方正小标宋_GBK" w:cs="方正小标宋_GBK"/>
    </w:rPr>
  </w:style>
  <w:style w:type="paragraph" w:customStyle="1" w:styleId="16">
    <w:name w:val="单元格样式21"/>
    <w:basedOn w:val="1"/>
    <w:qFormat/>
    <w:uiPriority w:val="99"/>
    <w:pPr>
      <w:jc w:val="center"/>
    </w:pPr>
    <w:rPr>
      <w:rFonts w:ascii="方正小标宋_GBK" w:hAnsi="方正小标宋_GBK" w:eastAsia="方正小标宋_GBK" w:cs="方正小标宋_GBK"/>
    </w:rPr>
  </w:style>
  <w:style w:type="paragraph" w:customStyle="1" w:styleId="17">
    <w:name w:val="单元格样式20"/>
    <w:basedOn w:val="1"/>
    <w:qFormat/>
    <w:uiPriority w:val="99"/>
    <w:rPr>
      <w:rFonts w:ascii="方正小标宋_GBK" w:hAnsi="方正小标宋_GBK" w:eastAsia="方正小标宋_GBK" w:cs="方正小标宋_GBK"/>
    </w:rPr>
  </w:style>
  <w:style w:type="paragraph" w:customStyle="1" w:styleId="18">
    <w:name w:val="单元格样式1"/>
    <w:basedOn w:val="1"/>
    <w:qFormat/>
    <w:uiPriority w:val="0"/>
    <w:pPr>
      <w:jc w:val="center"/>
    </w:pPr>
    <w:rPr>
      <w:rFonts w:ascii="方正书宋_GBK" w:hAnsi="方正书宋_GBK" w:eastAsia="方正书宋_GBK" w:cs="方正书宋_GBK"/>
      <w:b/>
      <w:sz w:val="21"/>
    </w:rPr>
  </w:style>
  <w:style w:type="paragraph" w:customStyle="1" w:styleId="19">
    <w:name w:val="单元格样式4"/>
    <w:basedOn w:val="1"/>
    <w:qFormat/>
    <w:uiPriority w:val="99"/>
    <w:pPr>
      <w:jc w:val="right"/>
    </w:pPr>
    <w:rPr>
      <w:rFonts w:ascii="方正书宋_GBK" w:hAnsi="方正书宋_GBK" w:eastAsia="方正书宋_GBK" w:cs="方正书宋_GBK"/>
      <w:sz w:val="21"/>
    </w:rPr>
  </w:style>
  <w:style w:type="paragraph" w:customStyle="1" w:styleId="20">
    <w:name w:val="单元格样式2"/>
    <w:basedOn w:val="1"/>
    <w:qFormat/>
    <w:uiPriority w:val="99"/>
    <w:rPr>
      <w:rFonts w:ascii="方正书宋_GBK" w:hAnsi="方正书宋_GBK" w:eastAsia="方正书宋_GBK" w:cs="方正书宋_GBK"/>
      <w:sz w:val="21"/>
    </w:rPr>
  </w:style>
  <w:style w:type="paragraph" w:customStyle="1" w:styleId="21">
    <w:name w:val="单元格样式3"/>
    <w:basedOn w:val="1"/>
    <w:qFormat/>
    <w:uiPriority w:val="99"/>
    <w:pPr>
      <w:jc w:val="center"/>
    </w:pPr>
    <w:rPr>
      <w:rFonts w:ascii="方正书宋_GBK" w:hAnsi="方正书宋_GBK" w:eastAsia="方正书宋_GBK" w:cs="方正书宋_GBK"/>
      <w:sz w:val="21"/>
    </w:rPr>
  </w:style>
  <w:style w:type="paragraph" w:customStyle="1" w:styleId="22">
    <w:name w:val="单元格样式6"/>
    <w:basedOn w:val="1"/>
    <w:qFormat/>
    <w:uiPriority w:val="99"/>
    <w:pPr>
      <w:jc w:val="center"/>
    </w:pPr>
    <w:rPr>
      <w:rFonts w:ascii="方正书宋_GBK" w:hAnsi="方正书宋_GBK" w:eastAsia="方正书宋_GBK" w:cs="方正书宋_GBK"/>
      <w:b/>
      <w:sz w:val="21"/>
    </w:rPr>
  </w:style>
  <w:style w:type="paragraph" w:customStyle="1" w:styleId="23">
    <w:name w:val="单元格样式7"/>
    <w:basedOn w:val="1"/>
    <w:qFormat/>
    <w:uiPriority w:val="99"/>
    <w:pPr>
      <w:jc w:val="right"/>
    </w:pPr>
    <w:rPr>
      <w:rFonts w:ascii="方正书宋_GBK" w:hAnsi="方正书宋_GBK" w:eastAsia="方正书宋_GBK" w:cs="方正书宋_GBK"/>
      <w:b/>
      <w:sz w:val="21"/>
    </w:rPr>
  </w:style>
  <w:style w:type="paragraph" w:customStyle="1" w:styleId="24">
    <w:name w:val="单元格样式5"/>
    <w:basedOn w:val="1"/>
    <w:qFormat/>
    <w:uiPriority w:val="99"/>
    <w:rPr>
      <w:rFonts w:ascii="方正书宋_GBK" w:hAnsi="方正书宋_GBK" w:eastAsia="方正书宋_GBK" w:cs="方正书宋_GBK"/>
      <w:b/>
      <w:sz w:val="21"/>
    </w:rPr>
  </w:style>
  <w:style w:type="paragraph" w:customStyle="1" w:styleId="25">
    <w:name w:val="插入文本样式-插入部门职责文件"/>
    <w:basedOn w:val="1"/>
    <w:qFormat/>
    <w:uiPriority w:val="0"/>
    <w:pPr>
      <w:spacing w:line="500" w:lineRule="exact"/>
      <w:ind w:firstLine="560"/>
    </w:pPr>
    <w:rPr>
      <w:rFonts w:eastAsia="方正仿宋_GBK"/>
      <w:sz w:val="28"/>
    </w:rPr>
  </w:style>
  <w:style w:type="paragraph" w:customStyle="1" w:styleId="26">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7">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8">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9">
    <w:name w:val="插入文本样式-插入总体目标文件"/>
    <w:basedOn w:val="1"/>
    <w:qFormat/>
    <w:uiPriority w:val="99"/>
    <w:pPr>
      <w:spacing w:line="500" w:lineRule="exact"/>
      <w:ind w:firstLine="560"/>
    </w:pPr>
    <w:rPr>
      <w:rFonts w:eastAsia="方正仿宋_GBK"/>
      <w:sz w:val="28"/>
    </w:rPr>
  </w:style>
  <w:style w:type="paragraph" w:customStyle="1" w:styleId="30">
    <w:name w:val="插入文本样式-插入职责分类绩效目标文件"/>
    <w:basedOn w:val="1"/>
    <w:qFormat/>
    <w:uiPriority w:val="99"/>
    <w:pPr>
      <w:spacing w:line="500" w:lineRule="exact"/>
      <w:ind w:firstLine="560"/>
    </w:pPr>
    <w:rPr>
      <w:rFonts w:eastAsia="方正仿宋_GBK"/>
      <w:sz w:val="28"/>
    </w:rPr>
  </w:style>
  <w:style w:type="paragraph" w:customStyle="1" w:styleId="31">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32">
    <w:name w:val="单元格样式23"/>
    <w:basedOn w:val="1"/>
    <w:qFormat/>
    <w:uiPriority w:val="99"/>
    <w:pPr>
      <w:jc w:val="right"/>
    </w:pPr>
    <w:rPr>
      <w:rFonts w:ascii="方正书宋_GBK" w:hAnsi="方正书宋_GBK" w:eastAsia="方正书宋_GBK" w:cs="方正书宋_GBK"/>
    </w:rPr>
  </w:style>
  <w:style w:type="paragraph" w:customStyle="1" w:styleId="33">
    <w:name w:val="插入文本样式-插入单位职责文件"/>
    <w:basedOn w:val="1"/>
    <w:qFormat/>
    <w:uiPriority w:val="99"/>
    <w:pPr>
      <w:spacing w:line="500" w:lineRule="exact"/>
      <w:ind w:firstLine="560"/>
    </w:pPr>
    <w:rPr>
      <w:rFonts w:eastAsia="方正仿宋_GBK"/>
      <w:sz w:val="28"/>
    </w:rPr>
  </w:style>
  <w:style w:type="paragraph" w:customStyle="1" w:styleId="34">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5">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6">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7">
    <w:name w:val="页眉 Char"/>
    <w:basedOn w:val="12"/>
    <w:link w:val="5"/>
    <w:qFormat/>
    <w:locked/>
    <w:uiPriority w:val="99"/>
    <w:rPr>
      <w:rFonts w:eastAsia="Times New Roman" w:cs="Times New Roman"/>
      <w:sz w:val="18"/>
      <w:szCs w:val="18"/>
      <w:lang w:eastAsia="uk-UA"/>
    </w:rPr>
  </w:style>
  <w:style w:type="character" w:customStyle="1" w:styleId="38">
    <w:name w:val="页脚 Char"/>
    <w:basedOn w:val="12"/>
    <w:link w:val="4"/>
    <w:qFormat/>
    <w:locked/>
    <w:uiPriority w:val="99"/>
    <w:rPr>
      <w:rFonts w:eastAsia="Times New Roman" w:cs="Times New Roman"/>
      <w:sz w:val="18"/>
      <w:szCs w:val="18"/>
      <w:lang w:eastAsia="uk-UA"/>
    </w:rPr>
  </w:style>
  <w:style w:type="paragraph" w:customStyle="1" w:styleId="39">
    <w:name w:val="Heading 2"/>
    <w:basedOn w:val="1"/>
    <w:qFormat/>
    <w:uiPriority w:val="1"/>
    <w:pPr>
      <w:autoSpaceDE w:val="0"/>
      <w:autoSpaceDN w:val="0"/>
      <w:adjustRightInd w:val="0"/>
      <w:spacing w:before="181"/>
      <w:ind w:left="103"/>
      <w:jc w:val="left"/>
      <w:outlineLvl w:val="1"/>
    </w:pPr>
    <w:rPr>
      <w:rFonts w:ascii="仿宋" w:hAnsi="Times New Roman" w:eastAsia="仿宋" w:cs="仿宋"/>
      <w:kern w:val="0"/>
      <w:sz w:val="32"/>
      <w:szCs w:val="32"/>
    </w:rPr>
  </w:style>
  <w:style w:type="paragraph" w:customStyle="1" w:styleId="40">
    <w:name w:val="Table Paragraph"/>
    <w:basedOn w:val="1"/>
    <w:qFormat/>
    <w:uiPriority w:val="1"/>
    <w:pPr>
      <w:autoSpaceDE w:val="0"/>
      <w:autoSpaceDN w:val="0"/>
      <w:adjustRightInd w:val="0"/>
      <w:spacing w:line="240" w:lineRule="auto"/>
      <w:jc w:val="left"/>
    </w:pPr>
    <w:rPr>
      <w:rFonts w:ascii="Times New Roman" w:hAnsi="Times New Roman" w:eastAsiaTheme="minorEastAsia"/>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42</Pages>
  <Words>14295</Words>
  <Characters>16025</Characters>
  <Lines>127</Lines>
  <Paragraphs>36</Paragraphs>
  <TotalTime>1</TotalTime>
  <ScaleCrop>false</ScaleCrop>
  <LinksUpToDate>false</LinksUpToDate>
  <CharactersWithSpaces>16116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lenovo</cp:lastModifiedBy>
  <dcterms:modified xsi:type="dcterms:W3CDTF">2024-01-03T02:14:25Z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91BEB35A6E0B4BB0B590928E17609A9B</vt:lpwstr>
  </property>
</Properties>
</file>