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涞水县审计局随机抽查事项清单</w:t>
      </w:r>
    </w:p>
    <w:tbl>
      <w:tblPr>
        <w:tblStyle w:val="2"/>
        <w:tblW w:w="13395" w:type="dxa"/>
        <w:tblInd w:w="0" w:type="dxa"/>
        <w:tblLayout w:type="fixed"/>
        <w:tblCellMar>
          <w:top w:w="15" w:type="dxa"/>
          <w:left w:w="15" w:type="dxa"/>
          <w:bottom w:w="15" w:type="dxa"/>
          <w:right w:w="15" w:type="dxa"/>
        </w:tblCellMar>
      </w:tblPr>
      <w:tblGrid>
        <w:gridCol w:w="615"/>
        <w:gridCol w:w="1845"/>
        <w:gridCol w:w="3420"/>
        <w:gridCol w:w="1035"/>
        <w:gridCol w:w="1080"/>
        <w:gridCol w:w="1080"/>
        <w:gridCol w:w="1080"/>
        <w:gridCol w:w="1080"/>
        <w:gridCol w:w="1080"/>
        <w:gridCol w:w="1080"/>
      </w:tblGrid>
      <w:tr>
        <w:tblPrEx>
          <w:tblCellMar>
            <w:top w:w="15" w:type="dxa"/>
            <w:left w:w="15" w:type="dxa"/>
            <w:bottom w:w="15" w:type="dxa"/>
            <w:right w:w="15" w:type="dxa"/>
          </w:tblCellMar>
        </w:tblPrEx>
        <w:trPr>
          <w:trHeight w:val="240" w:hRule="atLeast"/>
          <w:tblHeader/>
        </w:trPr>
        <w:tc>
          <w:tcPr>
            <w:tcW w:w="615"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845"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抽查事项名称</w:t>
            </w:r>
          </w:p>
        </w:tc>
        <w:tc>
          <w:tcPr>
            <w:tcW w:w="3420" w:type="dxa"/>
            <w:tcBorders>
              <w:top w:val="single" w:color="000000" w:sz="4" w:space="0"/>
              <w:left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抽查依据</w:t>
            </w:r>
          </w:p>
        </w:tc>
        <w:tc>
          <w:tcPr>
            <w:tcW w:w="1035"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抽查主体</w:t>
            </w:r>
          </w:p>
        </w:tc>
        <w:tc>
          <w:tcPr>
            <w:tcW w:w="1080"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抽查范围</w:t>
            </w:r>
          </w:p>
        </w:tc>
        <w:tc>
          <w:tcPr>
            <w:tcW w:w="1080"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抽查标准</w:t>
            </w:r>
          </w:p>
        </w:tc>
        <w:tc>
          <w:tcPr>
            <w:tcW w:w="1080"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抽查比例</w:t>
            </w:r>
          </w:p>
        </w:tc>
        <w:tc>
          <w:tcPr>
            <w:tcW w:w="1080" w:type="dxa"/>
            <w:tcBorders>
              <w:top w:val="single" w:color="000000" w:sz="4" w:space="0"/>
              <w:left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抽查频率</w:t>
            </w:r>
          </w:p>
        </w:tc>
        <w:tc>
          <w:tcPr>
            <w:tcW w:w="1080" w:type="dxa"/>
            <w:tcBorders>
              <w:top w:val="single" w:color="000000" w:sz="4" w:space="0"/>
              <w:lef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抽查方式</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抽查内容</w:t>
            </w:r>
          </w:p>
        </w:tc>
      </w:tr>
      <w:tr>
        <w:tblPrEx>
          <w:tblCellMar>
            <w:top w:w="15" w:type="dxa"/>
            <w:left w:w="15" w:type="dxa"/>
            <w:bottom w:w="15" w:type="dxa"/>
            <w:right w:w="15" w:type="dxa"/>
          </w:tblCellMar>
        </w:tblPrEx>
        <w:trPr>
          <w:trHeight w:val="652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111</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color w:val="000000"/>
                <w:kern w:val="0"/>
                <w:sz w:val="20"/>
                <w:szCs w:val="20"/>
              </w:rPr>
            </w:pPr>
            <w:r>
              <w:rPr>
                <w:rFonts w:hint="eastAsia" w:ascii="宋体" w:hAnsi="宋体" w:cs="宋体"/>
                <w:color w:val="000000"/>
                <w:kern w:val="0"/>
                <w:sz w:val="20"/>
                <w:szCs w:val="20"/>
              </w:rPr>
              <w:t>对政府投资和以政府投资为主的建设项目的预算执行情况和决算的审计监督</w:t>
            </w: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《中华人民共和国审计法实施条例》(中华人民共和</w:t>
            </w:r>
            <w:r>
              <w:rPr>
                <w:rFonts w:hint="eastAsia" w:ascii="宋体" w:hAnsi="宋体" w:cs="宋体"/>
                <w:color w:val="000000"/>
                <w:kern w:val="0"/>
                <w:sz w:val="20"/>
                <w:szCs w:val="20"/>
                <w:lang w:eastAsia="zh-CN"/>
              </w:rPr>
              <w:t>国</w:t>
            </w:r>
            <w:bookmarkStart w:id="0" w:name="_GoBack"/>
            <w:bookmarkEnd w:id="0"/>
            <w:r>
              <w:rPr>
                <w:rFonts w:hint="eastAsia" w:ascii="宋体" w:hAnsi="宋体" w:cs="宋体"/>
                <w:color w:val="000000"/>
                <w:kern w:val="0"/>
                <w:sz w:val="20"/>
                <w:szCs w:val="20"/>
              </w:rPr>
              <w:t>国务院令第571号) 　第二十条　审计法第二十二条所称政府投资和以政府投资为主的建设项目，包括：（一）全部使用预算内投资资金、专项建设基金、政府举借债务筹措的资金等财政资金的；（二）未全部使用财政资金，财政资金占项目总投资的比例超过50%，或者占项目总投资的比例在50%以下，但政府拥有项目建设、运营实际控制权的。审计机关对前款规定的建设项目的总预算或者概算的执行情况、年度预算的执行情况和年度决算、单项工程结算、项目竣工决算，依法进行审计监督；对前款规定的建设项目进行审计时，可以对直接有关的设计、施工、供货等单位取得建设项目资金的真实性、合法性进行调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县审计局</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列入年度审计项目计划的政府投资审计项目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1.项目所有的审批和征地手续完成。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2.项目验收完成。包括各类工程质量验收、环保验收等，且资料齐全。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3.单项工程结算完成。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4.资金足额到位，债权债务清理完毕。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5.交付使用资产，分配、分摊完成。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6.竣工决算编制完毕。</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1次/年</w:t>
            </w:r>
          </w:p>
        </w:tc>
        <w:tc>
          <w:tcPr>
            <w:tcW w:w="1080" w:type="dxa"/>
            <w:tcBorders>
              <w:top w:val="single" w:color="000000" w:sz="4" w:space="0"/>
              <w:left w:val="single" w:color="000000" w:sz="4" w:space="0"/>
              <w:bottom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审计</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 w:val="20"/>
                <w:szCs w:val="20"/>
              </w:rPr>
            </w:pPr>
            <w:r>
              <w:rPr>
                <w:rFonts w:hint="eastAsia" w:ascii="宋体" w:hAnsi="宋体" w:cs="宋体"/>
                <w:color w:val="000000"/>
                <w:kern w:val="0"/>
                <w:sz w:val="20"/>
                <w:szCs w:val="20"/>
              </w:rPr>
              <w:t>1.项目建设程序审计；2. 项目建设管理审计；3. 项目财务管理及会计核算情况的审计；4.建设资金来源和到位情况审计；5.项目建设成本审计；6.建设项目其他事项审计的内容。</w:t>
            </w:r>
          </w:p>
        </w:tc>
      </w:tr>
    </w:tbl>
    <w:p/>
    <w:p>
      <w:pPr>
        <w:jc w:val="center"/>
        <w:rPr>
          <w:rFonts w:hint="eastAsia"/>
          <w:sz w:val="32"/>
          <w:szCs w:val="32"/>
        </w:rPr>
      </w:pPr>
      <w:r>
        <w:rPr>
          <w:rFonts w:hint="eastAsia"/>
          <w:sz w:val="32"/>
          <w:szCs w:val="32"/>
        </w:rPr>
        <w:t xml:space="preserve">                                                      涞水县审计局</w:t>
      </w:r>
    </w:p>
    <w:p>
      <w:pPr>
        <w:jc w:val="center"/>
      </w:pPr>
      <w:r>
        <w:rPr>
          <w:rFonts w:hint="eastAsia"/>
          <w:sz w:val="32"/>
          <w:szCs w:val="32"/>
        </w:rPr>
        <w:t xml:space="preserve">                                                      2017年5月15日</w:t>
      </w:r>
    </w:p>
    <w:sectPr>
      <w:pgSz w:w="16838" w:h="11906" w:orient="landscape"/>
      <w:pgMar w:top="1474"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44714BA8"/>
    <w:rsid w:val="25FE7937"/>
    <w:rsid w:val="44540EDD"/>
    <w:rsid w:val="44714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2017-08-24T00:57:00Z</dcterms:created>
  <dc:creator>Administrator</dc:creator>
  <cp:lastModifiedBy>八爪小鱼</cp:lastModifiedBy>
  <dcterms:modified xsi:type="dcterms:W3CDTF">2023-12-29T07:23:17Z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24CEF3F93ABA490F949B822F9CCCE834_12</vt:lpwstr>
  </property>
</Properties>
</file>