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90" w:rsidRDefault="003515A9">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t>乡村</w:t>
      </w:r>
      <w:proofErr w:type="gramStart"/>
      <w:r>
        <w:rPr>
          <w:rFonts w:ascii="方正小标宋简体" w:eastAsia="方正小标宋简体" w:hAnsi="方正小标宋简体" w:hint="eastAsia"/>
          <w:sz w:val="36"/>
        </w:rPr>
        <w:t>振兴局</w:t>
      </w:r>
      <w:r w:rsidR="003512CB">
        <w:rPr>
          <w:rFonts w:ascii="方正小标宋简体" w:eastAsia="方正小标宋简体" w:hAnsi="方正小标宋简体" w:hint="eastAsia"/>
          <w:sz w:val="36"/>
        </w:rPr>
        <w:t>权责</w:t>
      </w:r>
      <w:proofErr w:type="gramEnd"/>
      <w:r w:rsidR="003512CB">
        <w:rPr>
          <w:rFonts w:ascii="方正小标宋简体" w:eastAsia="方正小标宋简体" w:hAnsi="方正小标宋简体" w:hint="eastAsia"/>
          <w:sz w:val="36"/>
        </w:rPr>
        <w:t>清单事项分表</w:t>
      </w:r>
    </w:p>
    <w:p w:rsidR="00B33890" w:rsidRDefault="003512CB">
      <w:pPr>
        <w:spacing w:line="600" w:lineRule="exact"/>
        <w:jc w:val="center"/>
        <w:rPr>
          <w:rFonts w:ascii="方正小标宋简体" w:eastAsia="方正小标宋简体" w:hAnsi="方正小标宋简体"/>
          <w:sz w:val="36"/>
        </w:rPr>
      </w:pPr>
      <w:r>
        <w:rPr>
          <w:rFonts w:ascii="楷体_GB2312" w:eastAsia="楷体_GB2312" w:hAnsi="楷体_GB2312" w:hint="eastAsia"/>
        </w:rPr>
        <w:t>（共2类、</w:t>
      </w:r>
      <w:r w:rsidR="000234BB">
        <w:rPr>
          <w:rFonts w:ascii="楷体_GB2312" w:eastAsia="楷体_GB2312" w:hAnsi="楷体_GB2312" w:hint="eastAsia"/>
        </w:rPr>
        <w:t>3</w:t>
      </w:r>
      <w:r>
        <w:rPr>
          <w:rFonts w:ascii="楷体_GB2312" w:eastAsia="楷体_GB2312" w:hAnsi="楷体_GB2312" w:hint="eastAsia"/>
        </w:rPr>
        <w:t>项）</w:t>
      </w:r>
    </w:p>
    <w:p w:rsidR="00B33890" w:rsidRDefault="00B33890">
      <w:pPr>
        <w:spacing w:line="60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02"/>
        <w:gridCol w:w="1247"/>
        <w:gridCol w:w="1247"/>
        <w:gridCol w:w="2075"/>
        <w:gridCol w:w="3560"/>
        <w:gridCol w:w="2411"/>
        <w:gridCol w:w="1263"/>
      </w:tblGrid>
      <w:tr w:rsidR="00B33890">
        <w:trPr>
          <w:trHeight w:val="505"/>
        </w:trPr>
        <w:tc>
          <w:tcPr>
            <w:tcW w:w="735"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序号</w:t>
            </w:r>
          </w:p>
        </w:tc>
        <w:tc>
          <w:tcPr>
            <w:tcW w:w="1202"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权力类型</w:t>
            </w:r>
          </w:p>
        </w:tc>
        <w:tc>
          <w:tcPr>
            <w:tcW w:w="1247"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权力事项</w:t>
            </w:r>
          </w:p>
        </w:tc>
        <w:tc>
          <w:tcPr>
            <w:tcW w:w="1247"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行政主体</w:t>
            </w:r>
          </w:p>
        </w:tc>
        <w:tc>
          <w:tcPr>
            <w:tcW w:w="2075"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实施依据</w:t>
            </w:r>
          </w:p>
        </w:tc>
        <w:tc>
          <w:tcPr>
            <w:tcW w:w="3560"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责任事项</w:t>
            </w:r>
          </w:p>
        </w:tc>
        <w:tc>
          <w:tcPr>
            <w:tcW w:w="2411"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追责情形</w:t>
            </w:r>
          </w:p>
        </w:tc>
        <w:tc>
          <w:tcPr>
            <w:tcW w:w="1263" w:type="dxa"/>
            <w:vAlign w:val="center"/>
          </w:tcPr>
          <w:p w:rsidR="00B33890" w:rsidRDefault="003512CB">
            <w:pPr>
              <w:spacing w:line="400" w:lineRule="exact"/>
              <w:jc w:val="center"/>
              <w:rPr>
                <w:rFonts w:ascii="黑体" w:eastAsia="黑体" w:hAnsi="黑体"/>
                <w:sz w:val="24"/>
              </w:rPr>
            </w:pPr>
            <w:r>
              <w:rPr>
                <w:rFonts w:ascii="黑体" w:eastAsia="黑体" w:hAnsi="黑体" w:hint="eastAsia"/>
                <w:sz w:val="24"/>
              </w:rPr>
              <w:t>备注</w:t>
            </w:r>
          </w:p>
        </w:tc>
      </w:tr>
      <w:tr w:rsidR="00B33890">
        <w:trPr>
          <w:trHeight w:val="5287"/>
        </w:trPr>
        <w:tc>
          <w:tcPr>
            <w:tcW w:w="735"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1</w:t>
            </w:r>
          </w:p>
        </w:tc>
        <w:tc>
          <w:tcPr>
            <w:tcW w:w="1202"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行政给付</w:t>
            </w:r>
          </w:p>
        </w:tc>
        <w:tc>
          <w:tcPr>
            <w:tcW w:w="1247"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为建档立卡贫困户中接受中、高等职业教育，且取得正式全日制学籍的在校生可享受“雨露计划”职业教育给付。</w:t>
            </w:r>
          </w:p>
        </w:tc>
        <w:tc>
          <w:tcPr>
            <w:tcW w:w="1247" w:type="dxa"/>
            <w:vAlign w:val="center"/>
          </w:tcPr>
          <w:p w:rsidR="00B33890" w:rsidRDefault="003515A9">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乡村</w:t>
            </w:r>
            <w:proofErr w:type="gramStart"/>
            <w:r>
              <w:rPr>
                <w:rFonts w:ascii="仿宋_GB2312" w:hAnsi="仿宋_GB2312" w:cs="仿宋_GB2312" w:hint="eastAsia"/>
                <w:sz w:val="21"/>
                <w:szCs w:val="21"/>
              </w:rPr>
              <w:t>振兴局</w:t>
            </w:r>
            <w:proofErr w:type="gramEnd"/>
          </w:p>
        </w:tc>
        <w:tc>
          <w:tcPr>
            <w:tcW w:w="2075" w:type="dxa"/>
            <w:vAlign w:val="center"/>
          </w:tcPr>
          <w:p w:rsidR="00B33890" w:rsidRDefault="003512CB">
            <w:p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河北省扶贫开发办公室 河北省人力资源和社会保障厅 河北省教育厅《关于进一步规范雨露计划职业教育补助促进贫困家庭毕业生就业的通知》</w:t>
            </w:r>
            <w:proofErr w:type="gramStart"/>
            <w:r>
              <w:rPr>
                <w:rFonts w:ascii="仿宋_GB2312" w:hAnsi="仿宋_GB2312" w:cs="仿宋_GB2312" w:hint="eastAsia"/>
                <w:sz w:val="21"/>
                <w:szCs w:val="21"/>
              </w:rPr>
              <w:t>冀扶办</w:t>
            </w:r>
            <w:proofErr w:type="gramEnd"/>
            <w:r>
              <w:rPr>
                <w:rFonts w:ascii="仿宋_GB2312" w:hAnsi="仿宋_GB2312" w:cs="仿宋_GB2312" w:hint="eastAsia"/>
                <w:sz w:val="21"/>
                <w:szCs w:val="21"/>
              </w:rPr>
              <w:t>联【2020】9号文件。</w:t>
            </w:r>
          </w:p>
        </w:tc>
        <w:tc>
          <w:tcPr>
            <w:tcW w:w="3560" w:type="dxa"/>
            <w:vAlign w:val="center"/>
          </w:tcPr>
          <w:p w:rsidR="00B33890" w:rsidRDefault="003512CB">
            <w:p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1、逐人审核。县扶贫部门要从“全国扶贫开发信息系统”内将标注学生信息导出后，提供同级教育部门、</w:t>
            </w:r>
            <w:proofErr w:type="gramStart"/>
            <w:r>
              <w:rPr>
                <w:rFonts w:ascii="仿宋_GB2312" w:hAnsi="仿宋_GB2312" w:cs="仿宋_GB2312" w:hint="eastAsia"/>
                <w:sz w:val="21"/>
                <w:szCs w:val="21"/>
              </w:rPr>
              <w:t>人社部门</w:t>
            </w:r>
            <w:proofErr w:type="gramEnd"/>
            <w:r>
              <w:rPr>
                <w:rFonts w:ascii="仿宋_GB2312" w:hAnsi="仿宋_GB2312" w:cs="仿宋_GB2312" w:hint="eastAsia"/>
                <w:sz w:val="21"/>
                <w:szCs w:val="21"/>
              </w:rPr>
              <w:t>对逐人进行信息审核，对重复标注的人员，根据实际情况进行人工校正；2、公示监督。县级扶贫部门负责将补助人员名单在其家庭所在行政村村委会、乡镇、县政府信息公开平台公示，公示期7天。对群众举报的不符合条件的补助对象，由县扶贫部门进行核实。3、资金拨付。公示期满后，县级扶贫部门按照财政部门下达的授权支付额度向代理银行开具授权支付指令，将补助资金及时拨付</w:t>
            </w:r>
            <w:proofErr w:type="gramStart"/>
            <w:r>
              <w:rPr>
                <w:rFonts w:ascii="仿宋_GB2312" w:hAnsi="仿宋_GB2312" w:cs="仿宋_GB2312" w:hint="eastAsia"/>
                <w:sz w:val="21"/>
                <w:szCs w:val="21"/>
              </w:rPr>
              <w:t>至学生</w:t>
            </w:r>
            <w:proofErr w:type="gramEnd"/>
            <w:r>
              <w:rPr>
                <w:rFonts w:ascii="仿宋_GB2312" w:hAnsi="仿宋_GB2312" w:cs="仿宋_GB2312" w:hint="eastAsia"/>
                <w:sz w:val="21"/>
                <w:szCs w:val="21"/>
              </w:rPr>
              <w:t>家庭支农惠农“一卡（折）通”中；4、关联受益户。资金拨付后，由县级扶贫部门及时将受益贫困户相关数据，录入</w:t>
            </w:r>
            <w:proofErr w:type="gramStart"/>
            <w:r>
              <w:rPr>
                <w:rFonts w:ascii="仿宋_GB2312" w:hAnsi="仿宋_GB2312" w:cs="仿宋_GB2312" w:hint="eastAsia"/>
                <w:sz w:val="21"/>
                <w:szCs w:val="21"/>
              </w:rPr>
              <w:t>“</w:t>
            </w:r>
            <w:proofErr w:type="gramEnd"/>
            <w:r>
              <w:rPr>
                <w:rFonts w:ascii="仿宋_GB2312" w:hAnsi="仿宋_GB2312" w:cs="仿宋_GB2312" w:hint="eastAsia"/>
                <w:sz w:val="21"/>
                <w:szCs w:val="21"/>
              </w:rPr>
              <w:t>全国扶贫开发信息系统“。</w:t>
            </w:r>
          </w:p>
        </w:tc>
        <w:tc>
          <w:tcPr>
            <w:tcW w:w="2411" w:type="dxa"/>
            <w:vAlign w:val="center"/>
          </w:tcPr>
          <w:p w:rsidR="000234BB" w:rsidRDefault="003512CB" w:rsidP="000234BB">
            <w:pPr>
              <w:widowControl/>
              <w:jc w:val="left"/>
              <w:textAlignment w:val="center"/>
              <w:rPr>
                <w:rFonts w:ascii="宋体" w:eastAsia="宋体" w:hAnsi="宋体" w:cs="宋体"/>
                <w:color w:val="000000" w:themeColor="text1"/>
                <w:kern w:val="0"/>
                <w:sz w:val="18"/>
                <w:szCs w:val="18"/>
                <w:lang w:bidi="ar"/>
              </w:rPr>
            </w:pPr>
            <w:r>
              <w:rPr>
                <w:rFonts w:ascii="仿宋_GB2312" w:hAnsi="仿宋_GB2312" w:cs="仿宋_GB2312" w:hint="eastAsia"/>
                <w:sz w:val="21"/>
                <w:szCs w:val="21"/>
              </w:rPr>
              <w:t>对符合补助条件未发放补助的给予行政处理，要做到应补尽补。</w:t>
            </w:r>
            <w:r w:rsidR="000234BB">
              <w:rPr>
                <w:rFonts w:ascii="宋体" w:eastAsia="宋体" w:hAnsi="宋体" w:cs="宋体" w:hint="eastAsia"/>
                <w:color w:val="000000" w:themeColor="text1"/>
                <w:kern w:val="0"/>
                <w:sz w:val="18"/>
                <w:szCs w:val="18"/>
                <w:lang w:bidi="ar"/>
              </w:rPr>
              <w:t>因不履行或不正确履行行政职责，有下列情形的，行政机关及相关工作人员应承担相应责任：</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对符合条件不予手里的；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违反规定办理的；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未按照规定班里的；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侵犯当事人权益的；</w:t>
            </w:r>
          </w:p>
          <w:p w:rsidR="00B33890" w:rsidRDefault="000234BB" w:rsidP="000234BB">
            <w:pPr>
              <w:tabs>
                <w:tab w:val="left" w:pos="7937"/>
              </w:tabs>
              <w:spacing w:line="260" w:lineRule="exact"/>
              <w:rPr>
                <w:rFonts w:ascii="仿宋_GB2312" w:hAnsi="仿宋_GB2312" w:cs="仿宋_GB2312"/>
                <w:sz w:val="21"/>
                <w:szCs w:val="21"/>
              </w:rPr>
            </w:pPr>
            <w:r>
              <w:rPr>
                <w:rFonts w:ascii="宋体" w:eastAsia="宋体" w:hAnsi="宋体" w:cs="宋体" w:hint="eastAsia"/>
                <w:color w:val="000000" w:themeColor="text1"/>
                <w:kern w:val="0"/>
                <w:sz w:val="18"/>
                <w:szCs w:val="18"/>
                <w:lang w:bidi="ar"/>
              </w:rPr>
              <w:t>5、其他法律法规规章文件规定应履行的责任。</w:t>
            </w:r>
          </w:p>
          <w:p w:rsidR="00B33890" w:rsidRDefault="00B33890">
            <w:pPr>
              <w:tabs>
                <w:tab w:val="left" w:pos="7937"/>
              </w:tabs>
              <w:spacing w:line="260" w:lineRule="exact"/>
              <w:rPr>
                <w:rFonts w:ascii="仿宋_GB2312" w:hAnsi="仿宋_GB2312" w:cs="仿宋_GB2312"/>
                <w:sz w:val="21"/>
                <w:szCs w:val="21"/>
              </w:rPr>
            </w:pPr>
          </w:p>
        </w:tc>
        <w:tc>
          <w:tcPr>
            <w:tcW w:w="1263" w:type="dxa"/>
            <w:vAlign w:val="center"/>
          </w:tcPr>
          <w:p w:rsidR="00B33890" w:rsidRDefault="00B33890">
            <w:pPr>
              <w:spacing w:line="400" w:lineRule="exact"/>
              <w:jc w:val="center"/>
              <w:rPr>
                <w:rFonts w:ascii="仿宋_GB2312" w:hAnsi="仿宋_GB2312" w:cs="仿宋_GB2312"/>
                <w:sz w:val="21"/>
                <w:szCs w:val="21"/>
              </w:rPr>
            </w:pPr>
          </w:p>
        </w:tc>
      </w:tr>
      <w:tr w:rsidR="00B33890">
        <w:trPr>
          <w:trHeight w:val="8007"/>
        </w:trPr>
        <w:tc>
          <w:tcPr>
            <w:tcW w:w="735"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lastRenderedPageBreak/>
              <w:t>2</w:t>
            </w:r>
          </w:p>
        </w:tc>
        <w:tc>
          <w:tcPr>
            <w:tcW w:w="1202"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行政给付</w:t>
            </w:r>
          </w:p>
        </w:tc>
        <w:tc>
          <w:tcPr>
            <w:tcW w:w="1247"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为建档立卡贫困户扶贫小额信贷资金贴息给付</w:t>
            </w:r>
          </w:p>
        </w:tc>
        <w:tc>
          <w:tcPr>
            <w:tcW w:w="1247" w:type="dxa"/>
            <w:vAlign w:val="center"/>
          </w:tcPr>
          <w:p w:rsidR="00B33890" w:rsidRDefault="003515A9">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乡村</w:t>
            </w:r>
            <w:proofErr w:type="gramStart"/>
            <w:r>
              <w:rPr>
                <w:rFonts w:ascii="仿宋_GB2312" w:hAnsi="仿宋_GB2312" w:cs="仿宋_GB2312" w:hint="eastAsia"/>
                <w:sz w:val="21"/>
                <w:szCs w:val="21"/>
              </w:rPr>
              <w:t>振兴局</w:t>
            </w:r>
            <w:proofErr w:type="gramEnd"/>
          </w:p>
        </w:tc>
        <w:tc>
          <w:tcPr>
            <w:tcW w:w="2075" w:type="dxa"/>
            <w:vAlign w:val="center"/>
          </w:tcPr>
          <w:p w:rsidR="00B33890" w:rsidRDefault="003512CB">
            <w:p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 xml:space="preserve">涞水县人民政府办公室《关于印发涞水县扶贫贷款贴息资金管理办法（试行）的通知》（【2018】57号）                                                                                                                                                                                                                                                                                                                                                                                                                                                                                                                                                                                                                                                                                                                                                      </w:t>
            </w:r>
          </w:p>
        </w:tc>
        <w:tc>
          <w:tcPr>
            <w:tcW w:w="3560" w:type="dxa"/>
            <w:vAlign w:val="center"/>
          </w:tcPr>
          <w:p w:rsidR="00B33890" w:rsidRDefault="003512CB">
            <w:pPr>
              <w:numPr>
                <w:ilvl w:val="0"/>
                <w:numId w:val="1"/>
              </w:num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扶贫贷款贴息的对象为建档立卡贫困户和已脱贫享受政策户、带动贫困户增收的农民专业合作组织和扶贫龙头企业。</w:t>
            </w:r>
          </w:p>
          <w:p w:rsidR="00B33890" w:rsidRDefault="003512CB">
            <w:pPr>
              <w:numPr>
                <w:ilvl w:val="0"/>
                <w:numId w:val="1"/>
              </w:num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符合贴息的贷款在县金融扶贫工作领导小组审核通过后在当地进行七天以上公告公示。公告公示无异议后再报县财政部门。县财政部门按照县金融扶贫工作领导小组审定的贷款单位（户）名单及贴息资金额度和财政部国库管理有关要求，在10个工作日内完成贴息资金支出。</w:t>
            </w:r>
          </w:p>
        </w:tc>
        <w:tc>
          <w:tcPr>
            <w:tcW w:w="2411" w:type="dxa"/>
            <w:vAlign w:val="center"/>
          </w:tcPr>
          <w:p w:rsidR="000234BB" w:rsidRDefault="003512CB" w:rsidP="000234BB">
            <w:pPr>
              <w:widowControl/>
              <w:jc w:val="left"/>
              <w:textAlignment w:val="center"/>
              <w:rPr>
                <w:rFonts w:ascii="宋体" w:eastAsia="宋体" w:hAnsi="宋体" w:cs="宋体"/>
                <w:color w:val="000000" w:themeColor="text1"/>
                <w:kern w:val="0"/>
                <w:sz w:val="18"/>
                <w:szCs w:val="18"/>
                <w:lang w:bidi="ar"/>
              </w:rPr>
            </w:pPr>
            <w:r>
              <w:rPr>
                <w:rFonts w:ascii="仿宋_GB2312" w:hAnsi="仿宋_GB2312" w:cs="仿宋_GB2312" w:hint="eastAsia"/>
                <w:sz w:val="21"/>
                <w:szCs w:val="21"/>
              </w:rPr>
              <w:t>贴息资金要专款专用。对违反规定骗取、截留、挤占、挪用资金的行为，依照《财政违法行为处罚处分条例》（国务院令第427号）进行处理。</w:t>
            </w:r>
            <w:r w:rsidR="000234BB">
              <w:rPr>
                <w:rFonts w:ascii="宋体" w:eastAsia="宋体" w:hAnsi="宋体" w:cs="宋体" w:hint="eastAsia"/>
                <w:color w:val="000000" w:themeColor="text1"/>
                <w:kern w:val="0"/>
                <w:sz w:val="18"/>
                <w:szCs w:val="18"/>
                <w:lang w:bidi="ar"/>
              </w:rPr>
              <w:t>因不履行或不正确履行行政职责，有下列情形的，行政机关及相关工作人员应承担相应责任：</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对符合条件不予手里的；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违反规定办理的；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未按照规定班里的；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侵犯当事人权益的；</w:t>
            </w:r>
          </w:p>
          <w:p w:rsidR="00B33890" w:rsidRDefault="000234BB" w:rsidP="000234BB">
            <w:pPr>
              <w:tabs>
                <w:tab w:val="left" w:pos="7937"/>
              </w:tabs>
              <w:spacing w:line="260" w:lineRule="exact"/>
              <w:rPr>
                <w:rFonts w:ascii="仿宋_GB2312" w:hAnsi="仿宋_GB2312" w:cs="仿宋_GB2312"/>
                <w:sz w:val="21"/>
                <w:szCs w:val="21"/>
              </w:rPr>
            </w:pPr>
            <w:r>
              <w:rPr>
                <w:rFonts w:ascii="宋体" w:eastAsia="宋体" w:hAnsi="宋体" w:cs="宋体" w:hint="eastAsia"/>
                <w:color w:val="000000" w:themeColor="text1"/>
                <w:kern w:val="0"/>
                <w:sz w:val="18"/>
                <w:szCs w:val="18"/>
                <w:lang w:bidi="ar"/>
              </w:rPr>
              <w:t>5、其他法律法规规章文件规定应履行的责任。</w:t>
            </w:r>
          </w:p>
        </w:tc>
        <w:tc>
          <w:tcPr>
            <w:tcW w:w="1263" w:type="dxa"/>
            <w:vAlign w:val="center"/>
          </w:tcPr>
          <w:p w:rsidR="00B33890" w:rsidRDefault="00B33890">
            <w:pPr>
              <w:spacing w:line="400" w:lineRule="exact"/>
              <w:jc w:val="center"/>
              <w:rPr>
                <w:rFonts w:ascii="仿宋_GB2312" w:hAnsi="仿宋_GB2312" w:cs="仿宋_GB2312"/>
                <w:sz w:val="21"/>
                <w:szCs w:val="21"/>
              </w:rPr>
            </w:pPr>
          </w:p>
        </w:tc>
      </w:tr>
      <w:tr w:rsidR="00B33890">
        <w:trPr>
          <w:trHeight w:val="8082"/>
        </w:trPr>
        <w:tc>
          <w:tcPr>
            <w:tcW w:w="735"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lastRenderedPageBreak/>
              <w:t>3</w:t>
            </w:r>
          </w:p>
        </w:tc>
        <w:tc>
          <w:tcPr>
            <w:tcW w:w="1202" w:type="dxa"/>
            <w:vAlign w:val="center"/>
          </w:tcPr>
          <w:p w:rsidR="00B33890" w:rsidRDefault="003512CB">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行政确认</w:t>
            </w:r>
          </w:p>
        </w:tc>
        <w:tc>
          <w:tcPr>
            <w:tcW w:w="1247" w:type="dxa"/>
            <w:vAlign w:val="center"/>
          </w:tcPr>
          <w:p w:rsidR="00B33890" w:rsidRDefault="003512CB">
            <w:pPr>
              <w:tabs>
                <w:tab w:val="left" w:pos="7937"/>
              </w:tabs>
              <w:spacing w:line="260" w:lineRule="exact"/>
              <w:rPr>
                <w:rFonts w:ascii="仿宋_GB2312" w:hAnsi="仿宋_GB2312" w:cs="仿宋_GB2312"/>
                <w:sz w:val="21"/>
                <w:szCs w:val="21"/>
              </w:rPr>
            </w:pPr>
            <w:proofErr w:type="gramStart"/>
            <w:r>
              <w:rPr>
                <w:rFonts w:ascii="仿宋_GB2312" w:hAnsi="仿宋_GB2312" w:cs="仿宋_GB2312" w:hint="eastAsia"/>
                <w:sz w:val="21"/>
                <w:szCs w:val="21"/>
              </w:rPr>
              <w:t>防贫监测</w:t>
            </w:r>
            <w:proofErr w:type="gramEnd"/>
            <w:r>
              <w:rPr>
                <w:rFonts w:ascii="仿宋_GB2312" w:hAnsi="仿宋_GB2312" w:cs="仿宋_GB2312" w:hint="eastAsia"/>
                <w:sz w:val="21"/>
                <w:szCs w:val="21"/>
              </w:rPr>
              <w:t>对象认定</w:t>
            </w:r>
          </w:p>
        </w:tc>
        <w:tc>
          <w:tcPr>
            <w:tcW w:w="1247" w:type="dxa"/>
            <w:vAlign w:val="center"/>
          </w:tcPr>
          <w:p w:rsidR="00B33890" w:rsidRDefault="003515A9">
            <w:pPr>
              <w:tabs>
                <w:tab w:val="left" w:pos="7937"/>
              </w:tabs>
              <w:spacing w:line="260" w:lineRule="exact"/>
              <w:jc w:val="center"/>
              <w:rPr>
                <w:rFonts w:ascii="仿宋_GB2312" w:hAnsi="仿宋_GB2312" w:cs="仿宋_GB2312"/>
                <w:sz w:val="21"/>
                <w:szCs w:val="21"/>
              </w:rPr>
            </w:pPr>
            <w:r>
              <w:rPr>
                <w:rFonts w:ascii="仿宋_GB2312" w:hAnsi="仿宋_GB2312" w:cs="仿宋_GB2312" w:hint="eastAsia"/>
                <w:sz w:val="21"/>
                <w:szCs w:val="21"/>
              </w:rPr>
              <w:t>乡村振兴局</w:t>
            </w:r>
            <w:bookmarkStart w:id="0" w:name="_GoBack"/>
            <w:bookmarkEnd w:id="0"/>
          </w:p>
        </w:tc>
        <w:tc>
          <w:tcPr>
            <w:tcW w:w="2075" w:type="dxa"/>
            <w:vAlign w:val="center"/>
          </w:tcPr>
          <w:p w:rsidR="00B33890" w:rsidRDefault="003512CB">
            <w:p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《河北省防贫监测和帮扶工作实施办法》（</w:t>
            </w:r>
            <w:proofErr w:type="gramStart"/>
            <w:r>
              <w:rPr>
                <w:rFonts w:ascii="仿宋_GB2312" w:hAnsi="仿宋_GB2312" w:cs="仿宋_GB2312" w:hint="eastAsia"/>
                <w:sz w:val="21"/>
                <w:szCs w:val="21"/>
              </w:rPr>
              <w:t>冀扶贫</w:t>
            </w:r>
            <w:proofErr w:type="gramEnd"/>
            <w:r>
              <w:rPr>
                <w:rFonts w:ascii="仿宋_GB2312" w:hAnsi="仿宋_GB2312" w:cs="仿宋_GB2312" w:hint="eastAsia"/>
                <w:sz w:val="21"/>
                <w:szCs w:val="21"/>
              </w:rPr>
              <w:t>脱贫〔2020〕9号）</w:t>
            </w:r>
          </w:p>
        </w:tc>
        <w:tc>
          <w:tcPr>
            <w:tcW w:w="3560" w:type="dxa"/>
            <w:vAlign w:val="center"/>
          </w:tcPr>
          <w:p w:rsidR="00B33890" w:rsidRDefault="003512CB">
            <w:pPr>
              <w:tabs>
                <w:tab w:val="left" w:pos="7937"/>
              </w:tabs>
              <w:spacing w:line="240" w:lineRule="exact"/>
              <w:rPr>
                <w:rFonts w:ascii="仿宋_GB2312" w:hAnsi="仿宋_GB2312" w:cs="仿宋_GB2312"/>
                <w:sz w:val="21"/>
                <w:szCs w:val="21"/>
              </w:rPr>
            </w:pPr>
            <w:r>
              <w:rPr>
                <w:rFonts w:ascii="仿宋_GB2312" w:hAnsi="仿宋_GB2312" w:cs="仿宋_GB2312" w:hint="eastAsia"/>
                <w:sz w:val="21"/>
                <w:szCs w:val="21"/>
              </w:rPr>
              <w:t>1、认定标准：人均可支配收入低于当年度国家扶贫标准1.5倍左右（以2020年5000元为参考）的家庭，以及因病、因残、因病、因灾、因新冠肺炎疫情影响等，刚性支出明显超过上年度收入和收入大幅缩减影响基本生活的家庭。</w:t>
            </w:r>
          </w:p>
          <w:p w:rsidR="00B33890" w:rsidRDefault="003512CB">
            <w:pPr>
              <w:tabs>
                <w:tab w:val="left" w:pos="7937"/>
              </w:tabs>
              <w:spacing w:line="240" w:lineRule="exact"/>
              <w:rPr>
                <w:rFonts w:ascii="仿宋_GB2312" w:hAnsi="仿宋_GB2312" w:cs="仿宋_GB2312"/>
                <w:sz w:val="21"/>
                <w:szCs w:val="21"/>
              </w:rPr>
            </w:pPr>
            <w:r>
              <w:rPr>
                <w:rFonts w:ascii="仿宋_GB2312" w:hAnsi="仿宋_GB2312" w:cs="仿宋_GB2312" w:hint="eastAsia"/>
                <w:sz w:val="21"/>
                <w:szCs w:val="21"/>
              </w:rPr>
              <w:t>2、认定程序：（1）入户核查。（2）村级评议及公示。（3）乡镇审核及公示。（4）县级比对。（5）录入系统。</w:t>
            </w:r>
          </w:p>
        </w:tc>
        <w:tc>
          <w:tcPr>
            <w:tcW w:w="2411" w:type="dxa"/>
            <w:vAlign w:val="center"/>
          </w:tcPr>
          <w:p w:rsidR="00B33890" w:rsidRDefault="003512CB">
            <w:pPr>
              <w:tabs>
                <w:tab w:val="left" w:pos="7937"/>
              </w:tabs>
              <w:spacing w:line="260" w:lineRule="exact"/>
              <w:rPr>
                <w:rFonts w:ascii="仿宋_GB2312" w:hAnsi="仿宋_GB2312" w:cs="仿宋_GB2312"/>
                <w:sz w:val="21"/>
                <w:szCs w:val="21"/>
              </w:rPr>
            </w:pPr>
            <w:r>
              <w:rPr>
                <w:rFonts w:ascii="仿宋_GB2312" w:hAnsi="仿宋_GB2312" w:cs="仿宋_GB2312" w:hint="eastAsia"/>
                <w:sz w:val="21"/>
                <w:szCs w:val="21"/>
              </w:rPr>
              <w:t>因不履行或不正确履行行政职责，有下列情形的，行政机关及相关工作人员应承担相应责任：</w:t>
            </w:r>
          </w:p>
          <w:p w:rsidR="000234BB" w:rsidRDefault="000234BB" w:rsidP="000234BB">
            <w:pPr>
              <w:widowControl/>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因不履行或不正确履行行政职责，有下列情形的，行政机关及相关工作人员应承担相应责任：</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对符合条件不予手里的；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违反规定办理的；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未按照规定班里的；</w:t>
            </w:r>
          </w:p>
          <w:p w:rsidR="000234BB" w:rsidRDefault="000234BB" w:rsidP="000234BB">
            <w:pPr>
              <w:widowControl/>
              <w:numPr>
                <w:ilvl w:val="0"/>
                <w:numId w:val="2"/>
              </w:numPr>
              <w:jc w:val="left"/>
              <w:textAlignment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侵犯当事人权益的；</w:t>
            </w:r>
          </w:p>
          <w:p w:rsidR="00B33890" w:rsidRDefault="000234BB" w:rsidP="000234BB">
            <w:pPr>
              <w:tabs>
                <w:tab w:val="left" w:pos="7937"/>
              </w:tabs>
              <w:spacing w:line="260" w:lineRule="exact"/>
              <w:rPr>
                <w:rFonts w:ascii="仿宋_GB2312" w:hAnsi="仿宋_GB2312" w:cs="仿宋_GB2312"/>
                <w:sz w:val="21"/>
                <w:szCs w:val="21"/>
              </w:rPr>
            </w:pPr>
            <w:r>
              <w:rPr>
                <w:rFonts w:ascii="宋体" w:eastAsia="宋体" w:hAnsi="宋体" w:cs="宋体" w:hint="eastAsia"/>
                <w:color w:val="000000" w:themeColor="text1"/>
                <w:kern w:val="0"/>
                <w:sz w:val="18"/>
                <w:szCs w:val="18"/>
                <w:lang w:bidi="ar"/>
              </w:rPr>
              <w:t>5、其他法律法规规章文件规定应履行的责任。</w:t>
            </w:r>
          </w:p>
        </w:tc>
        <w:tc>
          <w:tcPr>
            <w:tcW w:w="1263" w:type="dxa"/>
            <w:vAlign w:val="center"/>
          </w:tcPr>
          <w:p w:rsidR="00B33890" w:rsidRDefault="00B33890">
            <w:pPr>
              <w:spacing w:line="400" w:lineRule="exact"/>
              <w:jc w:val="center"/>
              <w:rPr>
                <w:rFonts w:ascii="仿宋_GB2312" w:hAnsi="仿宋_GB2312" w:cs="仿宋_GB2312"/>
                <w:sz w:val="21"/>
                <w:szCs w:val="21"/>
              </w:rPr>
            </w:pPr>
          </w:p>
        </w:tc>
      </w:tr>
    </w:tbl>
    <w:p w:rsidR="00B33890" w:rsidRPr="000234BB" w:rsidRDefault="00B33890">
      <w:pPr>
        <w:rPr>
          <w:rFonts w:ascii="仿宋_GB2312" w:hAnsi="仿宋_GB2312" w:cs="仿宋_GB2312"/>
          <w:sz w:val="21"/>
          <w:szCs w:val="21"/>
        </w:rPr>
      </w:pPr>
    </w:p>
    <w:sectPr w:rsidR="00B33890" w:rsidRPr="000234BB">
      <w:pgSz w:w="16838" w:h="11906" w:orient="landscape"/>
      <w:pgMar w:top="1800" w:right="1361"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5C6A"/>
    <w:multiLevelType w:val="singleLevel"/>
    <w:tmpl w:val="0BBB5C6A"/>
    <w:lvl w:ilvl="0">
      <w:start w:val="1"/>
      <w:numFmt w:val="decimal"/>
      <w:suff w:val="nothing"/>
      <w:lvlText w:val="%1、"/>
      <w:lvlJc w:val="left"/>
    </w:lvl>
  </w:abstractNum>
  <w:abstractNum w:abstractNumId="1">
    <w:nsid w:val="7014F426"/>
    <w:multiLevelType w:val="singleLevel"/>
    <w:tmpl w:val="7014F426"/>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9445C"/>
    <w:rsid w:val="000234BB"/>
    <w:rsid w:val="003512CB"/>
    <w:rsid w:val="003515A9"/>
    <w:rsid w:val="00B33890"/>
    <w:rsid w:val="0E5817EB"/>
    <w:rsid w:val="1FF01175"/>
    <w:rsid w:val="33E31235"/>
    <w:rsid w:val="590A001D"/>
    <w:rsid w:val="5979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1835</Characters>
  <Application>Microsoft Office Word</Application>
  <DocSecurity>0</DocSecurity>
  <Lines>15</Lines>
  <Paragraphs>4</Paragraphs>
  <ScaleCrop>false</ScaleCrop>
  <Company>Microsoft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lenovo1234</dc:creator>
  <cp:lastModifiedBy>admin</cp:lastModifiedBy>
  <cp:revision>6</cp:revision>
  <cp:lastPrinted>2021-02-26T07:53:00Z</cp:lastPrinted>
  <dcterms:created xsi:type="dcterms:W3CDTF">2021-01-12T04:07:00Z</dcterms:created>
  <dcterms:modified xsi:type="dcterms:W3CDTF">2023-08-15T07:26:00Z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