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15"/>
        <w:gridCol w:w="2205"/>
        <w:gridCol w:w="2194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74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执法部门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执法主体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行政许可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行政处罚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行政强制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行政征用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涞水县财政局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eastAsia="zh-CN"/>
              </w:rPr>
              <w:t>涞水县财政局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default" w:ascii="Arial" w:hAnsi="Arial" w:cs="Arial" w:eastAsiaTheme="minorEastAsia"/>
                <w:sz w:val="32"/>
                <w:szCs w:val="32"/>
                <w:vertAlign w:val="baseline"/>
              </w:rPr>
              <w:t>√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default" w:ascii="Arial" w:hAnsi="Arial" w:cs="Arial" w:eastAsiaTheme="minorEastAsia"/>
                <w:sz w:val="32"/>
                <w:szCs w:val="32"/>
                <w:vertAlign w:val="baseline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14D50"/>
    <w:rsid w:val="63B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2023-12-06T03:51:55Z</dcterms:created>
  <dc:creator>Administrator</dc:creator>
  <cp:lastModifiedBy>Administrator</cp:lastModifiedBy>
  <dcterms:modified xsi:type="dcterms:W3CDTF">2023-12-06T04:10:06Z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