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涞水县永阳镇人民政府</w:t>
      </w:r>
    </w:p>
    <w:p>
      <w:pPr>
        <w:spacing w:line="52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2020年预算公开有关事项的说明</w:t>
      </w:r>
    </w:p>
    <w:p>
      <w:pPr>
        <w:spacing w:line="520" w:lineRule="exact"/>
        <w:jc w:val="center"/>
        <w:rPr>
          <w:rFonts w:hint="eastAsia" w:asciiTheme="majorEastAsia" w:hAnsiTheme="majorEastAsia" w:eastAsiaTheme="majorEastAsia"/>
          <w:b/>
          <w:sz w:val="44"/>
          <w:szCs w:val="44"/>
        </w:rPr>
      </w:pPr>
    </w:p>
    <w:p>
      <w:pPr>
        <w:keepNext w:val="0"/>
        <w:keepLines w:val="0"/>
        <w:pageBreakBefore w:val="0"/>
        <w:kinsoku/>
        <w:wordWrap/>
        <w:overflowPunct/>
        <w:topLinePunct w:val="0"/>
        <w:autoSpaceDE/>
        <w:autoSpaceDN/>
        <w:bidi w:val="0"/>
        <w:adjustRightInd/>
        <w:spacing w:line="560" w:lineRule="exact"/>
        <w:ind w:left="0" w:leftChars="0" w:right="0" w:rightChars="0" w:firstLine="576"/>
        <w:textAlignment w:val="auto"/>
        <w:outlineLvl w:val="9"/>
        <w:rPr>
          <w:rFonts w:asciiTheme="minorEastAsia" w:hAnsiTheme="minorEastAsia" w:eastAsiaTheme="minorEastAsia"/>
          <w:sz w:val="30"/>
          <w:szCs w:val="30"/>
        </w:rPr>
      </w:pPr>
      <w:r>
        <w:rPr>
          <w:rFonts w:hint="eastAsia" w:asciiTheme="minorEastAsia" w:hAnsiTheme="minorEastAsia" w:eastAsiaTheme="minorEastAsia"/>
          <w:sz w:val="30"/>
          <w:szCs w:val="30"/>
        </w:rPr>
        <w:t>按照《</w:t>
      </w:r>
      <w:r>
        <w:rPr>
          <w:rFonts w:hint="eastAsia" w:asciiTheme="minorEastAsia" w:hAnsiTheme="minorEastAsia" w:eastAsiaTheme="minorEastAsia"/>
          <w:sz w:val="30"/>
          <w:szCs w:val="30"/>
          <w:lang w:val="en-US" w:eastAsia="zh-CN"/>
        </w:rPr>
        <w:t>中华人民共和国</w:t>
      </w:r>
      <w:r>
        <w:rPr>
          <w:rFonts w:hint="eastAsia" w:asciiTheme="minorEastAsia" w:hAnsiTheme="minorEastAsia" w:eastAsiaTheme="minorEastAsia"/>
          <w:sz w:val="30"/>
          <w:szCs w:val="30"/>
        </w:rPr>
        <w:t>预算法》、《地方预决算公开操作规程》和《河北省省级预算公开办法》规定，现将涞水县永阳镇2020年部门预算公开如下：</w:t>
      </w: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outlineLvl w:val="9"/>
        <w:rPr>
          <w:rFonts w:asciiTheme="minorEastAsia" w:hAnsiTheme="minorEastAsia" w:eastAsiaTheme="minorEastAsia"/>
          <w:sz w:val="32"/>
          <w:szCs w:val="32"/>
        </w:rPr>
      </w:pPr>
      <w:r>
        <w:rPr>
          <w:rFonts w:hint="eastAsia" w:asciiTheme="minorEastAsia" w:hAnsiTheme="minorEastAsia" w:eastAsiaTheme="minorEastAsia"/>
          <w:b/>
          <w:bCs/>
          <w:sz w:val="32"/>
          <w:szCs w:val="32"/>
        </w:rPr>
        <w:t>一、部门职责及机构设置情况</w:t>
      </w:r>
    </w:p>
    <w:p>
      <w:pPr>
        <w:keepNext w:val="0"/>
        <w:keepLines w:val="0"/>
        <w:pageBreakBefore w:val="0"/>
        <w:kinsoku/>
        <w:wordWrap/>
        <w:overflowPunct/>
        <w:topLinePunct w:val="0"/>
        <w:autoSpaceDE/>
        <w:autoSpaceDN/>
        <w:bidi w:val="0"/>
        <w:adjustRightInd/>
        <w:spacing w:line="560" w:lineRule="exact"/>
        <w:ind w:left="0" w:leftChars="0" w:right="0" w:rightChars="0" w:firstLine="576"/>
        <w:textAlignment w:val="auto"/>
        <w:outlineLvl w:val="9"/>
        <w:rPr>
          <w:rFonts w:asciiTheme="minorEastAsia" w:hAnsiTheme="minorEastAsia" w:eastAsiaTheme="minorEastAsia"/>
          <w:sz w:val="30"/>
          <w:szCs w:val="30"/>
        </w:rPr>
      </w:pPr>
      <w:r>
        <w:rPr>
          <w:rFonts w:hint="eastAsia" w:asciiTheme="minorEastAsia" w:hAnsiTheme="minorEastAsia" w:eastAsiaTheme="minorEastAsia"/>
          <w:sz w:val="30"/>
          <w:szCs w:val="30"/>
        </w:rPr>
        <w:t>我部门编制人数26个，行政编制数26个，事业编制数2个。实有在职人员29人，退休人员11人。</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00" w:firstLineChars="200"/>
        <w:textAlignment w:val="auto"/>
        <w:outlineLvl w:val="9"/>
        <w:rPr>
          <w:rFonts w:asciiTheme="minorEastAsia" w:hAnsiTheme="minorEastAsia" w:eastAsiaTheme="minorEastAsia"/>
          <w:sz w:val="30"/>
          <w:szCs w:val="30"/>
        </w:rPr>
      </w:pPr>
      <w:r>
        <w:rPr>
          <w:rFonts w:hint="eastAsia" w:asciiTheme="minorEastAsia" w:hAnsiTheme="minorEastAsia" w:eastAsiaTheme="minorEastAsia"/>
          <w:sz w:val="30"/>
          <w:szCs w:val="30"/>
        </w:rPr>
        <w:t>1．主要职责。</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Theme="minorEastAsia" w:hAnsiTheme="minorEastAsia" w:eastAsiaTheme="minorEastAsia"/>
          <w:sz w:val="30"/>
          <w:szCs w:val="30"/>
        </w:rPr>
        <w:t>（1）</w:t>
      </w:r>
      <w:r>
        <w:rPr>
          <w:rFonts w:hint="eastAsia" w:ascii="宋体" w:hAnsi="宋体"/>
          <w:sz w:val="30"/>
          <w:szCs w:val="30"/>
        </w:rPr>
        <w:t>党的基层组织建设</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党的基层组织建设、党的纪律检查工作；机关日常党务、政务协调管理；人大、群团、武装等相关工作。</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提升基层党组织的凝聚力、战斗力，巩固党的执政基础。扩大党的工作的覆盖面。建设服务型党组织，密切党群、干群关系。落实村级补助专项资金，确保农村党的基层组织正常运转。</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Theme="minorEastAsia" w:hAnsiTheme="minorEastAsia" w:eastAsiaTheme="minorEastAsia"/>
          <w:sz w:val="30"/>
          <w:szCs w:val="30"/>
        </w:rPr>
        <w:t>（2）</w:t>
      </w:r>
      <w:r>
        <w:rPr>
          <w:rFonts w:hint="eastAsia" w:ascii="宋体" w:hAnsi="宋体"/>
          <w:sz w:val="30"/>
          <w:szCs w:val="30"/>
        </w:rPr>
        <w:t>农业技术推广</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农业新技术品种推广，农机、畜牧水产、水利、林业等服务工作。</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现代农业水平有新提高，农民人均纯收入有新增长。加强防火防汛工作，力争灾情发生率及损失率降至最低。</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Theme="minorEastAsia" w:hAnsiTheme="minorEastAsia" w:eastAsiaTheme="minorEastAsia"/>
          <w:sz w:val="30"/>
          <w:szCs w:val="30"/>
        </w:rPr>
        <w:t>（3）</w:t>
      </w:r>
      <w:r>
        <w:rPr>
          <w:rFonts w:hint="eastAsia" w:ascii="宋体" w:hAnsi="宋体"/>
          <w:sz w:val="30"/>
          <w:szCs w:val="30"/>
        </w:rPr>
        <w:t>经济发展及安全生产</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研究本乡镇经济发展战略，组织编制中长期发展规划和年度计划。负责本辖区安全生产监督指导和环境保护工作。</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制订、推动战略实施，培育主导产业和骨干企业，增强财政支撑力。加强本辖区安全生产和环境保护工作，推动镇域经济持续健康发展。</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Theme="minorEastAsia" w:hAnsiTheme="minorEastAsia" w:eastAsiaTheme="minorEastAsia"/>
          <w:sz w:val="30"/>
          <w:szCs w:val="30"/>
        </w:rPr>
        <w:t>（4）</w:t>
      </w:r>
      <w:r>
        <w:rPr>
          <w:rFonts w:hint="eastAsia" w:ascii="宋体" w:hAnsi="宋体"/>
          <w:sz w:val="30"/>
          <w:szCs w:val="30"/>
        </w:rPr>
        <w:t>综合治理及信访稳定</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加强综合治理，妥善处理突发性、群体性事件，调节和处理好各种利益矛盾和纠纷；落实各项管理措施，维护农村社会稳定；负责本乡镇的普法宣传教育及法律服务；负责信访稳定工作。</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落实各项管理措施，促进社会和谐稳定。</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Theme="minorEastAsia" w:hAnsiTheme="minorEastAsia" w:eastAsiaTheme="minorEastAsia"/>
          <w:sz w:val="30"/>
          <w:szCs w:val="30"/>
        </w:rPr>
        <w:t>（5）</w:t>
      </w:r>
      <w:r>
        <w:rPr>
          <w:rFonts w:hint="eastAsia" w:ascii="宋体" w:hAnsi="宋体"/>
          <w:sz w:val="30"/>
          <w:szCs w:val="30"/>
        </w:rPr>
        <w:t>扶贫开发</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贯彻落实国家扶贫开发法律、法规和方针政策，完成县委、县政府下达各项任务指标，完成县扶贫办交办事项，提前</w:t>
      </w:r>
      <w:r>
        <w:rPr>
          <w:rFonts w:ascii="宋体" w:hAnsi="宋体"/>
          <w:sz w:val="30"/>
          <w:szCs w:val="30"/>
        </w:rPr>
        <w:t>2</w:t>
      </w:r>
      <w:r>
        <w:rPr>
          <w:rFonts w:hint="eastAsia" w:ascii="宋体" w:hAnsi="宋体"/>
          <w:sz w:val="30"/>
          <w:szCs w:val="30"/>
        </w:rPr>
        <w:t>年完成脱贫任务。</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Theme="minorEastAsia" w:hAnsiTheme="minorEastAsia" w:eastAsiaTheme="minorEastAsia"/>
          <w:sz w:val="30"/>
          <w:szCs w:val="30"/>
        </w:rPr>
        <w:t>（6）</w:t>
      </w:r>
      <w:r>
        <w:rPr>
          <w:rFonts w:hint="eastAsia" w:ascii="宋体" w:hAnsi="宋体"/>
          <w:sz w:val="30"/>
          <w:szCs w:val="30"/>
        </w:rPr>
        <w:t>农村面貌改造提升及农村环境综合建设</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按照全面建成小康社会要求，实施农村面貌改造提升行动，集中开展农村环境综合整治。</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打造“环境整洁、设施配套、田园风光、舒适宜居”的“美丽乡村”，提高农民生活舒适度。</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Theme="minorEastAsia" w:hAnsiTheme="minorEastAsia" w:eastAsiaTheme="minorEastAsia"/>
          <w:sz w:val="30"/>
          <w:szCs w:val="30"/>
        </w:rPr>
        <w:t>（7）</w:t>
      </w:r>
      <w:r>
        <w:rPr>
          <w:rFonts w:hint="eastAsia" w:ascii="宋体" w:hAnsi="宋体"/>
          <w:sz w:val="30"/>
          <w:szCs w:val="30"/>
        </w:rPr>
        <w:t>美丽乡村建设</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认真落实“四个全面”战略布局，实施“四美五改·美丽乡村”行动，切实改善农民生产生活条件。</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重点实施民居改造和危房改造等</w:t>
      </w:r>
      <w:r>
        <w:rPr>
          <w:rFonts w:ascii="宋体" w:hAnsi="宋体"/>
          <w:sz w:val="30"/>
          <w:szCs w:val="30"/>
        </w:rPr>
        <w:t>12</w:t>
      </w:r>
      <w:r>
        <w:rPr>
          <w:rFonts w:hint="eastAsia" w:ascii="宋体" w:hAnsi="宋体"/>
          <w:sz w:val="30"/>
          <w:szCs w:val="30"/>
        </w:rPr>
        <w:t>项专项行动，确保</w:t>
      </w:r>
      <w:r>
        <w:rPr>
          <w:rFonts w:ascii="宋体" w:hAnsi="宋体"/>
          <w:sz w:val="30"/>
          <w:szCs w:val="30"/>
        </w:rPr>
        <w:t>2020</w:t>
      </w:r>
      <w:r>
        <w:rPr>
          <w:rFonts w:hint="eastAsia" w:ascii="宋体" w:hAnsi="宋体"/>
          <w:sz w:val="30"/>
          <w:szCs w:val="30"/>
        </w:rPr>
        <w:t>年基本实现美丽乡村全覆盖。</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Theme="minorEastAsia" w:hAnsiTheme="minorEastAsia" w:eastAsiaTheme="minorEastAsia"/>
          <w:sz w:val="30"/>
          <w:szCs w:val="30"/>
        </w:rPr>
        <w:t>（8）</w:t>
      </w:r>
      <w:r>
        <w:rPr>
          <w:rFonts w:hint="eastAsia" w:ascii="宋体" w:hAnsi="宋体"/>
          <w:sz w:val="30"/>
          <w:szCs w:val="30"/>
        </w:rPr>
        <w:t>社会事务</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加强农村基层组织建设，完善村民自治制度，提高农民自我管理能力，组织指导村级换届选举，健全社会自律体系；负责本镇社会弱势群体救助工作；负责民族宗教政策贯彻落实。</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完善村民自治制度，提高村级基层组织服务能力和水平。为民解困，弱势群体关注、救助常态化；民族宗教政策全面落实。</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Theme="minorEastAsia" w:hAnsiTheme="minorEastAsia" w:eastAsiaTheme="minorEastAsia"/>
          <w:sz w:val="30"/>
          <w:szCs w:val="30"/>
        </w:rPr>
        <w:t>（9）</w:t>
      </w:r>
      <w:r>
        <w:rPr>
          <w:rFonts w:hint="eastAsia" w:ascii="宋体" w:hAnsi="宋体"/>
          <w:sz w:val="30"/>
          <w:szCs w:val="30"/>
        </w:rPr>
        <w:t>乡镇其他相关工作</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卫生计划生育：负责贯彻落实党和国家有关计划生育的方针、政策，执行卫生和计划生育的法律、法规和规章。</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食品安全：配合县有关部门开展食品安全联合执法，开展辖区内食品安全隐患排查治理。</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劳动保障：劳动力资源开发、富余劳动力转移、本乡镇社会保险、劳动用工管理；劳动就业和社会保障服务工作。城镇规划建设：加强村镇规划建设管理</w:t>
      </w:r>
      <w:r>
        <w:rPr>
          <w:rFonts w:ascii="宋体" w:hAnsi="宋体"/>
          <w:sz w:val="30"/>
          <w:szCs w:val="30"/>
        </w:rPr>
        <w:t>,</w:t>
      </w:r>
      <w:r>
        <w:rPr>
          <w:rFonts w:hint="eastAsia" w:ascii="宋体" w:hAnsi="宋体"/>
          <w:sz w:val="30"/>
          <w:szCs w:val="30"/>
        </w:rPr>
        <w:t>监管村镇规划实施。</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综合文化及群众工作：组织开展群众文体娱乐活动，做好群众工作。</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农村经济经营服务：村级财务管理，为农村、农业发展提供法律咨询及政策服务。统计工作：相关数据统计上报。</w:t>
      </w:r>
    </w:p>
    <w:p>
      <w:pPr>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pacing w:line="560" w:lineRule="exact"/>
        <w:ind w:left="0" w:leftChars="0" w:right="0" w:rightChars="0" w:firstLine="561"/>
        <w:textAlignment w:val="auto"/>
        <w:outlineLvl w:val="9"/>
        <w:rPr>
          <w:rFonts w:ascii="宋体" w:hAnsi="宋体"/>
          <w:sz w:val="30"/>
          <w:szCs w:val="30"/>
        </w:rPr>
      </w:pPr>
      <w:r>
        <w:rPr>
          <w:rFonts w:hint="eastAsia" w:ascii="宋体" w:hAnsi="宋体"/>
          <w:sz w:val="30"/>
          <w:szCs w:val="30"/>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00" w:firstLineChars="200"/>
        <w:textAlignment w:val="auto"/>
        <w:outlineLvl w:val="9"/>
        <w:rPr>
          <w:rFonts w:hint="eastAsia" w:asciiTheme="minorEastAsia" w:hAnsiTheme="minorEastAsia" w:eastAsiaTheme="minorEastAsia"/>
          <w:sz w:val="30"/>
          <w:szCs w:val="30"/>
        </w:rPr>
      </w:pP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00" w:firstLineChars="200"/>
        <w:textAlignment w:val="auto"/>
        <w:outlineLvl w:val="9"/>
        <w:rPr>
          <w:rFonts w:asciiTheme="minorEastAsia" w:hAnsiTheme="minorEastAsia" w:eastAsiaTheme="minorEastAsia"/>
          <w:sz w:val="30"/>
          <w:szCs w:val="30"/>
        </w:rPr>
      </w:pPr>
      <w:r>
        <w:rPr>
          <w:rFonts w:hint="eastAsia" w:asciiTheme="minorEastAsia" w:hAnsiTheme="minorEastAsia" w:eastAsiaTheme="minorEastAsia"/>
          <w:sz w:val="30"/>
          <w:szCs w:val="30"/>
        </w:rPr>
        <w:t>2．机构情况。</w:t>
      </w:r>
    </w:p>
    <w:tbl>
      <w:tblPr>
        <w:tblStyle w:val="6"/>
        <w:tblW w:w="9320" w:type="dxa"/>
        <w:tblInd w:w="93" w:type="dxa"/>
        <w:tblLayout w:type="fixed"/>
        <w:tblCellMar>
          <w:top w:w="0" w:type="dxa"/>
          <w:left w:w="108" w:type="dxa"/>
          <w:bottom w:w="0" w:type="dxa"/>
          <w:right w:w="108" w:type="dxa"/>
        </w:tblCellMar>
      </w:tblPr>
      <w:tblGrid>
        <w:gridCol w:w="1028"/>
        <w:gridCol w:w="2207"/>
        <w:gridCol w:w="2017"/>
        <w:gridCol w:w="1807"/>
        <w:gridCol w:w="2261"/>
      </w:tblGrid>
      <w:tr>
        <w:tblPrEx>
          <w:tblCellMar>
            <w:top w:w="0" w:type="dxa"/>
            <w:left w:w="108" w:type="dxa"/>
            <w:bottom w:w="0" w:type="dxa"/>
            <w:right w:w="108" w:type="dxa"/>
          </w:tblCellMar>
        </w:tblPrEx>
        <w:trPr>
          <w:trHeight w:val="828" w:hRule="atLeast"/>
        </w:trPr>
        <w:tc>
          <w:tcPr>
            <w:tcW w:w="9320" w:type="dxa"/>
            <w:gridSpan w:val="5"/>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部门机构设置情况</w:t>
            </w:r>
          </w:p>
        </w:tc>
      </w:tr>
      <w:tr>
        <w:tblPrEx>
          <w:tblCellMar>
            <w:top w:w="0" w:type="dxa"/>
            <w:left w:w="108" w:type="dxa"/>
            <w:bottom w:w="0" w:type="dxa"/>
            <w:right w:w="108" w:type="dxa"/>
          </w:tblCellMar>
        </w:tblPrEx>
        <w:trPr>
          <w:trHeight w:val="476" w:hRule="atLeast"/>
        </w:trPr>
        <w:tc>
          <w:tcPr>
            <w:tcW w:w="1028"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序号</w:t>
            </w:r>
          </w:p>
        </w:tc>
        <w:tc>
          <w:tcPr>
            <w:tcW w:w="220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单位名称</w:t>
            </w:r>
          </w:p>
        </w:tc>
        <w:tc>
          <w:tcPr>
            <w:tcW w:w="201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单位性质</w:t>
            </w:r>
          </w:p>
        </w:tc>
        <w:tc>
          <w:tcPr>
            <w:tcW w:w="180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单位规格</w:t>
            </w:r>
          </w:p>
        </w:tc>
        <w:tc>
          <w:tcPr>
            <w:tcW w:w="226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经费保障形式</w:t>
            </w:r>
          </w:p>
        </w:tc>
      </w:tr>
      <w:tr>
        <w:tblPrEx>
          <w:tblCellMar>
            <w:top w:w="0" w:type="dxa"/>
            <w:left w:w="108" w:type="dxa"/>
            <w:bottom w:w="0" w:type="dxa"/>
            <w:right w:w="108" w:type="dxa"/>
          </w:tblCellMar>
        </w:tblPrEx>
        <w:trPr>
          <w:trHeight w:val="476" w:hRule="atLeast"/>
        </w:trPr>
        <w:tc>
          <w:tcPr>
            <w:tcW w:w="102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left"/>
              <w:textAlignment w:val="auto"/>
              <w:outlineLvl w:val="9"/>
              <w:rPr>
                <w:rFonts w:cs="宋体" w:asciiTheme="minorEastAsia" w:hAnsiTheme="minorEastAsia" w:eastAsiaTheme="minorEastAsia"/>
                <w:kern w:val="0"/>
                <w:sz w:val="24"/>
              </w:rPr>
            </w:pPr>
          </w:p>
        </w:tc>
        <w:tc>
          <w:tcPr>
            <w:tcW w:w="22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left"/>
              <w:textAlignment w:val="auto"/>
              <w:outlineLvl w:val="9"/>
              <w:rPr>
                <w:rFonts w:cs="宋体" w:asciiTheme="minorEastAsia" w:hAnsiTheme="minorEastAsia" w:eastAsiaTheme="minorEastAsia"/>
                <w:kern w:val="0"/>
                <w:sz w:val="24"/>
              </w:rPr>
            </w:pPr>
          </w:p>
        </w:tc>
        <w:tc>
          <w:tcPr>
            <w:tcW w:w="201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left"/>
              <w:textAlignment w:val="auto"/>
              <w:outlineLvl w:val="9"/>
              <w:rPr>
                <w:rFonts w:cs="宋体" w:asciiTheme="minorEastAsia" w:hAnsiTheme="minorEastAsia" w:eastAsiaTheme="minorEastAsia"/>
                <w:kern w:val="0"/>
                <w:sz w:val="24"/>
              </w:rPr>
            </w:pPr>
          </w:p>
        </w:tc>
        <w:tc>
          <w:tcPr>
            <w:tcW w:w="180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left"/>
              <w:textAlignment w:val="auto"/>
              <w:outlineLvl w:val="9"/>
              <w:rPr>
                <w:rFonts w:cs="宋体" w:asciiTheme="minorEastAsia" w:hAnsiTheme="minorEastAsia" w:eastAsiaTheme="minorEastAsia"/>
                <w:kern w:val="0"/>
                <w:sz w:val="24"/>
              </w:rPr>
            </w:pPr>
          </w:p>
        </w:tc>
        <w:tc>
          <w:tcPr>
            <w:tcW w:w="226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left"/>
              <w:textAlignment w:val="auto"/>
              <w:outlineLvl w:val="9"/>
              <w:rPr>
                <w:rFonts w:cs="宋体" w:asciiTheme="minorEastAsia" w:hAnsiTheme="minorEastAsia" w:eastAsiaTheme="minorEastAsia"/>
                <w:kern w:val="0"/>
                <w:sz w:val="24"/>
              </w:rPr>
            </w:pPr>
          </w:p>
        </w:tc>
      </w:tr>
      <w:tr>
        <w:tblPrEx>
          <w:tblCellMar>
            <w:top w:w="0" w:type="dxa"/>
            <w:left w:w="108" w:type="dxa"/>
            <w:bottom w:w="0" w:type="dxa"/>
            <w:right w:w="108" w:type="dxa"/>
          </w:tblCellMar>
        </w:tblPrEx>
        <w:trPr>
          <w:trHeight w:val="857" w:hRule="atLeast"/>
        </w:trPr>
        <w:tc>
          <w:tcPr>
            <w:tcW w:w="10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22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涞水</w:t>
            </w:r>
            <w:r>
              <w:rPr>
                <w:rFonts w:hint="eastAsia" w:cs="宋体" w:asciiTheme="minorEastAsia" w:hAnsiTheme="minorEastAsia" w:eastAsiaTheme="minorEastAsia"/>
                <w:kern w:val="0"/>
                <w:sz w:val="24"/>
                <w:lang w:eastAsia="zh-CN"/>
              </w:rPr>
              <w:t>县</w:t>
            </w:r>
            <w:r>
              <w:rPr>
                <w:rFonts w:hint="eastAsia" w:cs="宋体" w:asciiTheme="minorEastAsia" w:hAnsiTheme="minorEastAsia" w:eastAsiaTheme="minorEastAsia"/>
                <w:kern w:val="0"/>
                <w:sz w:val="24"/>
              </w:rPr>
              <w:t>永阳镇人民政府</w:t>
            </w:r>
          </w:p>
        </w:tc>
        <w:tc>
          <w:tcPr>
            <w:tcW w:w="20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行政</w:t>
            </w:r>
          </w:p>
        </w:tc>
        <w:tc>
          <w:tcPr>
            <w:tcW w:w="18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正科级</w:t>
            </w:r>
          </w:p>
        </w:tc>
        <w:tc>
          <w:tcPr>
            <w:tcW w:w="22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财政拨款</w:t>
            </w:r>
          </w:p>
        </w:tc>
      </w:tr>
    </w:tbl>
    <w:p>
      <w:pPr>
        <w:ind w:firstLine="643" w:firstLineChars="20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二、部门预算安排总体情况</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1、收入情况</w:t>
      </w:r>
    </w:p>
    <w:p>
      <w:pPr>
        <w:pStyle w:val="2"/>
        <w:ind w:firstLine="585"/>
        <w:rPr>
          <w:rFonts w:hint="eastAsia" w:asciiTheme="minorEastAsia" w:hAnsiTheme="minorEastAsia" w:eastAsiaTheme="minorEastAsia"/>
          <w:sz w:val="30"/>
          <w:szCs w:val="30"/>
        </w:rPr>
      </w:pPr>
      <w:r>
        <w:rPr>
          <w:rFonts w:hint="eastAsia" w:asciiTheme="minorEastAsia" w:hAnsiTheme="minorEastAsia" w:eastAsiaTheme="minorEastAsia"/>
          <w:sz w:val="30"/>
          <w:szCs w:val="30"/>
        </w:rPr>
        <w:t>2020年我部门</w:t>
      </w:r>
      <w:r>
        <w:rPr>
          <w:rFonts w:hint="eastAsia" w:asciiTheme="minorEastAsia" w:hAnsiTheme="minorEastAsia" w:eastAsiaTheme="minorEastAsia"/>
          <w:sz w:val="30"/>
          <w:szCs w:val="30"/>
          <w:lang w:eastAsia="zh-CN"/>
        </w:rPr>
        <w:t>预算总收入</w:t>
      </w:r>
      <w:r>
        <w:rPr>
          <w:rFonts w:hint="eastAsia" w:asciiTheme="minorEastAsia" w:hAnsiTheme="minorEastAsia" w:eastAsiaTheme="minorEastAsia"/>
          <w:sz w:val="30"/>
          <w:szCs w:val="30"/>
          <w:lang w:val="en-US" w:eastAsia="zh-CN"/>
        </w:rPr>
        <w:t>301.47万元，其中；一般公共</w:t>
      </w:r>
      <w:r>
        <w:rPr>
          <w:rFonts w:hint="eastAsia" w:asciiTheme="minorEastAsia" w:hAnsiTheme="minorEastAsia" w:eastAsiaTheme="minorEastAsia"/>
          <w:sz w:val="30"/>
          <w:szCs w:val="30"/>
        </w:rPr>
        <w:t>预算拨款收入301.47万元</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lang w:val="zh-CN"/>
        </w:rPr>
        <w:t>基金预算收入0万元 ，财政专户核拨收入0万元，其他来源收入0万元</w:t>
      </w:r>
      <w:r>
        <w:rPr>
          <w:rFonts w:hint="eastAsia" w:asciiTheme="minorEastAsia" w:hAnsiTheme="minorEastAsia" w:eastAsiaTheme="minorEastAsia"/>
          <w:sz w:val="30"/>
          <w:szCs w:val="30"/>
        </w:rPr>
        <w:t>。</w:t>
      </w:r>
    </w:p>
    <w:p>
      <w:pPr>
        <w:pStyle w:val="2"/>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2、支出情况</w:t>
      </w:r>
    </w:p>
    <w:p>
      <w:pPr>
        <w:pStyle w:val="2"/>
        <w:ind w:firstLine="585"/>
        <w:rPr>
          <w:rFonts w:asciiTheme="minorEastAsia" w:hAnsiTheme="minorEastAsia" w:eastAsiaTheme="minorEastAsia"/>
          <w:sz w:val="30"/>
          <w:szCs w:val="30"/>
        </w:rPr>
      </w:pPr>
      <w:r>
        <w:rPr>
          <w:rFonts w:hint="eastAsia" w:asciiTheme="minorEastAsia" w:hAnsiTheme="minorEastAsia" w:eastAsiaTheme="minorEastAsia"/>
          <w:sz w:val="30"/>
          <w:szCs w:val="30"/>
        </w:rPr>
        <w:t>2020年我部门年初预算拨款支出301.47万元。其中：基本支出281.47万元，包含:人员经费预算235.26万元；正常公用经费46.21万元；项目支出20万元。</w:t>
      </w:r>
    </w:p>
    <w:p>
      <w:pPr>
        <w:ind w:firstLine="600" w:firstLineChars="200"/>
        <w:rPr>
          <w:rFonts w:cs="Courier New" w:asciiTheme="minorEastAsia" w:hAnsiTheme="minorEastAsia" w:eastAsiaTheme="minorEastAsia"/>
          <w:sz w:val="30"/>
          <w:szCs w:val="30"/>
        </w:rPr>
      </w:pPr>
      <w:r>
        <w:rPr>
          <w:rFonts w:hint="eastAsia" w:cs="Courier New" w:asciiTheme="minorEastAsia" w:hAnsiTheme="minorEastAsia" w:eastAsiaTheme="minorEastAsia"/>
          <w:sz w:val="30"/>
          <w:szCs w:val="30"/>
        </w:rPr>
        <w:t>3、比上年增减情况</w:t>
      </w:r>
    </w:p>
    <w:p>
      <w:pPr>
        <w:ind w:firstLine="738" w:firstLineChars="246"/>
        <w:rPr>
          <w:rFonts w:cs="Courier New" w:asciiTheme="minorEastAsia" w:hAnsiTheme="minorEastAsia" w:eastAsiaTheme="minorEastAsia"/>
          <w:sz w:val="30"/>
          <w:szCs w:val="30"/>
        </w:rPr>
      </w:pPr>
      <w:r>
        <w:rPr>
          <w:rFonts w:hint="eastAsia" w:cs="Courier New" w:asciiTheme="minorEastAsia" w:hAnsiTheme="minorEastAsia" w:eastAsiaTheme="minorEastAsia"/>
          <w:sz w:val="30"/>
          <w:szCs w:val="30"/>
        </w:rPr>
        <w:t>本年度预算收支安排301.47万元，基本支出、正常公用、项目支出增加，较上年增加26.05万元。原因是本年度有人员调入，公务交通补贴在本年度体现，项目增加，所以支出增加。</w:t>
      </w:r>
    </w:p>
    <w:p>
      <w:pP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 xml:space="preserve">    三、机关运行经费安排情况</w:t>
      </w:r>
    </w:p>
    <w:p>
      <w:pPr>
        <w:ind w:firstLine="600"/>
        <w:rPr>
          <w:rFonts w:asciiTheme="minorEastAsia" w:hAnsiTheme="minorEastAsia" w:eastAsiaTheme="minorEastAsia"/>
          <w:sz w:val="30"/>
          <w:szCs w:val="30"/>
        </w:rPr>
      </w:pPr>
      <w:r>
        <w:rPr>
          <w:rFonts w:hint="eastAsia" w:asciiTheme="minorEastAsia" w:hAnsiTheme="minorEastAsia" w:eastAsiaTheme="minorEastAsia"/>
          <w:sz w:val="30"/>
          <w:szCs w:val="30"/>
        </w:rPr>
        <w:t>我部门正常公用经费46.21万元，其中，办公费7.55万元，取暖费5万元，公务接待费5.5万元，公务用车运行维护费6.5万元，公务交通补贴13.86万元，劳务费2.4万元，工会经费1.75万元，职工福利费3.65万元。</w:t>
      </w:r>
    </w:p>
    <w:p>
      <w:pP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 xml:space="preserve">   四、财政拨款“三公”经费预算情况及增减变化原因</w:t>
      </w:r>
    </w:p>
    <w:p>
      <w:pPr>
        <w:ind w:firstLine="560"/>
        <w:rPr>
          <w:rFonts w:asciiTheme="minorEastAsia" w:hAnsiTheme="minorEastAsia" w:eastAsiaTheme="minorEastAsia"/>
          <w:sz w:val="30"/>
          <w:szCs w:val="30"/>
        </w:rPr>
      </w:pPr>
      <w:r>
        <w:rPr>
          <w:rFonts w:hint="eastAsia" w:asciiTheme="minorEastAsia" w:hAnsiTheme="minorEastAsia" w:eastAsiaTheme="minorEastAsia"/>
          <w:sz w:val="30"/>
          <w:szCs w:val="30"/>
        </w:rPr>
        <w:t>我部门</w:t>
      </w:r>
      <w:r>
        <w:rPr>
          <w:rFonts w:asciiTheme="minorEastAsia" w:hAnsiTheme="minorEastAsia" w:eastAsiaTheme="minorEastAsia"/>
          <w:sz w:val="30"/>
          <w:szCs w:val="30"/>
        </w:rPr>
        <w:t>2020</w:t>
      </w:r>
      <w:r>
        <w:rPr>
          <w:rFonts w:hint="eastAsia" w:asciiTheme="minorEastAsia" w:hAnsiTheme="minorEastAsia" w:eastAsiaTheme="minorEastAsia"/>
          <w:sz w:val="30"/>
          <w:szCs w:val="30"/>
        </w:rPr>
        <w:t>年三公经费预算拨款12万元，其中公务车运行维护费6.5万元，公务接待费5.5万元，预计接待210批次，累计2120人次。无因公出国（境）费。</w:t>
      </w:r>
    </w:p>
    <w:p>
      <w:pPr>
        <w:ind w:firstLine="560"/>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我部门2019年“三公经费”合计12万元，其中公务用车运行维护费6.5万元，公务接待费5.5万元，无因公出国（境）费。</w:t>
      </w:r>
    </w:p>
    <w:p>
      <w:pPr>
        <w:ind w:firstLine="560"/>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2020年“三公经费”总额与2019年相比减少0.3万元， 2020年我部门计划对公车加强管理、控制车辆使用，对公车日常养护、加油实行定点专人管理，公务用车运行维护费与2019年相比，未发生变化。</w:t>
      </w:r>
      <w:r>
        <w:rPr>
          <w:rFonts w:hint="eastAsia" w:cs="仿宋_GB2312" w:asciiTheme="minorEastAsia" w:hAnsiTheme="minorEastAsia" w:eastAsiaTheme="minorEastAsia"/>
          <w:sz w:val="30"/>
          <w:szCs w:val="30"/>
        </w:rPr>
        <w:t>我部门2019年计划对公务接待的次数和人数进行缩减，严格控制公务接待的规模，深入贯彻落实《党政机关厉行节约反对浪费条例》，因此</w:t>
      </w:r>
      <w:r>
        <w:rPr>
          <w:rFonts w:hint="eastAsia" w:cs="仿宋_GB2312" w:asciiTheme="minorEastAsia" w:hAnsiTheme="minorEastAsia" w:eastAsiaTheme="minorEastAsia"/>
          <w:color w:val="000000"/>
          <w:kern w:val="0"/>
          <w:sz w:val="30"/>
          <w:szCs w:val="30"/>
        </w:rPr>
        <w:t>比2019年减少0.3万元</w:t>
      </w:r>
      <w:r>
        <w:rPr>
          <w:rFonts w:hint="eastAsia" w:asciiTheme="minorEastAsia" w:hAnsiTheme="minorEastAsia" w:eastAsiaTheme="minorEastAsia"/>
          <w:sz w:val="30"/>
          <w:szCs w:val="30"/>
        </w:rPr>
        <w:t>。</w:t>
      </w:r>
    </w:p>
    <w:tbl>
      <w:tblPr>
        <w:tblStyle w:val="6"/>
        <w:tblW w:w="10174" w:type="dxa"/>
        <w:tblInd w:w="0" w:type="dxa"/>
        <w:tblLayout w:type="fixed"/>
        <w:tblCellMar>
          <w:top w:w="0" w:type="dxa"/>
          <w:left w:w="108" w:type="dxa"/>
          <w:bottom w:w="0" w:type="dxa"/>
          <w:right w:w="108" w:type="dxa"/>
        </w:tblCellMar>
      </w:tblPr>
      <w:tblGrid>
        <w:gridCol w:w="2176"/>
        <w:gridCol w:w="1770"/>
        <w:gridCol w:w="1770"/>
        <w:gridCol w:w="1194"/>
        <w:gridCol w:w="3264"/>
      </w:tblGrid>
      <w:tr>
        <w:tblPrEx>
          <w:tblCellMar>
            <w:top w:w="0" w:type="dxa"/>
            <w:left w:w="108" w:type="dxa"/>
            <w:bottom w:w="0" w:type="dxa"/>
            <w:right w:w="108" w:type="dxa"/>
          </w:tblCellMar>
        </w:tblPrEx>
        <w:trPr>
          <w:trHeight w:val="405" w:hRule="atLeast"/>
        </w:trPr>
        <w:tc>
          <w:tcPr>
            <w:tcW w:w="10174" w:type="dxa"/>
            <w:gridSpan w:val="5"/>
            <w:tcBorders>
              <w:top w:val="nil"/>
              <w:left w:val="nil"/>
              <w:bottom w:val="nil"/>
              <w:right w:val="nil"/>
            </w:tcBorders>
            <w:shd w:val="clear" w:color="auto" w:fill="auto"/>
            <w:vAlign w:val="center"/>
          </w:tcPr>
          <w:p>
            <w:pPr>
              <w:widowControl/>
              <w:spacing w:line="520" w:lineRule="exact"/>
              <w:jc w:val="center"/>
              <w:rPr>
                <w:rFonts w:ascii="宋体" w:hAnsi="宋体"/>
                <w:sz w:val="32"/>
                <w:szCs w:val="32"/>
              </w:rPr>
            </w:pPr>
            <w:r>
              <w:rPr>
                <w:rFonts w:hint="eastAsia" w:ascii="宋体" w:hAnsi="宋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7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177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177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1194"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3264" w:type="dxa"/>
            <w:tcBorders>
              <w:top w:val="nil"/>
              <w:left w:val="nil"/>
              <w:bottom w:val="nil"/>
              <w:right w:val="nil"/>
            </w:tcBorders>
            <w:shd w:val="clear" w:color="auto" w:fill="auto"/>
            <w:vAlign w:val="center"/>
          </w:tcPr>
          <w:p>
            <w:pPr>
              <w:ind w:firstLine="1440" w:firstLineChars="600"/>
              <w:rPr>
                <w:rFonts w:asciiTheme="minorEastAsia" w:hAnsiTheme="minorEastAsia" w:eastAsiaTheme="minorEastAsia"/>
                <w:sz w:val="24"/>
              </w:rPr>
            </w:pPr>
            <w:r>
              <w:rPr>
                <w:rFonts w:hint="eastAsia" w:asciiTheme="minorEastAsia" w:hAnsiTheme="minorEastAsia" w:eastAsiaTheme="minorEastAsia"/>
                <w:sz w:val="24"/>
              </w:rPr>
              <w:t>单位：万元</w:t>
            </w:r>
          </w:p>
        </w:tc>
      </w:tr>
      <w:tr>
        <w:tblPrEx>
          <w:tblCellMar>
            <w:top w:w="0" w:type="dxa"/>
            <w:left w:w="108" w:type="dxa"/>
            <w:bottom w:w="0" w:type="dxa"/>
            <w:right w:w="108" w:type="dxa"/>
          </w:tblCellMar>
        </w:tblPrEx>
        <w:trPr>
          <w:trHeight w:val="476" w:hRule="atLeast"/>
        </w:trPr>
        <w:tc>
          <w:tcPr>
            <w:tcW w:w="2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1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2019度预算</w:t>
            </w:r>
          </w:p>
        </w:tc>
        <w:tc>
          <w:tcPr>
            <w:tcW w:w="1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2020年度预算</w:t>
            </w:r>
          </w:p>
        </w:tc>
        <w:tc>
          <w:tcPr>
            <w:tcW w:w="11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增减金额</w:t>
            </w:r>
          </w:p>
        </w:tc>
        <w:tc>
          <w:tcPr>
            <w:tcW w:w="3264"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rPr>
            </w:pPr>
            <w:r>
              <w:rPr>
                <w:rFonts w:hint="eastAsia" w:asciiTheme="minorEastAsia" w:hAnsiTheme="minorEastAsia" w:eastAsiaTheme="minorEastAsia"/>
                <w:sz w:val="24"/>
              </w:rPr>
              <w:t>变化原因</w:t>
            </w:r>
          </w:p>
        </w:tc>
      </w:tr>
      <w:tr>
        <w:tblPrEx>
          <w:tblCellMar>
            <w:top w:w="0" w:type="dxa"/>
            <w:left w:w="108" w:type="dxa"/>
            <w:bottom w:w="0" w:type="dxa"/>
            <w:right w:w="108" w:type="dxa"/>
          </w:tblCellMar>
        </w:tblPrEx>
        <w:trPr>
          <w:trHeight w:val="426" w:hRule="atLeast"/>
        </w:trPr>
        <w:tc>
          <w:tcPr>
            <w:tcW w:w="21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因公出国经费</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0</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0</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0</w:t>
            </w:r>
          </w:p>
        </w:tc>
        <w:tc>
          <w:tcPr>
            <w:tcW w:w="326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rPr>
            </w:pPr>
            <w:r>
              <w:rPr>
                <w:rFonts w:hint="eastAsia" w:asciiTheme="minorEastAsia" w:hAnsiTheme="minorEastAsia" w:eastAsiaTheme="minorEastAsia"/>
                <w:sz w:val="24"/>
              </w:rPr>
              <w:t>无增减变化</w:t>
            </w:r>
          </w:p>
        </w:tc>
      </w:tr>
      <w:tr>
        <w:tblPrEx>
          <w:tblCellMar>
            <w:top w:w="0" w:type="dxa"/>
            <w:left w:w="108" w:type="dxa"/>
            <w:bottom w:w="0" w:type="dxa"/>
            <w:right w:w="108" w:type="dxa"/>
          </w:tblCellMar>
        </w:tblPrEx>
        <w:trPr>
          <w:trHeight w:val="438" w:hRule="atLeast"/>
        </w:trPr>
        <w:tc>
          <w:tcPr>
            <w:tcW w:w="21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公务用车购置经费</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0</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0</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0</w:t>
            </w:r>
          </w:p>
        </w:tc>
        <w:tc>
          <w:tcPr>
            <w:tcW w:w="326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rPr>
            </w:pPr>
            <w:r>
              <w:rPr>
                <w:rFonts w:hint="eastAsia" w:asciiTheme="minorEastAsia" w:hAnsiTheme="minorEastAsia" w:eastAsiaTheme="minorEastAsia"/>
                <w:sz w:val="24"/>
              </w:rPr>
              <w:t>无增减变化</w:t>
            </w:r>
          </w:p>
        </w:tc>
      </w:tr>
      <w:tr>
        <w:tblPrEx>
          <w:tblCellMar>
            <w:top w:w="0" w:type="dxa"/>
            <w:left w:w="108" w:type="dxa"/>
            <w:bottom w:w="0" w:type="dxa"/>
            <w:right w:w="108" w:type="dxa"/>
          </w:tblCellMar>
        </w:tblPrEx>
        <w:trPr>
          <w:trHeight w:val="392" w:hRule="atLeast"/>
        </w:trPr>
        <w:tc>
          <w:tcPr>
            <w:tcW w:w="21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公务用车运行经费</w:t>
            </w:r>
          </w:p>
        </w:tc>
        <w:tc>
          <w:tcPr>
            <w:tcW w:w="1770" w:type="dxa"/>
            <w:tcBorders>
              <w:top w:val="nil"/>
              <w:left w:val="nil"/>
              <w:bottom w:val="single" w:color="auto" w:sz="4" w:space="0"/>
              <w:right w:val="single" w:color="auto" w:sz="4" w:space="0"/>
            </w:tcBorders>
            <w:shd w:val="clear" w:color="auto" w:fill="auto"/>
            <w:vAlign w:val="center"/>
          </w:tcPr>
          <w:p>
            <w:pPr>
              <w:widowControl/>
              <w:rPr>
                <w:rFonts w:asciiTheme="minorEastAsia" w:hAnsiTheme="minorEastAsia" w:eastAsiaTheme="minorEastAsia"/>
                <w:sz w:val="24"/>
              </w:rPr>
            </w:pPr>
            <w:r>
              <w:rPr>
                <w:rFonts w:hint="eastAsia" w:asciiTheme="minorEastAsia" w:hAnsiTheme="minorEastAsia" w:eastAsiaTheme="minorEastAsia"/>
                <w:sz w:val="24"/>
              </w:rPr>
              <w:t xml:space="preserve">      6.5</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6.5</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0</w:t>
            </w:r>
          </w:p>
        </w:tc>
        <w:tc>
          <w:tcPr>
            <w:tcW w:w="326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rPr>
            </w:pPr>
            <w:r>
              <w:rPr>
                <w:rFonts w:hint="eastAsia" w:asciiTheme="minorEastAsia" w:hAnsiTheme="minorEastAsia" w:eastAsiaTheme="minorEastAsia"/>
                <w:sz w:val="24"/>
              </w:rPr>
              <w:t>无增减变化</w:t>
            </w:r>
          </w:p>
        </w:tc>
      </w:tr>
      <w:tr>
        <w:tblPrEx>
          <w:tblCellMar>
            <w:top w:w="0" w:type="dxa"/>
            <w:left w:w="108" w:type="dxa"/>
            <w:bottom w:w="0" w:type="dxa"/>
            <w:right w:w="108" w:type="dxa"/>
          </w:tblCellMar>
        </w:tblPrEx>
        <w:trPr>
          <w:trHeight w:val="414" w:hRule="atLeast"/>
        </w:trPr>
        <w:tc>
          <w:tcPr>
            <w:tcW w:w="21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公务接待费支出</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 xml:space="preserve"> 5.8</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5.5</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0</w:t>
            </w:r>
          </w:p>
        </w:tc>
        <w:tc>
          <w:tcPr>
            <w:tcW w:w="326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rPr>
            </w:pPr>
            <w:r>
              <w:rPr>
                <w:rFonts w:hint="eastAsia" w:cs="仿宋_GB2312" w:asciiTheme="minorEastAsia" w:hAnsiTheme="minorEastAsia" w:eastAsiaTheme="minorEastAsia"/>
                <w:sz w:val="24"/>
              </w:rPr>
              <w:t>《党政机关厉行节约反对浪费条例》</w:t>
            </w:r>
          </w:p>
        </w:tc>
      </w:tr>
      <w:tr>
        <w:tblPrEx>
          <w:tblCellMar>
            <w:top w:w="0" w:type="dxa"/>
            <w:left w:w="108" w:type="dxa"/>
            <w:bottom w:w="0" w:type="dxa"/>
            <w:right w:w="108" w:type="dxa"/>
          </w:tblCellMar>
        </w:tblPrEx>
        <w:trPr>
          <w:trHeight w:val="436" w:hRule="atLeast"/>
        </w:trPr>
        <w:tc>
          <w:tcPr>
            <w:tcW w:w="21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合计</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12.3</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w:t>
            </w:r>
          </w:p>
        </w:tc>
        <w:tc>
          <w:tcPr>
            <w:tcW w:w="119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0</w:t>
            </w:r>
          </w:p>
        </w:tc>
        <w:tc>
          <w:tcPr>
            <w:tcW w:w="3264"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sz w:val="24"/>
              </w:rPr>
            </w:pPr>
            <w:r>
              <w:rPr>
                <w:rFonts w:hint="eastAsia" w:cs="仿宋_GB2312" w:asciiTheme="minorEastAsia" w:hAnsiTheme="minorEastAsia" w:eastAsiaTheme="minorEastAsia"/>
                <w:sz w:val="24"/>
              </w:rPr>
              <w:t>《党政机关厉行节约反对浪费条例》</w:t>
            </w:r>
          </w:p>
        </w:tc>
      </w:tr>
      <w:tr>
        <w:tblPrEx>
          <w:tblCellMar>
            <w:top w:w="0" w:type="dxa"/>
            <w:left w:w="108" w:type="dxa"/>
            <w:bottom w:w="0" w:type="dxa"/>
            <w:right w:w="108" w:type="dxa"/>
          </w:tblCellMar>
        </w:tblPrEx>
        <w:trPr>
          <w:trHeight w:val="285" w:hRule="atLeast"/>
        </w:trPr>
        <w:tc>
          <w:tcPr>
            <w:tcW w:w="2176"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177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1770"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1194"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3264"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r>
    </w:tbl>
    <w:p>
      <w:pPr>
        <w:ind w:firstLine="643" w:firstLineChars="200"/>
        <w:rPr>
          <w:rFonts w:cs="宋体" w:asciiTheme="minorEastAsia" w:hAnsiTheme="minorEastAsia" w:eastAsiaTheme="minorEastAsia"/>
          <w:b/>
          <w:bCs/>
          <w:color w:val="000000"/>
          <w:kern w:val="0"/>
          <w:sz w:val="32"/>
          <w:szCs w:val="32"/>
        </w:rPr>
      </w:pPr>
      <w:r>
        <w:rPr>
          <w:rFonts w:hint="eastAsia" w:cs="宋体" w:asciiTheme="minorEastAsia" w:hAnsiTheme="minorEastAsia" w:eastAsiaTheme="minorEastAsia"/>
          <w:b/>
          <w:bCs/>
          <w:color w:val="000000"/>
          <w:kern w:val="0"/>
          <w:sz w:val="32"/>
          <w:szCs w:val="32"/>
        </w:rPr>
        <w:t>五、绩效预算信息情况</w:t>
      </w:r>
    </w:p>
    <w:p>
      <w:pPr>
        <w:ind w:firstLine="645"/>
        <w:rPr>
          <w:rFonts w:asciiTheme="minorEastAsia" w:hAnsiTheme="minorEastAsia" w:eastAsiaTheme="minorEastAsia"/>
          <w:sz w:val="30"/>
          <w:szCs w:val="30"/>
        </w:rPr>
      </w:pPr>
      <w:r>
        <w:rPr>
          <w:rFonts w:hint="eastAsia" w:asciiTheme="minorEastAsia" w:hAnsiTheme="minorEastAsia" w:eastAsiaTheme="minorEastAsia"/>
          <w:sz w:val="30"/>
          <w:szCs w:val="30"/>
        </w:rPr>
        <w:t>（一）部门整绩效目标</w:t>
      </w:r>
    </w:p>
    <w:p>
      <w:pPr>
        <w:pStyle w:val="11"/>
        <w:ind w:left="720" w:firstLine="0" w:firstLineChars="0"/>
        <w:jc w:val="left"/>
        <w:rPr>
          <w:rFonts w:asciiTheme="minorEastAsia" w:hAnsiTheme="minorEastAsia" w:eastAsiaTheme="minorEastAsia"/>
          <w:sz w:val="30"/>
          <w:szCs w:val="30"/>
        </w:rPr>
      </w:pPr>
      <w:r>
        <w:rPr>
          <w:rFonts w:hint="eastAsia" w:asciiTheme="minorEastAsia" w:hAnsiTheme="minorEastAsia" w:eastAsiaTheme="minorEastAsia"/>
          <w:sz w:val="30"/>
          <w:szCs w:val="30"/>
        </w:rPr>
        <w:t>1、总体绩效目标：</w:t>
      </w:r>
      <w:bookmarkStart w:id="0" w:name="_Toc477164883"/>
      <w:bookmarkStart w:id="1" w:name="OLE_LINK1"/>
    </w:p>
    <w:p>
      <w:pPr>
        <w:spacing w:line="500" w:lineRule="exact"/>
        <w:ind w:firstLine="600" w:firstLineChars="200"/>
        <w:jc w:val="left"/>
        <w:rPr>
          <w:rFonts w:asciiTheme="minorEastAsia" w:hAnsiTheme="minorEastAsia" w:eastAsiaTheme="minorEastAsia"/>
          <w:sz w:val="30"/>
          <w:szCs w:val="30"/>
        </w:rPr>
      </w:pPr>
      <w:r>
        <w:rPr>
          <w:rFonts w:asciiTheme="minorEastAsia" w:hAnsiTheme="minorEastAsia" w:eastAsiaTheme="minorEastAsia"/>
          <w:sz w:val="30"/>
          <w:szCs w:val="30"/>
        </w:rPr>
        <w:t>以党的</w:t>
      </w:r>
      <w:bookmarkStart w:id="11" w:name="_GoBack"/>
      <w:bookmarkEnd w:id="11"/>
      <w:r>
        <w:rPr>
          <w:rFonts w:asciiTheme="minorEastAsia" w:hAnsiTheme="minorEastAsia" w:eastAsiaTheme="minorEastAsia"/>
          <w:sz w:val="30"/>
          <w:szCs w:val="30"/>
        </w:rPr>
        <w:t>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600" w:firstLineChars="200"/>
        <w:jc w:val="left"/>
        <w:outlineLvl w:val="1"/>
        <w:rPr>
          <w:rFonts w:asciiTheme="minorEastAsia" w:hAnsiTheme="minorEastAsia" w:eastAsiaTheme="minorEastAsia"/>
          <w:sz w:val="30"/>
          <w:szCs w:val="30"/>
        </w:rPr>
      </w:pPr>
      <w:r>
        <w:rPr>
          <w:rFonts w:hint="eastAsia" w:asciiTheme="minorEastAsia" w:hAnsiTheme="minorEastAsia" w:eastAsiaTheme="minorEastAsia"/>
          <w:sz w:val="30"/>
          <w:szCs w:val="30"/>
        </w:rPr>
        <w:t>2、分项绩效目标</w:t>
      </w:r>
    </w:p>
    <w:p>
      <w:pPr>
        <w:spacing w:line="500" w:lineRule="exact"/>
        <w:ind w:firstLine="560" w:firstLineChars="200"/>
        <w:jc w:val="left"/>
        <w:rPr>
          <w:rFonts w:ascii="Times New Roman" w:eastAsia="方正仿宋_GBK"/>
          <w:sz w:val="28"/>
        </w:rPr>
      </w:pPr>
      <w:r>
        <w:rPr>
          <w:rFonts w:ascii="Times New Roman" w:eastAsia="方正仿宋_GBK"/>
          <w:sz w:val="28"/>
        </w:rPr>
        <w:t>（一）党的基层组织建设</w:t>
      </w:r>
    </w:p>
    <w:p>
      <w:pPr>
        <w:spacing w:line="500" w:lineRule="exact"/>
        <w:ind w:firstLine="560" w:firstLineChars="200"/>
        <w:jc w:val="left"/>
        <w:rPr>
          <w:rFonts w:ascii="Times New Roman" w:eastAsia="方正仿宋_GBK"/>
          <w:sz w:val="28"/>
        </w:rPr>
      </w:pPr>
      <w:r>
        <w:rPr>
          <w:rFonts w:ascii="Times New Roman" w:eastAsia="方正仿宋_GBK"/>
          <w:sz w:val="28"/>
        </w:rPr>
        <w:t>绩效目标：党的基层组织建设、党的纪律检查工作；机关日常党务、政务协调管理；人大、群团、武装等相关工作。</w:t>
      </w:r>
    </w:p>
    <w:p>
      <w:pPr>
        <w:spacing w:line="500" w:lineRule="exact"/>
        <w:ind w:firstLine="560" w:firstLineChars="200"/>
        <w:jc w:val="left"/>
        <w:rPr>
          <w:rFonts w:ascii="Times New Roman" w:eastAsia="方正仿宋_GBK"/>
          <w:sz w:val="28"/>
        </w:rPr>
      </w:pPr>
      <w:r>
        <w:rPr>
          <w:rFonts w:ascii="Times New Roman" w:eastAsia="方正仿宋_GBK"/>
          <w:sz w:val="28"/>
        </w:rPr>
        <w:t>绩效指标：落实村级补助专项资金，确保农村党的基层组织正常运转。</w:t>
      </w:r>
    </w:p>
    <w:p>
      <w:pPr>
        <w:spacing w:line="500" w:lineRule="exact"/>
        <w:ind w:firstLine="560" w:firstLineChars="200"/>
        <w:jc w:val="left"/>
        <w:rPr>
          <w:rFonts w:ascii="Times New Roman" w:eastAsia="方正仿宋_GBK"/>
          <w:sz w:val="28"/>
        </w:rPr>
      </w:pPr>
      <w:r>
        <w:rPr>
          <w:rFonts w:ascii="Times New Roman" w:eastAsia="方正仿宋_GBK"/>
          <w:sz w:val="28"/>
        </w:rPr>
        <w:t>（二）食品安全工作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绩效目标：落实食品生产经营者主体责任，严格监管食品生产经营活动，严厉惩处涉及食品安全的违法犯罪行为。</w:t>
      </w:r>
    </w:p>
    <w:p>
      <w:pPr>
        <w:spacing w:line="500" w:lineRule="exact"/>
        <w:ind w:firstLine="560" w:firstLineChars="200"/>
        <w:jc w:val="left"/>
        <w:rPr>
          <w:rFonts w:ascii="Times New Roman" w:eastAsia="方正仿宋_GBK"/>
          <w:sz w:val="28"/>
        </w:rPr>
      </w:pPr>
      <w:r>
        <w:rPr>
          <w:rFonts w:ascii="Times New Roman" w:eastAsia="方正仿宋_GBK"/>
          <w:sz w:val="28"/>
        </w:rPr>
        <w:t>绩效指标：组织宣传活动次数不少于5次，抽查对象的数量占全部对象的比率大于等于85%，通过对食品安全的监管，确保本地区食品安全，接受食品安全监管的人群对食品安全监管工作的满意程度大于等于85%。</w:t>
      </w:r>
    </w:p>
    <w:p>
      <w:pPr>
        <w:spacing w:line="500" w:lineRule="exact"/>
        <w:ind w:firstLine="560" w:firstLineChars="200"/>
        <w:jc w:val="left"/>
        <w:rPr>
          <w:rFonts w:ascii="Times New Roman" w:eastAsia="方正仿宋_GBK"/>
          <w:sz w:val="28"/>
        </w:rPr>
      </w:pPr>
      <w:r>
        <w:rPr>
          <w:rFonts w:ascii="Times New Roman" w:eastAsia="方正仿宋_GBK"/>
          <w:sz w:val="28"/>
        </w:rPr>
        <w:t>（三）农村文化建设</w:t>
      </w:r>
    </w:p>
    <w:p>
      <w:pPr>
        <w:spacing w:line="500" w:lineRule="exact"/>
        <w:ind w:firstLine="560" w:firstLineChars="200"/>
        <w:jc w:val="left"/>
        <w:rPr>
          <w:rFonts w:ascii="Times New Roman" w:eastAsia="方正仿宋_GBK"/>
          <w:sz w:val="28"/>
        </w:rPr>
      </w:pPr>
      <w:r>
        <w:rPr>
          <w:rFonts w:ascii="Times New Roman" w:eastAsia="方正仿宋_GBK"/>
          <w:sz w:val="28"/>
        </w:rPr>
        <w:t>绩效目标：坚持先进文化前进方向，全面广泛地开展群众文化活动，繁荣农民群众精神文化生活，规范管理文化活动专项资金确保专款专用，最大限度发挥和提高资金的使用效益。</w:t>
      </w:r>
    </w:p>
    <w:p>
      <w:pPr>
        <w:spacing w:line="500" w:lineRule="exact"/>
        <w:ind w:firstLine="560" w:firstLineChars="200"/>
        <w:jc w:val="left"/>
        <w:rPr>
          <w:rFonts w:ascii="Times New Roman" w:eastAsia="方正仿宋_GBK"/>
          <w:sz w:val="28"/>
        </w:rPr>
      </w:pPr>
      <w:r>
        <w:rPr>
          <w:rFonts w:ascii="Times New Roman" w:eastAsia="方正仿宋_GBK"/>
          <w:sz w:val="28"/>
        </w:rP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spacing w:line="500" w:lineRule="exact"/>
        <w:ind w:firstLine="560" w:firstLineChars="200"/>
        <w:jc w:val="left"/>
        <w:rPr>
          <w:rFonts w:ascii="Times New Roman" w:eastAsia="方正仿宋_GBK"/>
          <w:sz w:val="28"/>
        </w:rPr>
      </w:pPr>
      <w:r>
        <w:rPr>
          <w:rFonts w:ascii="Times New Roman" w:eastAsia="方正仿宋_GBK"/>
          <w:sz w:val="28"/>
        </w:rPr>
        <w:t>（四）乡镇纪律检查</w:t>
      </w:r>
    </w:p>
    <w:p>
      <w:pPr>
        <w:spacing w:line="500" w:lineRule="exact"/>
        <w:ind w:firstLine="560" w:firstLineChars="200"/>
        <w:jc w:val="left"/>
        <w:rPr>
          <w:rFonts w:ascii="Times New Roman" w:eastAsia="方正仿宋_GBK"/>
          <w:sz w:val="28"/>
        </w:rPr>
      </w:pPr>
      <w:r>
        <w:rPr>
          <w:rFonts w:ascii="Times New Roman" w:eastAsia="方正仿宋_GBK"/>
          <w:sz w:val="28"/>
        </w:rPr>
        <w:t>绩效目标：认真落实纪检部门各项任务，加强监督检查，促进党风廉政建设。</w:t>
      </w:r>
    </w:p>
    <w:p>
      <w:pPr>
        <w:spacing w:line="500" w:lineRule="exact"/>
        <w:ind w:firstLine="560" w:firstLineChars="200"/>
        <w:jc w:val="left"/>
        <w:rPr>
          <w:rFonts w:ascii="Times New Roman" w:eastAsia="方正仿宋_GBK"/>
          <w:sz w:val="28"/>
        </w:rPr>
      </w:pPr>
      <w:r>
        <w:rPr>
          <w:rFonts w:ascii="Times New Roman" w:eastAsia="方正仿宋_GBK"/>
          <w:sz w:val="28"/>
        </w:rPr>
        <w:t>绩效指标：组织召开监督检查会议的次数不少于5次，办结案件数量占立案案件总数的比率大于85%</w:t>
      </w:r>
      <w:r>
        <w:rPr>
          <w:rFonts w:ascii="Times New Roman" w:eastAsia="方正仿宋_GBK"/>
          <w:sz w:val="28"/>
        </w:rPr>
        <w:tab/>
      </w:r>
      <w:r>
        <w:rPr>
          <w:rFonts w:ascii="Times New Roman" w:eastAsia="方正仿宋_GBK"/>
          <w:sz w:val="28"/>
        </w:rPr>
        <w:t>，问题整改率大于等于85%，通过实施纪检监督政策促进社会稳定水平逐步提高，群众对当年纪检监督工作的整体满意度大于85%。</w:t>
      </w:r>
    </w:p>
    <w:p>
      <w:pPr>
        <w:spacing w:line="500" w:lineRule="exact"/>
        <w:ind w:firstLine="560" w:firstLineChars="200"/>
        <w:jc w:val="left"/>
        <w:rPr>
          <w:rFonts w:ascii="Times New Roman" w:eastAsia="方正仿宋_GBK"/>
          <w:sz w:val="28"/>
        </w:rPr>
      </w:pPr>
      <w:r>
        <w:rPr>
          <w:rFonts w:ascii="Times New Roman" w:eastAsia="方正仿宋_GBK"/>
          <w:sz w:val="28"/>
        </w:rPr>
        <w:t>（五）综合治理及信访稳定</w:t>
      </w:r>
    </w:p>
    <w:p>
      <w:pPr>
        <w:spacing w:line="500" w:lineRule="exact"/>
        <w:ind w:firstLine="560" w:firstLineChars="200"/>
        <w:jc w:val="left"/>
        <w:rPr>
          <w:rFonts w:ascii="Times New Roman" w:eastAsia="方正仿宋_GBK"/>
          <w:sz w:val="28"/>
        </w:rPr>
      </w:pPr>
      <w:r>
        <w:rPr>
          <w:rFonts w:ascii="Times New Roman" w:eastAsia="方正仿宋_GBK"/>
          <w:sz w:val="28"/>
        </w:rPr>
        <w:t>绩效目标：加强综合治理，妥善处理突发性、群体性事件，调节和处理好各种利益矛盾和纠纷；落实各项管理措施，维护农村社会稳定；负责本乡镇的普法宣传教育及法律服务；负责信访稳定工作。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firstLineChars="200"/>
        <w:jc w:val="left"/>
        <w:rPr>
          <w:rFonts w:ascii="Times New Roman" w:eastAsia="方正仿宋_GBK"/>
          <w:sz w:val="28"/>
        </w:rPr>
      </w:pPr>
      <w:r>
        <w:rPr>
          <w:rFonts w:ascii="Times New Roman" w:eastAsia="方正仿宋_GBK"/>
          <w:sz w:val="28"/>
        </w:rPr>
        <w:t>绩效指标：重点人员稳控率大于等于85%，重大安保任务完成率大于等于85%，退役安置满意度大于等于85%，通过维稳工作开展，促进社会稳定水平逐步提高，群众满意度大于85%。</w:t>
      </w:r>
    </w:p>
    <w:p>
      <w:pPr>
        <w:spacing w:line="500" w:lineRule="exact"/>
        <w:ind w:firstLine="560" w:firstLineChars="200"/>
        <w:jc w:val="left"/>
        <w:rPr>
          <w:rFonts w:ascii="Times New Roman" w:eastAsia="方正仿宋_GBK"/>
          <w:sz w:val="28"/>
        </w:rPr>
      </w:pPr>
      <w:r>
        <w:rPr>
          <w:rFonts w:ascii="Times New Roman" w:eastAsia="方正仿宋_GBK"/>
          <w:sz w:val="28"/>
        </w:rPr>
        <w:t>（六）乡镇办公用房修缮</w:t>
      </w:r>
    </w:p>
    <w:p>
      <w:pPr>
        <w:spacing w:line="500" w:lineRule="exact"/>
        <w:ind w:firstLine="560" w:firstLineChars="200"/>
        <w:jc w:val="left"/>
        <w:rPr>
          <w:rFonts w:ascii="Times New Roman" w:eastAsia="方正仿宋_GBK"/>
          <w:sz w:val="28"/>
        </w:rPr>
      </w:pPr>
      <w:r>
        <w:rPr>
          <w:rFonts w:ascii="Times New Roman" w:eastAsia="方正仿宋_GBK"/>
          <w:sz w:val="28"/>
        </w:rPr>
        <w:t>绩效目标：按照乡镇办公需求实施办公用房修缮工作，提供安全、必要的办公条件。</w:t>
      </w:r>
    </w:p>
    <w:p>
      <w:pPr>
        <w:spacing w:line="500" w:lineRule="exact"/>
        <w:ind w:firstLine="560" w:firstLineChars="200"/>
        <w:jc w:val="left"/>
        <w:rPr>
          <w:rFonts w:ascii="Times New Roman" w:eastAsia="方正仿宋_GBK"/>
          <w:sz w:val="28"/>
        </w:rPr>
      </w:pPr>
      <w:r>
        <w:rPr>
          <w:rFonts w:ascii="Times New Roman" w:eastAsia="方正仿宋_GBK"/>
          <w:sz w:val="28"/>
        </w:rPr>
        <w:t>绩效指标：修缮项目完成率大于等于85%，修缮项目验收合格率大于等于85%，公共服务水平提升情况大于85%，修缮后办公设施改善情况大于等于85%。乡镇工作人员对修缮后的办公设备器材的满意度大于等于85%。</w:t>
      </w:r>
    </w:p>
    <w:p>
      <w:pPr>
        <w:spacing w:line="500" w:lineRule="exact"/>
        <w:ind w:firstLine="560" w:firstLineChars="200"/>
        <w:jc w:val="left"/>
        <w:rPr>
          <w:rFonts w:ascii="Times New Roman" w:eastAsia="方正仿宋_GBK"/>
          <w:sz w:val="28"/>
        </w:rPr>
      </w:pPr>
      <w:r>
        <w:rPr>
          <w:rFonts w:ascii="Times New Roman" w:eastAsia="方正仿宋_GBK"/>
          <w:sz w:val="28"/>
        </w:rPr>
        <w:t>（七）财政所工作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绩效目标：配合乡镇完成各项上级财政拨款，落实到位，保障惠民政策落实到位，做好财政国库支付电子化工作。</w:t>
      </w:r>
      <w:r>
        <w:rPr>
          <w:rFonts w:ascii="Times New Roman" w:eastAsia="方正仿宋_GBK"/>
          <w:sz w:val="28"/>
        </w:rPr>
        <w:tab/>
      </w:r>
    </w:p>
    <w:p>
      <w:pPr>
        <w:spacing w:line="500" w:lineRule="exact"/>
        <w:ind w:firstLine="560" w:firstLineChars="200"/>
        <w:jc w:val="left"/>
        <w:rPr>
          <w:rFonts w:ascii="Times New Roman" w:eastAsia="方正仿宋_GBK"/>
          <w:sz w:val="28"/>
        </w:rPr>
      </w:pPr>
      <w:r>
        <w:rPr>
          <w:rFonts w:ascii="Times New Roman" w:eastAsia="方正仿宋_GBK"/>
          <w:sz w:val="28"/>
        </w:rPr>
        <w:t>绩效指标：项目资金有效使用率大于等于85%</w:t>
      </w:r>
      <w:r>
        <w:rPr>
          <w:rFonts w:ascii="Times New Roman" w:eastAsia="方正仿宋_GBK"/>
          <w:sz w:val="28"/>
        </w:rPr>
        <w:tab/>
      </w:r>
      <w:r>
        <w:rPr>
          <w:rFonts w:ascii="Times New Roman" w:eastAsia="方正仿宋_GBK"/>
          <w:sz w:val="28"/>
        </w:rPr>
        <w:t>，财政所工作开展完成率大于85%，通过开展乡镇财政工作促进乡镇经济逐步提高，接受财政所服务的人群对财政所提供服务的满意程度大于等于85%</w:t>
      </w:r>
      <w:r>
        <w:rPr>
          <w:rFonts w:ascii="Times New Roman" w:eastAsia="方正仿宋_GBK"/>
          <w:sz w:val="28"/>
        </w:rPr>
        <w:tab/>
      </w:r>
      <w:r>
        <w:rPr>
          <w:rFonts w:ascii="Times New Roman" w:eastAsia="方正仿宋_GBK"/>
          <w:sz w:val="28"/>
        </w:rPr>
        <w:t>。</w:t>
      </w:r>
    </w:p>
    <w:p>
      <w:pPr>
        <w:spacing w:line="500" w:lineRule="exact"/>
        <w:ind w:firstLine="560" w:firstLineChars="200"/>
        <w:jc w:val="left"/>
        <w:rPr>
          <w:rFonts w:ascii="Times New Roman" w:eastAsia="方正仿宋_GBK"/>
          <w:sz w:val="28"/>
        </w:rPr>
      </w:pPr>
      <w:r>
        <w:rPr>
          <w:rFonts w:ascii="Times New Roman" w:eastAsia="方正仿宋_GBK"/>
          <w:sz w:val="28"/>
        </w:rPr>
        <w:t>（八）团委工作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绩效目标：科学地继承和发扬共青团的优良传统，创新团的工作，找准新时代的中心定位，把各项改革措施不折不扣落实到位。</w:t>
      </w:r>
      <w:r>
        <w:rPr>
          <w:rFonts w:ascii="Times New Roman" w:eastAsia="方正仿宋_GBK"/>
          <w:sz w:val="28"/>
        </w:rPr>
        <w:tab/>
      </w:r>
      <w:r>
        <w:rPr>
          <w:rFonts w:ascii="Times New Roman" w:eastAsia="方正仿宋_GBK"/>
          <w:sz w:val="28"/>
        </w:rPr>
        <w:tab/>
      </w:r>
      <w:r>
        <w:rPr>
          <w:rFonts w:ascii="Times New Roman" w:eastAsia="方正仿宋_GBK"/>
          <w:sz w:val="28"/>
        </w:rPr>
        <w:tab/>
      </w:r>
      <w:r>
        <w:rPr>
          <w:rFonts w:ascii="Times New Roman" w:eastAsia="方正仿宋_GBK"/>
          <w:sz w:val="28"/>
        </w:rPr>
        <w:tab/>
      </w:r>
      <w:r>
        <w:rPr>
          <w:rFonts w:ascii="Times New Roman" w:eastAsia="方正仿宋_GBK"/>
          <w:sz w:val="28"/>
        </w:rPr>
        <w:tab/>
      </w:r>
      <w:r>
        <w:rPr>
          <w:rFonts w:ascii="Times New Roman" w:eastAsia="方正仿宋_GBK"/>
          <w:sz w:val="28"/>
        </w:rPr>
        <w:tab/>
      </w:r>
    </w:p>
    <w:p>
      <w:pPr>
        <w:spacing w:line="500" w:lineRule="exact"/>
        <w:ind w:firstLine="560" w:firstLineChars="200"/>
        <w:jc w:val="left"/>
        <w:rPr>
          <w:rFonts w:ascii="Times New Roman" w:eastAsia="方正仿宋_GBK"/>
          <w:sz w:val="28"/>
        </w:rPr>
      </w:pPr>
      <w:r>
        <w:rPr>
          <w:rFonts w:ascii="Times New Roman" w:eastAsia="方正仿宋_GBK"/>
          <w:sz w:val="28"/>
        </w:rPr>
        <w:t>绩效指标：在新闻媒体开办宣传专栏的数量不少于5个，制作宣传品的数量不少于2000份，参与决策咨询活动次数不少于5次，在本地区产生的重要影响，得到广大受众的充分认可，群众对团委工作的整体满意度大于等于85%。</w:t>
      </w:r>
      <w:r>
        <w:rPr>
          <w:rFonts w:ascii="Times New Roman" w:eastAsia="方正仿宋_GBK"/>
          <w:sz w:val="28"/>
        </w:rPr>
        <w:tab/>
      </w:r>
      <w:r>
        <w:rPr>
          <w:rFonts w:ascii="Times New Roman" w:eastAsia="方正仿宋_GBK"/>
          <w:sz w:val="28"/>
        </w:rPr>
        <w:tab/>
      </w:r>
    </w:p>
    <w:p>
      <w:pPr>
        <w:spacing w:line="500" w:lineRule="exact"/>
        <w:ind w:firstLine="560" w:firstLineChars="200"/>
        <w:jc w:val="left"/>
        <w:rPr>
          <w:rFonts w:ascii="Times New Roman" w:eastAsia="方正仿宋_GBK"/>
          <w:sz w:val="28"/>
        </w:rPr>
      </w:pPr>
      <w:r>
        <w:rPr>
          <w:rFonts w:ascii="Times New Roman" w:eastAsia="方正仿宋_GBK"/>
          <w:sz w:val="28"/>
        </w:rPr>
        <w:t>（九）人大主席团活动</w:t>
      </w:r>
    </w:p>
    <w:p>
      <w:pPr>
        <w:spacing w:line="500" w:lineRule="exact"/>
        <w:ind w:firstLine="560" w:firstLineChars="200"/>
        <w:jc w:val="left"/>
        <w:rPr>
          <w:rFonts w:ascii="Times New Roman" w:eastAsia="方正仿宋_GBK"/>
          <w:sz w:val="28"/>
        </w:rPr>
      </w:pPr>
      <w:r>
        <w:rPr>
          <w:rFonts w:ascii="Times New Roman" w:eastAsia="方正仿宋_GBK"/>
          <w:sz w:val="28"/>
        </w:rPr>
        <w:t>绩效目标：为了更好落实中央2015（18）号文件精神和省委市委落实中央18号文件的意见，切实加强基层人大建设，保障乡人大主席团的正常运转。</w:t>
      </w:r>
    </w:p>
    <w:p>
      <w:pPr>
        <w:spacing w:line="500" w:lineRule="exact"/>
        <w:ind w:firstLine="560" w:firstLineChars="200"/>
        <w:jc w:val="left"/>
        <w:rPr>
          <w:rFonts w:ascii="Times New Roman" w:eastAsia="方正仿宋_GBK"/>
          <w:sz w:val="28"/>
        </w:rPr>
      </w:pPr>
      <w:r>
        <w:rPr>
          <w:rFonts w:ascii="Times New Roman" w:eastAsia="方正仿宋_GBK"/>
          <w:sz w:val="28"/>
        </w:rP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spacing w:line="500" w:lineRule="exact"/>
        <w:ind w:firstLine="560" w:firstLineChars="200"/>
        <w:jc w:val="left"/>
        <w:rPr>
          <w:rFonts w:ascii="Times New Roman" w:eastAsia="方正仿宋_GBK"/>
          <w:sz w:val="28"/>
        </w:rPr>
      </w:pPr>
      <w:r>
        <w:rPr>
          <w:rFonts w:ascii="Times New Roman" w:eastAsia="方正仿宋_GBK"/>
          <w:sz w:val="28"/>
        </w:rPr>
        <w:t>（十）乡镇其他相关工作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绩效目标：按照县委、县政府统一部署，圆满完成上级交办的乡镇其他相关工作。</w:t>
      </w:r>
    </w:p>
    <w:p>
      <w:pPr>
        <w:spacing w:line="500" w:lineRule="exact"/>
        <w:ind w:firstLine="560" w:firstLineChars="200"/>
        <w:jc w:val="left"/>
        <w:rPr>
          <w:rFonts w:ascii="Times New Roman" w:eastAsia="方正仿宋_GBK"/>
          <w:sz w:val="28"/>
        </w:rPr>
      </w:pPr>
      <w:r>
        <w:rPr>
          <w:rFonts w:ascii="Times New Roman" w:eastAsia="方正仿宋_GBK"/>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600" w:firstLineChars="200"/>
        <w:jc w:val="left"/>
        <w:rPr>
          <w:rFonts w:asciiTheme="minorEastAsia" w:hAnsiTheme="minorEastAsia" w:eastAsiaTheme="minorEastAsia"/>
          <w:sz w:val="30"/>
          <w:szCs w:val="30"/>
        </w:rPr>
      </w:pPr>
      <w:r>
        <w:rPr>
          <w:rFonts w:asciiTheme="minorEastAsia" w:hAnsiTheme="minorEastAsia" w:eastAsiaTheme="minorEastAsia"/>
          <w:sz w:val="30"/>
          <w:szCs w:val="30"/>
        </w:rPr>
        <w:t>（</w:t>
      </w:r>
      <w:r>
        <w:rPr>
          <w:rFonts w:hint="eastAsia" w:asciiTheme="minorEastAsia" w:hAnsiTheme="minorEastAsia" w:eastAsiaTheme="minorEastAsia"/>
          <w:sz w:val="30"/>
          <w:szCs w:val="30"/>
        </w:rPr>
        <w:t>一十一</w:t>
      </w:r>
      <w:r>
        <w:rPr>
          <w:rFonts w:asciiTheme="minorEastAsia" w:hAnsiTheme="minorEastAsia" w:eastAsiaTheme="minorEastAsia"/>
          <w:sz w:val="30"/>
          <w:szCs w:val="30"/>
        </w:rPr>
        <w:t>）乡镇其他相关工作</w:t>
      </w:r>
    </w:p>
    <w:p>
      <w:pPr>
        <w:spacing w:line="500" w:lineRule="exact"/>
        <w:ind w:firstLine="600" w:firstLineChars="200"/>
        <w:jc w:val="left"/>
        <w:rPr>
          <w:rFonts w:asciiTheme="minorEastAsia" w:hAnsiTheme="minorEastAsia" w:eastAsiaTheme="minorEastAsia"/>
          <w:sz w:val="30"/>
          <w:szCs w:val="30"/>
        </w:rPr>
      </w:pPr>
      <w:r>
        <w:rPr>
          <w:rFonts w:asciiTheme="minorEastAsia" w:hAnsiTheme="minorEastAsia" w:eastAsiaTheme="minorEastAsia"/>
          <w:sz w:val="30"/>
          <w:szCs w:val="30"/>
        </w:rPr>
        <w:t>绩效目标：按照县委、县政府统一部署，圆满完成上级交办的乡镇其他相关工作。</w:t>
      </w:r>
    </w:p>
    <w:p>
      <w:pPr>
        <w:spacing w:line="500" w:lineRule="exact"/>
        <w:ind w:firstLine="600" w:firstLineChars="200"/>
        <w:jc w:val="left"/>
        <w:rPr>
          <w:rFonts w:asciiTheme="minorEastAsia" w:hAnsiTheme="minorEastAsia" w:eastAsiaTheme="minorEastAsia"/>
          <w:sz w:val="30"/>
          <w:szCs w:val="30"/>
        </w:rPr>
      </w:pPr>
      <w:r>
        <w:rPr>
          <w:rFonts w:asciiTheme="minorEastAsia" w:hAnsiTheme="minorEastAsia" w:eastAsiaTheme="minorEastAsia"/>
          <w:sz w:val="30"/>
          <w:szCs w:val="30"/>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600" w:firstLineChars="200"/>
        <w:jc w:val="left"/>
        <w:outlineLvl w:val="1"/>
        <w:rPr>
          <w:rFonts w:asciiTheme="minorEastAsia" w:hAnsiTheme="minorEastAsia" w:eastAsiaTheme="minorEastAsia"/>
          <w:sz w:val="30"/>
          <w:szCs w:val="30"/>
        </w:rPr>
      </w:pPr>
      <w:r>
        <w:rPr>
          <w:rFonts w:hint="eastAsia" w:asciiTheme="minorEastAsia" w:hAnsiTheme="minorEastAsia" w:eastAsiaTheme="minorEastAsia"/>
          <w:sz w:val="30"/>
          <w:szCs w:val="30"/>
        </w:rPr>
        <w:t>3、工作保障措施</w:t>
      </w:r>
    </w:p>
    <w:p>
      <w:pPr>
        <w:spacing w:line="500" w:lineRule="exact"/>
        <w:ind w:firstLine="600" w:firstLineChars="200"/>
        <w:jc w:val="left"/>
        <w:rPr>
          <w:rFonts w:asciiTheme="minorEastAsia" w:hAnsiTheme="minorEastAsia" w:eastAsiaTheme="minorEastAsia"/>
          <w:sz w:val="30"/>
          <w:szCs w:val="30"/>
        </w:rPr>
      </w:pPr>
      <w:r>
        <w:rPr>
          <w:rFonts w:asciiTheme="minorEastAsia" w:hAnsiTheme="minorEastAsia" w:eastAsiaTheme="minorEastAsia"/>
          <w:sz w:val="30"/>
          <w:szCs w:val="30"/>
        </w:rPr>
        <w:t>（</w:t>
      </w:r>
      <w:r>
        <w:rPr>
          <w:rFonts w:hint="eastAsia" w:asciiTheme="minorEastAsia" w:hAnsiTheme="minorEastAsia" w:eastAsiaTheme="minorEastAsia"/>
          <w:sz w:val="30"/>
          <w:szCs w:val="30"/>
        </w:rPr>
        <w:t>1</w:t>
      </w:r>
      <w:r>
        <w:rPr>
          <w:rFonts w:asciiTheme="minorEastAsia" w:hAnsiTheme="minorEastAsia" w:eastAsiaTheme="minorEastAsia"/>
          <w:sz w:val="30"/>
          <w:szCs w:val="30"/>
        </w:rPr>
        <w:t>）完善制度建设。制定完善本乡镇预算绩效管理制度、资金管理办法、工作保障制度等，为本乡镇全年预算绩效目标的实现奠定制度基础。</w:t>
      </w:r>
    </w:p>
    <w:p>
      <w:pPr>
        <w:spacing w:line="500" w:lineRule="exact"/>
        <w:ind w:firstLine="600" w:firstLineChars="200"/>
        <w:jc w:val="left"/>
        <w:rPr>
          <w:rFonts w:asciiTheme="minorEastAsia" w:hAnsiTheme="minorEastAsia" w:eastAsiaTheme="minorEastAsia"/>
          <w:sz w:val="30"/>
          <w:szCs w:val="30"/>
        </w:rPr>
      </w:pPr>
      <w:r>
        <w:rPr>
          <w:rFonts w:asciiTheme="minorEastAsia" w:hAnsiTheme="minorEastAsia" w:eastAsiaTheme="minorEastAsia"/>
          <w:sz w:val="30"/>
          <w:szCs w:val="30"/>
        </w:rPr>
        <w:t>（</w:t>
      </w:r>
      <w:r>
        <w:rPr>
          <w:rFonts w:hint="eastAsia" w:asciiTheme="minorEastAsia" w:hAnsiTheme="minorEastAsia" w:eastAsiaTheme="minorEastAsia"/>
          <w:sz w:val="30"/>
          <w:szCs w:val="30"/>
        </w:rPr>
        <w:t>2</w:t>
      </w:r>
      <w:r>
        <w:rPr>
          <w:rFonts w:asciiTheme="minorEastAsia" w:hAnsiTheme="minorEastAsia" w:eastAsiaTheme="minorEastAsia"/>
          <w:sz w:val="30"/>
          <w:szCs w:val="30"/>
        </w:rPr>
        <w:t>）加强支出管理。通过优化支出结构、编细编实预算、加快履行政府采购手续、尽快启动项目、及时支付资金、6月底前细化代编预算、按规定及时下达资金等多种措施，确保支出进度达标。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00" w:firstLineChars="200"/>
        <w:jc w:val="left"/>
        <w:rPr>
          <w:rFonts w:asciiTheme="minorEastAsia" w:hAnsiTheme="minorEastAsia" w:eastAsiaTheme="minorEastAsia"/>
          <w:sz w:val="30"/>
          <w:szCs w:val="30"/>
        </w:rPr>
      </w:pPr>
      <w:r>
        <w:rPr>
          <w:rFonts w:asciiTheme="minorEastAsia" w:hAnsiTheme="minorEastAsia" w:eastAsiaTheme="minorEastAsia"/>
          <w:sz w:val="30"/>
          <w:szCs w:val="30"/>
        </w:rPr>
        <w:t>（</w:t>
      </w:r>
      <w:r>
        <w:rPr>
          <w:rFonts w:hint="eastAsia" w:asciiTheme="minorEastAsia" w:hAnsiTheme="minorEastAsia" w:eastAsiaTheme="minorEastAsia"/>
          <w:sz w:val="30"/>
          <w:szCs w:val="30"/>
        </w:rPr>
        <w:t>3</w:t>
      </w:r>
      <w:r>
        <w:rPr>
          <w:rFonts w:asciiTheme="minorEastAsia" w:hAnsiTheme="minorEastAsia" w:eastAsiaTheme="minorEastAsia"/>
          <w:sz w:val="30"/>
          <w:szCs w:val="30"/>
        </w:rPr>
        <w:t>）加强绩效运行监控。按要求开展绩效运行监控，发现问题及时采取措施，确保绩效目标如期保质实现。</w:t>
      </w:r>
    </w:p>
    <w:p>
      <w:pPr>
        <w:spacing w:line="500" w:lineRule="exact"/>
        <w:ind w:firstLine="600" w:firstLineChars="200"/>
        <w:jc w:val="left"/>
        <w:rPr>
          <w:rFonts w:asciiTheme="minorEastAsia" w:hAnsiTheme="minorEastAsia" w:eastAsiaTheme="minorEastAsia"/>
          <w:sz w:val="30"/>
          <w:szCs w:val="30"/>
        </w:rPr>
      </w:pPr>
      <w:r>
        <w:rPr>
          <w:rFonts w:asciiTheme="minorEastAsia" w:hAnsiTheme="minorEastAsia" w:eastAsiaTheme="minorEastAsia"/>
          <w:sz w:val="30"/>
          <w:szCs w:val="30"/>
        </w:rPr>
        <w:t>（</w:t>
      </w:r>
      <w:r>
        <w:rPr>
          <w:rFonts w:hint="eastAsia" w:asciiTheme="minorEastAsia" w:hAnsiTheme="minorEastAsia" w:eastAsiaTheme="minorEastAsia"/>
          <w:sz w:val="30"/>
          <w:szCs w:val="30"/>
        </w:rPr>
        <w:t>4</w:t>
      </w:r>
      <w:r>
        <w:rPr>
          <w:rFonts w:asciiTheme="minorEastAsia" w:hAnsiTheme="minorEastAsia" w:eastAsiaTheme="minorEastAsia"/>
          <w:sz w:val="30"/>
          <w:szCs w:val="30"/>
        </w:rPr>
        <w:t>）做好绩效自评。按要求开展上年度部门预算绩效自评和重点评价工作，对评价中发现的问题及时整改，调整优化支出结构，提高财政资金使用效益。</w:t>
      </w:r>
    </w:p>
    <w:p>
      <w:pPr>
        <w:spacing w:line="500" w:lineRule="exact"/>
        <w:ind w:firstLine="600" w:firstLineChars="200"/>
        <w:jc w:val="left"/>
        <w:rPr>
          <w:rFonts w:asciiTheme="minorEastAsia" w:hAnsiTheme="minorEastAsia" w:eastAsiaTheme="minorEastAsia"/>
          <w:sz w:val="30"/>
          <w:szCs w:val="30"/>
        </w:rPr>
      </w:pPr>
      <w:r>
        <w:rPr>
          <w:rFonts w:asciiTheme="minorEastAsia" w:hAnsiTheme="minorEastAsia" w:eastAsiaTheme="minorEastAsia"/>
          <w:sz w:val="30"/>
          <w:szCs w:val="30"/>
        </w:rPr>
        <w:t>（</w:t>
      </w:r>
      <w:r>
        <w:rPr>
          <w:rFonts w:hint="eastAsia" w:asciiTheme="minorEastAsia" w:hAnsiTheme="minorEastAsia" w:eastAsiaTheme="minorEastAsia"/>
          <w:sz w:val="30"/>
          <w:szCs w:val="30"/>
        </w:rPr>
        <w:t>5</w:t>
      </w:r>
      <w:r>
        <w:rPr>
          <w:rFonts w:asciiTheme="minorEastAsia" w:hAnsiTheme="minorEastAsia" w:eastAsiaTheme="minorEastAsia"/>
          <w:sz w:val="30"/>
          <w:szCs w:val="30"/>
        </w:rPr>
        <w:t>）规范财务资产管理。完善财务管理制度，严格审批程序，加强固定资产登记、使用和报废处置管理，做到支出合理，物尽其用。</w:t>
      </w:r>
    </w:p>
    <w:p>
      <w:pPr>
        <w:spacing w:line="500" w:lineRule="exact"/>
        <w:ind w:firstLine="600" w:firstLineChars="200"/>
        <w:jc w:val="left"/>
        <w:rPr>
          <w:rFonts w:asciiTheme="minorEastAsia" w:hAnsiTheme="minorEastAsia" w:eastAsiaTheme="minorEastAsia"/>
          <w:sz w:val="30"/>
          <w:szCs w:val="30"/>
        </w:rPr>
      </w:pPr>
      <w:r>
        <w:rPr>
          <w:rFonts w:asciiTheme="minorEastAsia" w:hAnsiTheme="minorEastAsia" w:eastAsiaTheme="minorEastAsia"/>
          <w:sz w:val="30"/>
          <w:szCs w:val="30"/>
        </w:rPr>
        <w:t>（</w:t>
      </w:r>
      <w:r>
        <w:rPr>
          <w:rFonts w:hint="eastAsia" w:asciiTheme="minorEastAsia" w:hAnsiTheme="minorEastAsia" w:eastAsiaTheme="minorEastAsia"/>
          <w:sz w:val="30"/>
          <w:szCs w:val="30"/>
        </w:rPr>
        <w:t>6</w:t>
      </w:r>
      <w:r>
        <w:rPr>
          <w:rFonts w:asciiTheme="minorEastAsia" w:hAnsiTheme="minorEastAsia" w:eastAsiaTheme="minorEastAsia"/>
          <w:sz w:val="30"/>
          <w:szCs w:val="30"/>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（二）预算项目绩效目标</w:t>
      </w:r>
    </w:p>
    <w:p>
      <w:pPr>
        <w:ind w:firstLine="562" w:firstLineChars="200"/>
        <w:jc w:val="left"/>
        <w:outlineLvl w:val="1"/>
        <w:rPr>
          <w:rFonts w:ascii="Times New Roman" w:hAnsi="宋体"/>
          <w:b/>
          <w:sz w:val="28"/>
        </w:rPr>
      </w:pPr>
      <w:r>
        <w:rPr>
          <w:rFonts w:hint="eastAsia" w:ascii="方正仿宋_GBK" w:eastAsia="方正仿宋_GBK"/>
          <w:b/>
          <w:sz w:val="28"/>
        </w:rPr>
        <w:t>1、财政所工作经费绩效目标表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0001001"/>
      <w:r>
        <w:rPr>
          <w:rFonts w:hint="eastAsia" w:ascii="方正仿宋_GBK" w:eastAsia="方正仿宋_GBK"/>
          <w:b/>
          <w:sz w:val="28"/>
        </w:rPr>
        <w:instrText xml:space="preserve">1、财政所工作经费绩效目标表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804002</w:t>
            </w:r>
            <w:r>
              <w:rPr>
                <w:rFonts w:hint="eastAsia" w:ascii="方正书宋_GBK" w:eastAsia="方正书宋_GBK"/>
                <w:b/>
              </w:rPr>
              <w:t>涞水县永阳镇人民政府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804-1301-YBN-FV71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财政所工作经费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乡镇管理着所有的惠农政策补贴资金、财政扶贫资金、村级</w:t>
            </w:r>
            <w:r>
              <w:rPr>
                <w:rFonts w:hint="cs" w:ascii="方正书宋_GBK" w:eastAsia="方正书宋_GBK"/>
              </w:rPr>
              <w:t>“</w:t>
            </w:r>
            <w:r>
              <w:rPr>
                <w:rFonts w:hint="eastAsia" w:ascii="方正书宋_GBK" w:eastAsia="方正书宋_GBK"/>
              </w:rPr>
              <w:t>一事一议</w:t>
            </w:r>
            <w:r>
              <w:rPr>
                <w:rFonts w:hint="cs" w:ascii="方正书宋_GBK" w:eastAsia="方正书宋_GBK"/>
              </w:rPr>
              <w:t>”</w:t>
            </w:r>
            <w:r>
              <w:rPr>
                <w:rFonts w:hint="eastAsia" w:ascii="方正书宋_GBK" w:eastAsia="方正书宋_GBK"/>
              </w:rPr>
              <w:t>公益事业建设奖补资金、农村</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委托代理、新农村建设各项工程及征地补偿、国库集中支付电子化、乡镇日常预算收支等财政业务工作。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、配合乡镇完成各项上级财政拨款，落实到位，保障惠民政策落实到位，做好财政国库支付电子化工作。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通过开展乡镇财政工作，带动全县财政事业发展的效果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乡镇经济发展能力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通过开展乡镇财政工作促进乡镇经济逐步提高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接受财政所服务的人群对财政所提供服务的满意程度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contextualSpacing/>
        <w:jc w:val="left"/>
      </w:pPr>
    </w:p>
    <w:p>
      <w:pPr>
        <w:jc w:val="left"/>
        <w:outlineLvl w:val="1"/>
        <w:rPr>
          <w:rFonts w:ascii="Times New Roman" w:hAnsi="宋体"/>
          <w:b/>
          <w:sz w:val="28"/>
        </w:rPr>
      </w:pPr>
      <w:r>
        <w:rPr>
          <w:rFonts w:hint="eastAsia" w:ascii="方正仿宋_GBK" w:eastAsia="方正仿宋_GBK"/>
          <w:b/>
          <w:sz w:val="28"/>
        </w:rPr>
        <w:t>2、纪检经费绩效目标表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0001002"/>
      <w:r>
        <w:rPr>
          <w:rFonts w:hint="eastAsia" w:ascii="方正仿宋_GBK" w:eastAsia="方正仿宋_GBK"/>
          <w:b/>
          <w:sz w:val="28"/>
        </w:rPr>
        <w:instrText xml:space="preserve">2、纪检经费绩效目标表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804002</w:t>
            </w:r>
            <w:r>
              <w:rPr>
                <w:rFonts w:hint="eastAsia" w:ascii="方正书宋_GBK" w:eastAsia="方正书宋_GBK"/>
                <w:b/>
              </w:rPr>
              <w:t>涞水县永阳镇人民政府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804-1301-YBN-YPGI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纪检经费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p>
        </w:tc>
      </w:tr>
    </w:tbl>
    <w:p>
      <w:pPr>
        <w:pStyle w:val="12"/>
        <w:numPr>
          <w:ilvl w:val="0"/>
          <w:numId w:val="1"/>
        </w:numPr>
        <w:spacing w:line="14" w:lineRule="exact"/>
        <w:ind w:firstLineChars="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组织监督检查会议次数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组织召开监督检查会议的次数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办结案件数量占立案案件总数的比率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问题整改率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已整改问题数量占发现问题总数的比率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通过实施纪检监督政策促进社会稳定水平逐步提高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lang w:val="en-US" w:eastAsia="zh-CN"/>
              </w:rPr>
              <w:t>5</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群众对当年纪检监督工作的整体满意度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12"/>
        <w:spacing w:line="300" w:lineRule="exact"/>
        <w:ind w:left="720" w:firstLine="0" w:firstLineChars="0"/>
        <w:jc w:val="left"/>
        <w:sectPr>
          <w:pgSz w:w="11907" w:h="16839"/>
          <w:pgMar w:top="1984" w:right="1304" w:bottom="1134" w:left="1304" w:header="851" w:footer="992" w:gutter="0"/>
          <w:cols w:space="425" w:num="1"/>
          <w:docGrid w:type="lines" w:linePitch="312" w:charSpace="0"/>
        </w:sectPr>
      </w:pPr>
    </w:p>
    <w:p>
      <w:pPr>
        <w:spacing w:line="300" w:lineRule="exact"/>
        <w:jc w:val="left"/>
      </w:pPr>
    </w:p>
    <w:p>
      <w:pPr>
        <w:jc w:val="left"/>
        <w:outlineLvl w:val="1"/>
        <w:rPr>
          <w:rFonts w:ascii="Times New Roman" w:hAnsi="宋体"/>
          <w:b/>
          <w:sz w:val="28"/>
        </w:rPr>
      </w:pPr>
      <w:r>
        <w:rPr>
          <w:rFonts w:hint="eastAsia" w:ascii="方正仿宋_GBK" w:eastAsia="方正仿宋_GBK"/>
          <w:b/>
          <w:sz w:val="28"/>
        </w:rPr>
        <w:t>3、农村文化建设资金绩效目标表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0001003"/>
      <w:r>
        <w:rPr>
          <w:rFonts w:hint="eastAsia" w:ascii="方正仿宋_GBK" w:eastAsia="方正仿宋_GBK"/>
          <w:b/>
          <w:sz w:val="28"/>
        </w:rPr>
        <w:instrText xml:space="preserve">3、农村文化建设资金绩效目标表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804002</w:t>
            </w:r>
            <w:r>
              <w:rPr>
                <w:rFonts w:hint="eastAsia" w:ascii="方正书宋_GBK" w:eastAsia="方正书宋_GBK"/>
                <w:b/>
              </w:rPr>
              <w:t>涞水县永阳镇人民政府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804-1302-YBN-LO2R</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1.75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加强文化队伍和村级文化阵地建设，营造镇域文化氛围，发掘民间艺术资源，开展群娱活动。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pStyle w:val="12"/>
        <w:numPr>
          <w:ilvl w:val="0"/>
          <w:numId w:val="1"/>
        </w:numPr>
        <w:spacing w:line="14" w:lineRule="exact"/>
        <w:ind w:firstLineChars="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公共文化服务活动数量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各类公共文化服务活动组织开展的数量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文化设施达标率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省内实际文化设施达标数量占文化设施总数的比率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收藏及保管物品完好率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收藏和保管物品（各类型资源文献、文化艺术作品和档案材料等）完好数占总数的比率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对全省宣传文化事业发展的促进推动作用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通过支持重点宣传文化项目建设，带动全省宣传文化事业发展的效果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群众对当年农村文化活动开展整体满意度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12"/>
        <w:spacing w:line="300" w:lineRule="exact"/>
        <w:ind w:left="720" w:firstLine="0" w:firstLineChars="0"/>
        <w:jc w:val="left"/>
        <w:sectPr>
          <w:pgSz w:w="11907" w:h="16839"/>
          <w:pgMar w:top="1984" w:right="1304" w:bottom="1134" w:left="1304" w:header="851" w:footer="992" w:gutter="0"/>
          <w:cols w:space="425" w:num="1"/>
          <w:docGrid w:type="lines" w:linePitch="312" w:charSpace="0"/>
        </w:sectPr>
      </w:pPr>
    </w:p>
    <w:p>
      <w:pPr>
        <w:spacing w:line="300" w:lineRule="exact"/>
        <w:jc w:val="left"/>
      </w:pPr>
    </w:p>
    <w:p>
      <w:pPr>
        <w:jc w:val="left"/>
        <w:outlineLvl w:val="1"/>
        <w:rPr>
          <w:rFonts w:ascii="Times New Roman" w:hAnsi="宋体"/>
          <w:b/>
          <w:sz w:val="28"/>
        </w:rPr>
      </w:pPr>
      <w:r>
        <w:rPr>
          <w:rFonts w:hint="eastAsia" w:ascii="方正仿宋_GBK" w:eastAsia="方正仿宋_GBK"/>
          <w:b/>
          <w:sz w:val="28"/>
        </w:rPr>
        <w:t>4、人大主席团活动经费绩效目标表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0001004"/>
      <w:r>
        <w:rPr>
          <w:rFonts w:hint="eastAsia" w:ascii="方正仿宋_GBK" w:eastAsia="方正仿宋_GBK"/>
          <w:b/>
          <w:sz w:val="28"/>
        </w:rPr>
        <w:instrText xml:space="preserve">4、人大主席团活动经费绩效目标表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804002</w:t>
            </w:r>
            <w:r>
              <w:rPr>
                <w:rFonts w:hint="eastAsia" w:ascii="方正书宋_GBK" w:eastAsia="方正书宋_GBK"/>
                <w:b/>
              </w:rPr>
              <w:t>涞水县永阳镇人民政府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804-1302-YBN-BGO3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人大主席团活动经费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pStyle w:val="12"/>
        <w:numPr>
          <w:ilvl w:val="0"/>
          <w:numId w:val="1"/>
        </w:numPr>
        <w:spacing w:line="14" w:lineRule="exact"/>
        <w:ind w:firstLineChars="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工作经费使用率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经费使用占拨付经费的比率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工作经费拨付率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拨付经费占年初预算的比率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参与政府决策活动次数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参与决策咨询活动次数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群众对当年人大主席团工作的整体满意度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12"/>
        <w:numPr>
          <w:ilvl w:val="0"/>
          <w:numId w:val="1"/>
        </w:numPr>
        <w:spacing w:line="300" w:lineRule="exact"/>
        <w:ind w:firstLineChars="0"/>
        <w:jc w:val="left"/>
        <w:sectPr>
          <w:pgSz w:w="11907" w:h="16839"/>
          <w:pgMar w:top="1984" w:right="1304" w:bottom="1134" w:left="1304" w:header="851" w:footer="992" w:gutter="0"/>
          <w:cols w:space="425" w:num="1"/>
          <w:docGrid w:type="lines" w:linePitch="312" w:charSpace="0"/>
        </w:sectPr>
      </w:pPr>
    </w:p>
    <w:p>
      <w:pPr>
        <w:pStyle w:val="12"/>
        <w:spacing w:line="300" w:lineRule="exact"/>
        <w:ind w:left="720" w:firstLine="0" w:firstLineChars="0"/>
        <w:jc w:val="left"/>
      </w:pPr>
    </w:p>
    <w:p>
      <w:pPr>
        <w:jc w:val="left"/>
        <w:outlineLvl w:val="1"/>
        <w:rPr>
          <w:rFonts w:ascii="Times New Roman" w:hAnsi="宋体"/>
          <w:b/>
          <w:sz w:val="28"/>
        </w:rPr>
      </w:pPr>
      <w:r>
        <w:rPr>
          <w:rFonts w:hint="eastAsia" w:ascii="方正仿宋_GBK" w:eastAsia="方正仿宋_GBK"/>
          <w:b/>
          <w:sz w:val="28"/>
        </w:rPr>
        <w:t>5、食安经费绩效目标表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0001005"/>
      <w:r>
        <w:rPr>
          <w:rFonts w:hint="eastAsia" w:ascii="方正仿宋_GBK" w:eastAsia="方正仿宋_GBK"/>
          <w:b/>
          <w:sz w:val="28"/>
        </w:rPr>
        <w:instrText xml:space="preserve">5、食安经费绩效目标表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804002</w:t>
            </w:r>
            <w:r>
              <w:rPr>
                <w:rFonts w:hint="eastAsia" w:ascii="方正书宋_GBK" w:eastAsia="方正书宋_GBK"/>
                <w:b/>
              </w:rPr>
              <w:t>涞水县永阳镇人民政府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804-1302-YBN-U8WY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食安经费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0.69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0.69</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、食品安全作为重大的基本民生问题，为进一步加强本镇食品安全工作，落实食品生产经营者主体责任，增强政府监管效能，发挥社会组织的作用。</w:t>
            </w:r>
          </w:p>
        </w:tc>
      </w:tr>
    </w:tbl>
    <w:p>
      <w:pPr>
        <w:pStyle w:val="12"/>
        <w:numPr>
          <w:ilvl w:val="0"/>
          <w:numId w:val="1"/>
        </w:numPr>
        <w:spacing w:line="14" w:lineRule="exact"/>
        <w:ind w:firstLineChars="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抽查覆盖率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抽查对象的数量占全部对象的比率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对食品安全的监管作用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通过对食品安全的监管，确保本地区食品安全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接受食品安全监管的人群对食品安全监管工作的满意程度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12"/>
        <w:numPr>
          <w:ilvl w:val="0"/>
          <w:numId w:val="1"/>
        </w:numPr>
        <w:spacing w:line="300" w:lineRule="exact"/>
        <w:ind w:firstLineChars="0"/>
        <w:jc w:val="left"/>
        <w:sectPr>
          <w:pgSz w:w="11907" w:h="16839"/>
          <w:pgMar w:top="1984" w:right="1304" w:bottom="1134" w:left="1304" w:header="851" w:footer="992" w:gutter="0"/>
          <w:cols w:space="425" w:num="1"/>
          <w:docGrid w:type="lines" w:linePitch="312" w:charSpace="0"/>
        </w:sectPr>
      </w:pPr>
    </w:p>
    <w:p>
      <w:pPr>
        <w:spacing w:line="300" w:lineRule="exact"/>
        <w:jc w:val="left"/>
      </w:pPr>
    </w:p>
    <w:p>
      <w:pPr>
        <w:jc w:val="left"/>
        <w:outlineLvl w:val="1"/>
        <w:rPr>
          <w:rFonts w:ascii="Times New Roman" w:hAnsi="宋体"/>
          <w:b/>
          <w:sz w:val="28"/>
        </w:rPr>
      </w:pPr>
      <w:r>
        <w:rPr>
          <w:rFonts w:hint="eastAsia" w:ascii="方正仿宋_GBK" w:eastAsia="方正仿宋_GBK"/>
          <w:b/>
          <w:sz w:val="28"/>
        </w:rPr>
        <w:t>6、团委经费绩效目标表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0001006"/>
      <w:r>
        <w:rPr>
          <w:rFonts w:hint="eastAsia" w:ascii="方正仿宋_GBK" w:eastAsia="方正仿宋_GBK"/>
          <w:b/>
          <w:sz w:val="28"/>
        </w:rPr>
        <w:instrText xml:space="preserve">6、团委经费绩效目标表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804002</w:t>
            </w:r>
            <w:r>
              <w:rPr>
                <w:rFonts w:hint="eastAsia" w:ascii="方正书宋_GBK" w:eastAsia="方正书宋_GBK"/>
                <w:b/>
              </w:rPr>
              <w:t>涞水县永阳镇人民政府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804-1302-YBN-OOT1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团委经费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p>
        </w:tc>
      </w:tr>
    </w:tbl>
    <w:p>
      <w:pPr>
        <w:pStyle w:val="12"/>
        <w:numPr>
          <w:ilvl w:val="0"/>
          <w:numId w:val="1"/>
        </w:numPr>
        <w:spacing w:line="14" w:lineRule="exact"/>
        <w:ind w:firstLineChars="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开办宣传专栏数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在新闻媒体开办宣传专栏的数量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制作宣传品数量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制作宣传品的数量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参与政府决策活动次数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参与决策咨询活动次数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群众对团委工作的整体满意度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12"/>
        <w:numPr>
          <w:ilvl w:val="0"/>
          <w:numId w:val="1"/>
        </w:numPr>
        <w:spacing w:line="300" w:lineRule="exact"/>
        <w:ind w:firstLineChars="0"/>
        <w:jc w:val="left"/>
        <w:sectPr>
          <w:pgSz w:w="11907" w:h="16839"/>
          <w:pgMar w:top="1984" w:right="1304" w:bottom="1134" w:left="1304" w:header="851" w:footer="992" w:gutter="0"/>
          <w:cols w:space="425" w:num="1"/>
          <w:docGrid w:type="lines" w:linePitch="312" w:charSpace="0"/>
        </w:sectPr>
      </w:pPr>
    </w:p>
    <w:p>
      <w:pPr>
        <w:spacing w:line="300" w:lineRule="exact"/>
        <w:jc w:val="left"/>
      </w:pPr>
    </w:p>
    <w:p>
      <w:pPr>
        <w:jc w:val="left"/>
        <w:outlineLvl w:val="1"/>
        <w:rPr>
          <w:rFonts w:ascii="Times New Roman" w:hAnsi="宋体"/>
          <w:b/>
          <w:sz w:val="28"/>
        </w:rPr>
      </w:pPr>
      <w:r>
        <w:rPr>
          <w:rFonts w:hint="eastAsia" w:ascii="方正仿宋_GBK" w:eastAsia="方正仿宋_GBK"/>
          <w:b/>
          <w:sz w:val="28"/>
        </w:rPr>
        <w:t>7、维稳经费（年初）绩效目标表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0001007"/>
      <w:r>
        <w:rPr>
          <w:rFonts w:hint="eastAsia" w:ascii="方正仿宋_GBK" w:eastAsia="方正仿宋_GBK"/>
          <w:b/>
          <w:sz w:val="28"/>
        </w:rPr>
        <w:instrText xml:space="preserve">7、维稳经费（年初）绩效目标表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804002</w:t>
            </w:r>
            <w:r>
              <w:rPr>
                <w:rFonts w:hint="eastAsia" w:ascii="方正书宋_GBK" w:eastAsia="方正书宋_GBK"/>
                <w:b/>
              </w:rPr>
              <w:t>涞水县永阳镇人民政府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804-1302-YBN-O8IY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维稳经费（年初）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tc>
      </w:tr>
    </w:tbl>
    <w:p>
      <w:pPr>
        <w:pStyle w:val="12"/>
        <w:numPr>
          <w:ilvl w:val="0"/>
          <w:numId w:val="1"/>
        </w:numPr>
        <w:spacing w:line="14" w:lineRule="exact"/>
        <w:ind w:firstLineChars="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重点人员稳控率</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重点人员稳控与实际完成稳控情况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重大安保任务完成率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完成的安保任务占任务总数的比率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退役安置满意度（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对退役安置满意和较满意的人数占调查总人数的比率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通过维稳工作开展，促进社会稳定水平逐步提高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调查中满意和较满意的群众人数占全部调查人数的比率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12"/>
        <w:numPr>
          <w:ilvl w:val="0"/>
          <w:numId w:val="1"/>
        </w:numPr>
        <w:spacing w:line="300" w:lineRule="exact"/>
        <w:ind w:firstLineChars="0"/>
        <w:jc w:val="left"/>
        <w:sectPr>
          <w:pgSz w:w="11907" w:h="16839"/>
          <w:pgMar w:top="1984" w:right="1304" w:bottom="1134" w:left="1304" w:header="851" w:footer="992" w:gutter="0"/>
          <w:cols w:space="425" w:num="1"/>
          <w:docGrid w:type="lines" w:linePitch="312" w:charSpace="0"/>
        </w:sectPr>
      </w:pPr>
    </w:p>
    <w:p>
      <w:pPr>
        <w:spacing w:line="300" w:lineRule="exact"/>
        <w:jc w:val="left"/>
      </w:pPr>
    </w:p>
    <w:p>
      <w:pPr>
        <w:jc w:val="left"/>
        <w:outlineLvl w:val="1"/>
        <w:rPr>
          <w:rFonts w:ascii="Times New Roman" w:hAnsi="宋体"/>
          <w:b/>
          <w:sz w:val="28"/>
        </w:rPr>
      </w:pPr>
      <w:r>
        <w:rPr>
          <w:rFonts w:hint="eastAsia" w:ascii="方正仿宋_GBK" w:eastAsia="方正仿宋_GBK"/>
          <w:b/>
          <w:sz w:val="28"/>
        </w:rPr>
        <w:t>8、小型修缮经费绩效目标表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0001008"/>
      <w:r>
        <w:rPr>
          <w:rFonts w:hint="eastAsia" w:ascii="方正仿宋_GBK" w:eastAsia="方正仿宋_GBK"/>
          <w:b/>
          <w:sz w:val="28"/>
        </w:rPr>
        <w:instrText xml:space="preserve">8、小型修缮经费绩效目标表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804002</w:t>
            </w:r>
            <w:r>
              <w:rPr>
                <w:rFonts w:hint="eastAsia" w:ascii="方正书宋_GBK" w:eastAsia="方正书宋_GBK"/>
                <w:b/>
              </w:rPr>
              <w:t>涞水县永阳镇人民政府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804-1301-YBN-BWWH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小型修缮经费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3.56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3.56</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修复墙体裂缝，修复墙面脱落，修复楼梯踏板，修复房顶风化和削落，修复屋顶渗，修复电线老化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、为加强节约型机关建设，改善乡镇干部职工办公条件，保障干部职工及广大人民群众生命财产安全，提供安全、必要的办公条件，实施办公楼修缮项目。</w:t>
            </w:r>
          </w:p>
        </w:tc>
      </w:tr>
    </w:tbl>
    <w:p>
      <w:pPr>
        <w:pStyle w:val="12"/>
        <w:numPr>
          <w:ilvl w:val="0"/>
          <w:numId w:val="1"/>
        </w:numPr>
        <w:spacing w:line="14" w:lineRule="exact"/>
        <w:ind w:firstLineChars="0"/>
        <w:jc w:val="center"/>
        <w:rPr>
          <w:rFonts w:ascii="Times New Roman" w:hAnsi="宋体"/>
        </w:rPr>
      </w:pPr>
      <w:r>
        <w:rPr>
          <w:rFonts w:ascii="方正书宋_GBK" w:eastAsia="方正书宋_GBK"/>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修缮项目完成率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修缮项目验收合格率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购置对公共服务水平的提升情况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办公设施的改善成效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反映修缮后办公设施改善情况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乡镇工作人员对修缮后的办公设备器材的满意度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12"/>
        <w:numPr>
          <w:ilvl w:val="0"/>
          <w:numId w:val="1"/>
        </w:numPr>
        <w:spacing w:line="300" w:lineRule="exact"/>
        <w:ind w:firstLineChars="0"/>
        <w:jc w:val="left"/>
        <w:sectPr>
          <w:pgSz w:w="11907" w:h="16839"/>
          <w:pgMar w:top="1984" w:right="1304" w:bottom="1134" w:left="1304" w:header="851" w:footer="992" w:gutter="0"/>
          <w:cols w:space="425" w:num="1"/>
          <w:docGrid w:type="lines" w:linePitch="312" w:charSpace="0"/>
        </w:sectPr>
      </w:pPr>
    </w:p>
    <w:p>
      <w:pPr>
        <w:pStyle w:val="11"/>
        <w:tabs>
          <w:tab w:val="left" w:pos="913"/>
        </w:tabs>
        <w:ind w:firstLine="0" w:firstLineChars="0"/>
        <w:rPr>
          <w:rFonts w:ascii="宋体" w:hAnsi="宋体" w:cs="宋体"/>
          <w:b/>
          <w:bCs/>
          <w:color w:val="000000"/>
          <w:kern w:val="0"/>
          <w:sz w:val="32"/>
          <w:szCs w:val="32"/>
        </w:rPr>
      </w:pPr>
      <w:r>
        <w:rPr>
          <w:rFonts w:hint="eastAsia" w:ascii="宋体" w:hAnsi="宋体" w:cs="宋体"/>
          <w:b/>
          <w:bCs/>
          <w:color w:val="000000"/>
          <w:kern w:val="0"/>
          <w:sz w:val="32"/>
          <w:szCs w:val="32"/>
        </w:rPr>
        <w:t xml:space="preserve">    六、政府采购预算情况</w:t>
      </w:r>
    </w:p>
    <w:p>
      <w:pPr>
        <w:ind w:firstLine="627" w:firstLineChars="196"/>
        <w:jc w:val="left"/>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2020年我部门无政府采购预算，空表列示。</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0" w:name="_Toc30009658"/>
      <w:r>
        <w:rPr>
          <w:rFonts w:hint="eastAsia" w:ascii="方正小标宋_GBK" w:eastAsia="方正小标宋_GBK"/>
          <w:sz w:val="18"/>
          <w:szCs w:val="18"/>
        </w:rPr>
        <w:instrText xml:space="preserve">部门政府采购预算</w:instrText>
      </w:r>
      <w:bookmarkEnd w:id="10"/>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6"/>
        <w:tblW w:w="8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4869"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4869" w:type="dxa"/>
            <w:gridSpan w:val="6"/>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679"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640"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080"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106"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eastAsiaTheme="minorEastAsia" w:cstheme="minorEastAsia"/>
                <w:b/>
                <w:sz w:val="18"/>
                <w:szCs w:val="18"/>
              </w:rPr>
            </w:pPr>
          </w:p>
        </w:tc>
        <w:tc>
          <w:tcPr>
            <w:tcW w:w="679"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640"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1080"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1106"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687"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596"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979"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480" w:type="dxa"/>
            <w:shd w:val="clear" w:color="auto" w:fill="auto"/>
            <w:vAlign w:val="center"/>
          </w:tcPr>
          <w:p>
            <w:pPr>
              <w:spacing w:line="400" w:lineRule="exact"/>
              <w:jc w:val="center"/>
              <w:rPr>
                <w:rFonts w:asciiTheme="minorEastAsia" w:hAnsiTheme="minorEastAsia" w:eastAsiaTheme="minorEastAsia" w:cstheme="minorEastAsia"/>
                <w:sz w:val="18"/>
                <w:szCs w:val="18"/>
              </w:rPr>
            </w:pPr>
          </w:p>
        </w:tc>
        <w:tc>
          <w:tcPr>
            <w:tcW w:w="32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419"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54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82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679"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640"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1080"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1106"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r>
    </w:tbl>
    <w:p>
      <w:pPr>
        <w:spacing w:line="4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ind w:firstLine="627" w:firstLineChars="196"/>
        <w:jc w:val="left"/>
        <w:rPr>
          <w:rFonts w:cs="宋体" w:asciiTheme="minorEastAsia" w:hAnsiTheme="minorEastAsia" w:eastAsiaTheme="minorEastAsia"/>
          <w:color w:val="000000"/>
          <w:kern w:val="0"/>
          <w:sz w:val="32"/>
          <w:szCs w:val="32"/>
        </w:rPr>
      </w:pPr>
    </w:p>
    <w:p>
      <w:pPr>
        <w:pStyle w:val="11"/>
        <w:ind w:firstLine="0" w:firstLineChars="0"/>
        <w:rPr>
          <w:rFonts w:ascii="宋体" w:cs="宋体"/>
          <w:b/>
          <w:bCs/>
          <w:color w:val="000000"/>
          <w:kern w:val="0"/>
          <w:sz w:val="32"/>
          <w:szCs w:val="32"/>
        </w:rPr>
      </w:pPr>
      <w:r>
        <w:rPr>
          <w:rFonts w:hint="eastAsia" w:ascii="宋体" w:hAnsi="宋体" w:cs="宋体"/>
          <w:b/>
          <w:bCs/>
          <w:color w:val="000000"/>
          <w:kern w:val="0"/>
          <w:sz w:val="32"/>
          <w:szCs w:val="32"/>
        </w:rPr>
        <w:t xml:space="preserve">    七、国有资产信息情况</w:t>
      </w:r>
    </w:p>
    <w:p>
      <w:pPr>
        <w:widowControl/>
        <w:spacing w:line="460" w:lineRule="exact"/>
        <w:ind w:firstLine="640" w:firstLineChars="200"/>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涞水县永阳镇人民政府2019年末固定资产总金额191.61万元（详见下表）。 2020年拟购置固定资产为零。</w:t>
      </w:r>
    </w:p>
    <w:tbl>
      <w:tblPr>
        <w:tblStyle w:val="6"/>
        <w:tblW w:w="9220" w:type="dxa"/>
        <w:tblInd w:w="93" w:type="dxa"/>
        <w:tblLayout w:type="fixed"/>
        <w:tblCellMar>
          <w:top w:w="0" w:type="dxa"/>
          <w:left w:w="108" w:type="dxa"/>
          <w:bottom w:w="0" w:type="dxa"/>
          <w:right w:w="108" w:type="dxa"/>
        </w:tblCellMar>
      </w:tblPr>
      <w:tblGrid>
        <w:gridCol w:w="3991"/>
        <w:gridCol w:w="1666"/>
        <w:gridCol w:w="3563"/>
      </w:tblGrid>
      <w:tr>
        <w:tblPrEx>
          <w:tblCellMar>
            <w:top w:w="0" w:type="dxa"/>
            <w:left w:w="108" w:type="dxa"/>
            <w:bottom w:w="0" w:type="dxa"/>
            <w:right w:w="108" w:type="dxa"/>
          </w:tblCellMar>
        </w:tblPrEx>
        <w:trPr>
          <w:trHeight w:val="535" w:hRule="atLeast"/>
        </w:trPr>
        <w:tc>
          <w:tcPr>
            <w:tcW w:w="9220"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szCs w:val="28"/>
              </w:rPr>
              <w:t>涞水县永阳镇人民政府</w:t>
            </w:r>
          </w:p>
        </w:tc>
      </w:tr>
      <w:tr>
        <w:tblPrEx>
          <w:tblCellMar>
            <w:top w:w="0" w:type="dxa"/>
            <w:left w:w="108" w:type="dxa"/>
            <w:bottom w:w="0" w:type="dxa"/>
            <w:right w:w="108" w:type="dxa"/>
          </w:tblCellMar>
        </w:tblPrEx>
        <w:trPr>
          <w:trHeight w:val="498" w:hRule="atLeast"/>
        </w:trPr>
        <w:tc>
          <w:tcPr>
            <w:tcW w:w="922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xml:space="preserve">                           截止时间：2019年12月31日</w:t>
            </w:r>
          </w:p>
        </w:tc>
      </w:tr>
      <w:tr>
        <w:tblPrEx>
          <w:tblCellMar>
            <w:top w:w="0" w:type="dxa"/>
            <w:left w:w="108" w:type="dxa"/>
            <w:bottom w:w="0" w:type="dxa"/>
            <w:right w:w="108" w:type="dxa"/>
          </w:tblCellMar>
        </w:tblPrEx>
        <w:trPr>
          <w:trHeight w:val="602" w:hRule="atLeast"/>
        </w:trPr>
        <w:tc>
          <w:tcPr>
            <w:tcW w:w="39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项　　目</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数量</w:t>
            </w: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价值（单位：万元）</w:t>
            </w:r>
          </w:p>
        </w:tc>
      </w:tr>
      <w:tr>
        <w:tblPrEx>
          <w:tblCellMar>
            <w:top w:w="0" w:type="dxa"/>
            <w:left w:w="108" w:type="dxa"/>
            <w:bottom w:w="0" w:type="dxa"/>
            <w:right w:w="108" w:type="dxa"/>
          </w:tblCellMar>
        </w:tblPrEx>
        <w:trPr>
          <w:trHeight w:val="506" w:hRule="atLeast"/>
        </w:trPr>
        <w:tc>
          <w:tcPr>
            <w:tcW w:w="39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固定资产总额</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191.61</w:t>
            </w:r>
          </w:p>
        </w:tc>
      </w:tr>
      <w:tr>
        <w:tblPrEx>
          <w:tblCellMar>
            <w:top w:w="0" w:type="dxa"/>
            <w:left w:w="108" w:type="dxa"/>
            <w:bottom w:w="0" w:type="dxa"/>
            <w:right w:w="108" w:type="dxa"/>
          </w:tblCellMar>
        </w:tblPrEx>
        <w:trPr>
          <w:trHeight w:val="506" w:hRule="atLeast"/>
        </w:trPr>
        <w:tc>
          <w:tcPr>
            <w:tcW w:w="399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1、房屋（平方米）</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1941</w:t>
            </w:r>
          </w:p>
        </w:tc>
        <w:tc>
          <w:tcPr>
            <w:tcW w:w="35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140.5</w:t>
            </w:r>
          </w:p>
        </w:tc>
      </w:tr>
      <w:tr>
        <w:tblPrEx>
          <w:tblCellMar>
            <w:top w:w="0" w:type="dxa"/>
            <w:left w:w="108" w:type="dxa"/>
            <w:bottom w:w="0" w:type="dxa"/>
            <w:right w:w="108" w:type="dxa"/>
          </w:tblCellMar>
        </w:tblPrEx>
        <w:trPr>
          <w:trHeight w:val="506" w:hRule="atLeast"/>
        </w:trPr>
        <w:tc>
          <w:tcPr>
            <w:tcW w:w="399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xml:space="preserve">   其中：办公用房（平方米）</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1941</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140.5</w:t>
            </w:r>
          </w:p>
        </w:tc>
      </w:tr>
      <w:tr>
        <w:tblPrEx>
          <w:tblCellMar>
            <w:top w:w="0" w:type="dxa"/>
            <w:left w:w="108" w:type="dxa"/>
            <w:bottom w:w="0" w:type="dxa"/>
            <w:right w:w="108" w:type="dxa"/>
          </w:tblCellMar>
        </w:tblPrEx>
        <w:trPr>
          <w:trHeight w:val="506" w:hRule="atLeast"/>
        </w:trPr>
        <w:tc>
          <w:tcPr>
            <w:tcW w:w="39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2、车辆（台、辆）</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506" w:hRule="atLeast"/>
        </w:trPr>
        <w:tc>
          <w:tcPr>
            <w:tcW w:w="39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3、单价在20万元以上的设备</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13" w:hRule="atLeast"/>
        </w:trPr>
        <w:tc>
          <w:tcPr>
            <w:tcW w:w="399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4、其他固定资产</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41.11</w:t>
            </w:r>
          </w:p>
        </w:tc>
      </w:tr>
    </w:tbl>
    <w:p>
      <w:pPr>
        <w:rPr>
          <w:rFonts w:ascii="黑体" w:hAnsi="仿宋_GB2312" w:eastAsia="黑体" w:cs="仿宋_GB2312"/>
          <w:sz w:val="32"/>
          <w:szCs w:val="32"/>
        </w:rPr>
      </w:pPr>
    </w:p>
    <w:p>
      <w:pPr>
        <w:pStyle w:val="11"/>
        <w:ind w:firstLine="643"/>
        <w:rPr>
          <w:rFonts w:ascii="宋体" w:hAnsi="宋体" w:cs="宋体"/>
          <w:b/>
          <w:bCs/>
          <w:color w:val="000000"/>
          <w:kern w:val="0"/>
          <w:sz w:val="32"/>
          <w:szCs w:val="32"/>
        </w:rPr>
      </w:pPr>
      <w:r>
        <w:rPr>
          <w:rFonts w:hint="eastAsia" w:ascii="宋体" w:hAnsi="宋体" w:cs="宋体"/>
          <w:b/>
          <w:bCs/>
          <w:color w:val="000000"/>
          <w:kern w:val="0"/>
          <w:sz w:val="32"/>
          <w:szCs w:val="32"/>
        </w:rPr>
        <w:t>八、专业名词解释</w:t>
      </w:r>
    </w:p>
    <w:p>
      <w:pPr>
        <w:ind w:firstLine="627" w:firstLineChars="196"/>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、一般公共预算财政拨款收入：县级财政当年拨付的资金。</w:t>
      </w:r>
    </w:p>
    <w:p>
      <w:pPr>
        <w:pStyle w:val="5"/>
        <w:widowControl/>
        <w:ind w:firstLine="640" w:firstLineChars="200"/>
        <w:rPr>
          <w:rFonts w:ascii="仿宋_GB2312" w:hAnsi="仿宋_GB2312" w:eastAsia="仿宋_GB2312" w:cs="仿宋_GB2312"/>
          <w:sz w:val="32"/>
          <w:szCs w:val="32"/>
        </w:rPr>
      </w:pPr>
      <w:r>
        <w:rPr>
          <w:rStyle w:val="8"/>
          <w:rFonts w:ascii="仿宋_GB2312" w:hAnsi="仿宋_GB2312" w:eastAsia="仿宋_GB2312" w:cs="仿宋_GB2312"/>
          <w:b w:val="0"/>
          <w:sz w:val="32"/>
          <w:szCs w:val="32"/>
          <w:shd w:val="clear" w:color="auto" w:fill="FFFFFF"/>
        </w:rPr>
        <w:t>2</w:t>
      </w:r>
      <w:r>
        <w:rPr>
          <w:rStyle w:val="8"/>
          <w:rFonts w:hint="eastAsia" w:ascii="仿宋_GB2312" w:hAnsi="仿宋_GB2312" w:eastAsia="仿宋_GB2312" w:cs="仿宋_GB2312"/>
          <w:b w:val="0"/>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5"/>
        <w:widowControl/>
        <w:ind w:firstLine="640" w:firstLineChars="200"/>
        <w:rPr>
          <w:rFonts w:ascii="仿宋_GB2312" w:hAnsi="宋体" w:eastAsia="仿宋_GB2312"/>
          <w:sz w:val="32"/>
          <w:szCs w:val="32"/>
        </w:rPr>
      </w:pPr>
      <w:r>
        <w:rPr>
          <w:rStyle w:val="8"/>
          <w:rFonts w:ascii="仿宋_GB2312" w:hAnsi="仿宋_GB2312" w:eastAsia="仿宋_GB2312" w:cs="仿宋_GB2312"/>
          <w:b w:val="0"/>
          <w:color w:val="000000"/>
          <w:sz w:val="32"/>
          <w:szCs w:val="32"/>
          <w:shd w:val="clear" w:color="auto" w:fill="FFFFFF"/>
        </w:rPr>
        <w:t>3</w:t>
      </w:r>
      <w:r>
        <w:rPr>
          <w:rFonts w:hint="eastAsia" w:ascii="仿宋_GB2312" w:hAnsi="宋体" w:eastAsia="仿宋_GB2312"/>
          <w:sz w:val="32"/>
          <w:szCs w:val="32"/>
        </w:rPr>
        <w:t>、基本支出：指为保障机构正常运转、完成日常工作任务而发生的人员支出和公用支出。</w:t>
      </w:r>
    </w:p>
    <w:p>
      <w:pPr>
        <w:pStyle w:val="5"/>
        <w:widowControl/>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、项目支出：指在基本支出之外为完成特定行政任务和事业发展目标所发生的支出。</w:t>
      </w:r>
    </w:p>
    <w:p>
      <w:pPr>
        <w:pStyle w:val="5"/>
        <w:widowControl/>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ind w:firstLine="640" w:firstLineChars="200"/>
        <w:rPr>
          <w:rFonts w:ascii="黑体" w:hAnsi="黑体" w:eastAsia="黑体" w:cs="黑体"/>
          <w:sz w:val="32"/>
          <w:szCs w:val="32"/>
        </w:rPr>
      </w:pPr>
      <w:r>
        <w:rPr>
          <w:rFonts w:ascii="仿宋_GB2312" w:hAnsi="宋体" w:eastAsia="仿宋_GB2312"/>
          <w:sz w:val="32"/>
          <w:szCs w:val="32"/>
        </w:rPr>
        <w:t>6</w:t>
      </w:r>
      <w:r>
        <w:rPr>
          <w:rFonts w:hint="eastAsia" w:ascii="仿宋_GB2312" w:hAnsi="宋体" w:eastAsia="仿宋_GB2312"/>
          <w:sz w:val="32"/>
          <w:szCs w:val="32"/>
        </w:rPr>
        <w:t>、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宋体" w:hAnsi="宋体" w:cs="宋体"/>
          <w:b/>
          <w:bCs/>
          <w:kern w:val="0"/>
          <w:sz w:val="32"/>
          <w:szCs w:val="32"/>
        </w:rPr>
      </w:pPr>
      <w:r>
        <w:rPr>
          <w:rFonts w:hint="eastAsia" w:ascii="宋体" w:hAnsi="宋体" w:cs="宋体"/>
          <w:b/>
          <w:bCs/>
          <w:kern w:val="0"/>
          <w:sz w:val="32"/>
          <w:szCs w:val="32"/>
        </w:rPr>
        <w:t>九、其他需要说明的事项</w:t>
      </w:r>
    </w:p>
    <w:p>
      <w:pPr>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我部门无政府性基金及无国有资本经营预算，空表列示。</w:t>
      </w:r>
      <w:bookmarkEnd w:id="0"/>
      <w:bookmarkEnd w:id="1"/>
    </w:p>
    <w:sectPr>
      <w:pgSz w:w="11907" w:h="16839"/>
      <w:pgMar w:top="1361" w:right="1021" w:bottom="1361" w:left="1021"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D2E63"/>
    <w:multiLevelType w:val="multilevel"/>
    <w:tmpl w:val="2A2D2E63"/>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hlNzY1OGY2YjIxNmMxZmEyNGJkZTMwOGY2YjkwOWEifQ=="/>
  </w:docVars>
  <w:rsids>
    <w:rsidRoot w:val="7257222C"/>
    <w:rsid w:val="00012782"/>
    <w:rsid w:val="000259A2"/>
    <w:rsid w:val="0005249C"/>
    <w:rsid w:val="0007600C"/>
    <w:rsid w:val="000935FC"/>
    <w:rsid w:val="00107CBE"/>
    <w:rsid w:val="0012176B"/>
    <w:rsid w:val="00131F54"/>
    <w:rsid w:val="001502CF"/>
    <w:rsid w:val="00164F86"/>
    <w:rsid w:val="0019003C"/>
    <w:rsid w:val="001919E6"/>
    <w:rsid w:val="001A4AAC"/>
    <w:rsid w:val="001B3676"/>
    <w:rsid w:val="001F317A"/>
    <w:rsid w:val="001F72CC"/>
    <w:rsid w:val="0021775C"/>
    <w:rsid w:val="002225C1"/>
    <w:rsid w:val="00235846"/>
    <w:rsid w:val="0027086C"/>
    <w:rsid w:val="00285EE8"/>
    <w:rsid w:val="00291361"/>
    <w:rsid w:val="002C1575"/>
    <w:rsid w:val="002D0EA8"/>
    <w:rsid w:val="00364F02"/>
    <w:rsid w:val="00377395"/>
    <w:rsid w:val="003B060A"/>
    <w:rsid w:val="003B0D35"/>
    <w:rsid w:val="003D7348"/>
    <w:rsid w:val="00400723"/>
    <w:rsid w:val="0041784F"/>
    <w:rsid w:val="004752B8"/>
    <w:rsid w:val="0048213C"/>
    <w:rsid w:val="004C5806"/>
    <w:rsid w:val="004D4266"/>
    <w:rsid w:val="004E2848"/>
    <w:rsid w:val="005122FA"/>
    <w:rsid w:val="00512A8B"/>
    <w:rsid w:val="00533A79"/>
    <w:rsid w:val="00540521"/>
    <w:rsid w:val="00540F19"/>
    <w:rsid w:val="00546636"/>
    <w:rsid w:val="005469F5"/>
    <w:rsid w:val="00556716"/>
    <w:rsid w:val="005A0F1F"/>
    <w:rsid w:val="005D7AFE"/>
    <w:rsid w:val="005F37B7"/>
    <w:rsid w:val="0060496E"/>
    <w:rsid w:val="00613F8E"/>
    <w:rsid w:val="00616D1A"/>
    <w:rsid w:val="006737D9"/>
    <w:rsid w:val="006D0EA0"/>
    <w:rsid w:val="0071357E"/>
    <w:rsid w:val="00722C3F"/>
    <w:rsid w:val="007679C2"/>
    <w:rsid w:val="00782F4F"/>
    <w:rsid w:val="007833FA"/>
    <w:rsid w:val="007844B6"/>
    <w:rsid w:val="0078716E"/>
    <w:rsid w:val="007E0660"/>
    <w:rsid w:val="007E6E80"/>
    <w:rsid w:val="007F6044"/>
    <w:rsid w:val="00803911"/>
    <w:rsid w:val="00837AE6"/>
    <w:rsid w:val="00851CBB"/>
    <w:rsid w:val="00852369"/>
    <w:rsid w:val="008A4333"/>
    <w:rsid w:val="008D233A"/>
    <w:rsid w:val="008D52CB"/>
    <w:rsid w:val="00921FFE"/>
    <w:rsid w:val="009A2877"/>
    <w:rsid w:val="009A7B25"/>
    <w:rsid w:val="009C2CD2"/>
    <w:rsid w:val="009F55D0"/>
    <w:rsid w:val="00A051B0"/>
    <w:rsid w:val="00A36D8A"/>
    <w:rsid w:val="00A60672"/>
    <w:rsid w:val="00AA21BE"/>
    <w:rsid w:val="00AE2FF4"/>
    <w:rsid w:val="00B62266"/>
    <w:rsid w:val="00BC1285"/>
    <w:rsid w:val="00BC3A4C"/>
    <w:rsid w:val="00BD0049"/>
    <w:rsid w:val="00C53460"/>
    <w:rsid w:val="00C613C8"/>
    <w:rsid w:val="00CB2A5C"/>
    <w:rsid w:val="00CB6BA4"/>
    <w:rsid w:val="00CC3F86"/>
    <w:rsid w:val="00D1665E"/>
    <w:rsid w:val="00D26499"/>
    <w:rsid w:val="00D46672"/>
    <w:rsid w:val="00D467E4"/>
    <w:rsid w:val="00D5228C"/>
    <w:rsid w:val="00D52A5C"/>
    <w:rsid w:val="00DB0023"/>
    <w:rsid w:val="00DF5B4B"/>
    <w:rsid w:val="00E702C0"/>
    <w:rsid w:val="00E86728"/>
    <w:rsid w:val="00EF3DCF"/>
    <w:rsid w:val="00F213E2"/>
    <w:rsid w:val="00F339C7"/>
    <w:rsid w:val="00F56F9E"/>
    <w:rsid w:val="00FA2CED"/>
    <w:rsid w:val="00FA64B5"/>
    <w:rsid w:val="00FB1B31"/>
    <w:rsid w:val="03226A07"/>
    <w:rsid w:val="0AE631C1"/>
    <w:rsid w:val="0C086534"/>
    <w:rsid w:val="16636822"/>
    <w:rsid w:val="16FC6963"/>
    <w:rsid w:val="25E77C41"/>
    <w:rsid w:val="27B41E14"/>
    <w:rsid w:val="30D17D6B"/>
    <w:rsid w:val="30EF0F8E"/>
    <w:rsid w:val="39436FDA"/>
    <w:rsid w:val="396E1E68"/>
    <w:rsid w:val="3B3F57FD"/>
    <w:rsid w:val="41EE56B7"/>
    <w:rsid w:val="439A0332"/>
    <w:rsid w:val="455D6483"/>
    <w:rsid w:val="484D1AD3"/>
    <w:rsid w:val="4D902C20"/>
    <w:rsid w:val="55B4098A"/>
    <w:rsid w:val="56C20724"/>
    <w:rsid w:val="577E7942"/>
    <w:rsid w:val="58A90718"/>
    <w:rsid w:val="5CCA31D4"/>
    <w:rsid w:val="626A49D9"/>
    <w:rsid w:val="628F0E99"/>
    <w:rsid w:val="652D45E8"/>
    <w:rsid w:val="6A7A003B"/>
    <w:rsid w:val="6BF50E19"/>
    <w:rsid w:val="6CDF0041"/>
    <w:rsid w:val="6CF22B91"/>
    <w:rsid w:val="6E814372"/>
    <w:rsid w:val="707E28F2"/>
    <w:rsid w:val="71F34FA5"/>
    <w:rsid w:val="7257222C"/>
    <w:rsid w:val="7D87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Calibri" w:hAnsi="Calibri" w:eastAsia="宋体" w:cs="Times New Roman"/>
      <w:kern w:val="2"/>
      <w:sz w:val="18"/>
      <w:szCs w:val="18"/>
    </w:rPr>
  </w:style>
  <w:style w:type="character" w:customStyle="1" w:styleId="10">
    <w:name w:val="页脚 字符"/>
    <w:basedOn w:val="7"/>
    <w:link w:val="3"/>
    <w:qFormat/>
    <w:uiPriority w:val="0"/>
    <w:rPr>
      <w:rFonts w:ascii="Calibri" w:hAnsi="Calibri" w:eastAsia="宋体" w:cs="Times New Roman"/>
      <w:kern w:val="2"/>
      <w:sz w:val="18"/>
      <w:szCs w:val="18"/>
    </w:rPr>
  </w:style>
  <w:style w:type="paragraph" w:customStyle="1" w:styleId="11">
    <w:name w:val="列出段落1"/>
    <w:basedOn w:val="1"/>
    <w:unhideWhenUsed/>
    <w:qFormat/>
    <w:uiPriority w:val="34"/>
    <w:pPr>
      <w:ind w:firstLine="420" w:firstLineChars="200"/>
    </w:pPr>
  </w:style>
  <w:style w:type="paragraph" w:customStyle="1" w:styleId="12">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19</Pages>
  <Words>9448</Words>
  <Characters>10239</Characters>
  <Lines>17</Lines>
  <Paragraphs>22</Paragraphs>
  <TotalTime>17</TotalTime>
  <ScaleCrop>false</ScaleCrop>
  <LinksUpToDate>false</LinksUpToDate>
  <CharactersWithSpaces>10330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2017-03-31T01:28:00Z</dcterms:created>
  <dc:creator>P</dc:creator>
  <cp:lastModifiedBy>Administrator</cp:lastModifiedBy>
  <cp:lastPrinted>2018-03-02T08:44:00Z</cp:lastPrinted>
  <dcterms:modified xsi:type="dcterms:W3CDTF">2023-11-20T07:03:51Z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A3643E70A0FB4E759C094CD38D49787F_12</vt:lpwstr>
  </property>
</Properties>
</file>