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涞水县城市管理综合执法队</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4"/>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4</w:t>
      </w:r>
    </w:p>
    <w:p/>
    <w:p/>
    <w:p/>
    <w:p/>
    <w:p/>
    <w:p/>
    <w:p/>
    <w:tbl>
      <w:tblPr>
        <w:tblStyle w:val="6"/>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3990"/>
        <w:gridCol w:w="1560"/>
        <w:gridCol w:w="416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35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3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r>
    </w:tbl>
    <w:p/>
    <w:p>
      <w:r>
        <w:fldChar w:fldCharType="end"/>
      </w:r>
    </w:p>
    <w:p/>
    <w:p/>
    <w:p/>
    <w:p/>
    <w:p/>
    <w:p/>
    <w:p/>
    <w:p/>
    <w:p/>
    <w:p/>
    <w:p/>
    <w:p/>
    <w:p/>
    <w:tbl>
      <w:tblPr>
        <w:tblStyle w:val="6"/>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997"/>
        <w:gridCol w:w="2205"/>
        <w:gridCol w:w="941"/>
        <w:gridCol w:w="941"/>
        <w:gridCol w:w="973"/>
        <w:gridCol w:w="1053"/>
        <w:gridCol w:w="941"/>
        <w:gridCol w:w="941"/>
        <w:gridCol w:w="941"/>
        <w:gridCol w:w="941"/>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72"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47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7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机关事业单位职业年金缴费支出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bl>
    <w:p/>
    <w:tbl>
      <w:tblPr>
        <w:tblStyle w:val="6"/>
        <w:tblW w:w="13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105"/>
        <w:gridCol w:w="2767"/>
        <w:gridCol w:w="1262"/>
        <w:gridCol w:w="1105"/>
        <w:gridCol w:w="1105"/>
        <w:gridCol w:w="1105"/>
        <w:gridCol w:w="1923"/>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5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Theme="majorEastAsia" w:hAnsiTheme="majorEastAsia" w:eastAsiaTheme="majorEastAsia" w:cstheme="majorEastAsia"/>
                <w:i w:val="0"/>
                <w:iCs w:val="0"/>
                <w:color w:val="000000"/>
                <w:kern w:val="0"/>
                <w:sz w:val="36"/>
                <w:szCs w:val="36"/>
                <w:u w:val="none"/>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466.36</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Style w:val="12"/>
                <w:lang w:val="en-US" w:eastAsia="zh-CN" w:bidi="ar"/>
              </w:rPr>
              <w:t>保险缴费支出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2080506</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机关事业单位职业年金</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Style w:val="12"/>
                <w:lang w:val="en-US" w:eastAsia="zh-CN" w:bidi="ar"/>
              </w:rPr>
              <w:t>缴费支出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tbl>
      <w:tblPr>
        <w:tblStyle w:val="6"/>
        <w:tblW w:w="13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616"/>
        <w:gridCol w:w="875"/>
        <w:gridCol w:w="3216"/>
        <w:gridCol w:w="1164"/>
        <w:gridCol w:w="1320"/>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10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8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预算部门编码及名称：[565]涞水县城市管理综合执法队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54.19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54.19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15.45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15.45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2103.64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2103.64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23.13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2196.41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
    <w:p/>
    <w:p/>
    <w:p/>
    <w:p/>
    <w:p/>
    <w:p/>
    <w:p/>
    <w:p/>
    <w:p/>
    <w:tbl>
      <w:tblPr>
        <w:tblStyle w:val="6"/>
        <w:tblW w:w="136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906"/>
        <w:gridCol w:w="1305"/>
        <w:gridCol w:w="1185"/>
        <w:gridCol w:w="1620"/>
        <w:gridCol w:w="178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60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2196.41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466.36</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343.46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54.19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2080506</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机关事业单位职业年金缴费支出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250.69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250.69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2103.64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373.59</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250.69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tbl>
      <w:tblPr>
        <w:tblStyle w:val="6"/>
        <w:tblW w:w="13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365"/>
        <w:gridCol w:w="4401"/>
        <w:gridCol w:w="1659"/>
        <w:gridCol w:w="2751"/>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2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466.36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343.46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343.46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144.54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144.54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26.86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26.86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76.82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76.82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36.33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职业年金缴费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93.22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r>
    </w:tbl>
    <w:p/>
    <w:tbl>
      <w:tblPr>
        <w:tblStyle w:val="6"/>
        <w:tblW w:w="13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3255"/>
        <w:gridCol w:w="1935"/>
        <w:gridCol w:w="1506"/>
        <w:gridCol w:w="255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rPr>
          <w:rFonts w:hint="default" w:eastAsiaTheme="minorEastAsia"/>
          <w:lang w:val="en-US" w:eastAsia="zh-CN"/>
        </w:rPr>
      </w:pPr>
      <w:r>
        <w:rPr>
          <w:rFonts w:hint="eastAsia"/>
          <w:lang w:val="en-US" w:eastAsia="zh-CN"/>
        </w:rPr>
        <w:t xml:space="preserve">      注：无政府基金预算财政拨款预算，空表列示。</w:t>
      </w:r>
    </w:p>
    <w:p/>
    <w:p/>
    <w:p/>
    <w:p/>
    <w:p/>
    <w:p/>
    <w:p/>
    <w:p/>
    <w:p/>
    <w:p/>
    <w:p/>
    <w:p/>
    <w:p/>
    <w:p/>
    <w:p/>
    <w:p/>
    <w:p/>
    <w:p/>
    <w:p/>
    <w:p/>
    <w:p/>
    <w:tbl>
      <w:tblPr>
        <w:tblStyle w:val="6"/>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479"/>
        <w:gridCol w:w="4025"/>
        <w:gridCol w:w="943"/>
        <w:gridCol w:w="1963"/>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hint="default" w:eastAsiaTheme="minorEastAsia"/>
          <w:lang w:val="en-US" w:eastAsia="zh-CN"/>
        </w:rPr>
      </w:pPr>
      <w:r>
        <w:rPr>
          <w:rFonts w:hint="eastAsia"/>
          <w:lang w:val="en-US" w:eastAsia="zh-CN"/>
        </w:rPr>
        <w:t xml:space="preserve">       注：无国有资本经营预算财政拨款预算，空表列示。</w:t>
      </w:r>
    </w:p>
    <w:p/>
    <w:p/>
    <w:p/>
    <w:p/>
    <w:p/>
    <w:p/>
    <w:p/>
    <w:p/>
    <w:p/>
    <w:p/>
    <w:p/>
    <w:p/>
    <w:p/>
    <w:p/>
    <w:p/>
    <w:p/>
    <w:p/>
    <w:p/>
    <w:p/>
    <w:tbl>
      <w:tblPr>
        <w:tblStyle w:val="6"/>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4558"/>
        <w:gridCol w:w="970"/>
        <w:gridCol w:w="2370"/>
        <w:gridCol w:w="2504"/>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7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四、会议费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五、培训费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涞水县城市管理综合执法</w:t>
      </w:r>
      <w:r>
        <w:rPr>
          <w:rFonts w:hint="eastAsia" w:ascii="宋体" w:hAnsi="宋体" w:eastAsia="宋体" w:cs="宋体"/>
          <w:b/>
          <w:bCs/>
          <w:sz w:val="44"/>
          <w:szCs w:val="44"/>
          <w:lang w:val="en-US" w:eastAsia="zh-CN"/>
        </w:rPr>
        <w:t>队</w:t>
      </w: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年部门预算</w:t>
      </w:r>
      <w:r>
        <w:rPr>
          <w:rFonts w:hint="eastAsia" w:ascii="宋体" w:hAnsi="宋体" w:eastAsia="宋体" w:cs="宋体"/>
          <w:b/>
          <w:bCs/>
          <w:sz w:val="44"/>
          <w:szCs w:val="44"/>
          <w:lang w:eastAsia="zh-CN"/>
        </w:rPr>
        <w:t>信息公开情况</w:t>
      </w:r>
      <w:r>
        <w:rPr>
          <w:rFonts w:hint="eastAsia" w:ascii="宋体" w:hAnsi="宋体" w:eastAsia="宋体" w:cs="宋体"/>
          <w:b/>
          <w:bCs/>
          <w:sz w:val="44"/>
          <w:szCs w:val="44"/>
        </w:rPr>
        <w:t>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按照《中华人民共和国预算法》、《地方预决算公开操作规程》和《河北省省级预算公开办法》规定，现将涞水县城市管理综合执法队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2022年部门预算公开如下：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p>
    <w:p>
      <w:pPr>
        <w:snapToGrid w:val="0"/>
        <w:spacing w:line="560" w:lineRule="exact"/>
        <w:ind w:firstLine="640" w:firstLineChars="200"/>
        <w:rPr>
          <w:rFonts w:hint="eastAsia" w:ascii="黑体" w:hAnsi="黑体" w:eastAsia="黑体" w:cs="黑体"/>
          <w:b/>
          <w:bCs/>
          <w:sz w:val="32"/>
          <w:szCs w:val="32"/>
        </w:rPr>
      </w:pP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下设综合办公室、财务室、市容执法队、规划执法队、法制科、数字化指挥中心，各部门职责如下：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财务室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w:t>
      </w:r>
      <w:r>
        <w:rPr>
          <w:rFonts w:hint="eastAsia" w:ascii="仿宋_GB2312" w:eastAsia="仿宋_GB2312"/>
          <w:sz w:val="32"/>
          <w:szCs w:val="32"/>
          <w:lang w:eastAsia="zh-CN"/>
        </w:rPr>
        <w:t>中华人民共和国</w:t>
      </w:r>
      <w:bookmarkStart w:id="11" w:name="_GoBack"/>
      <w:bookmarkEnd w:id="11"/>
      <w:r>
        <w:rPr>
          <w:rFonts w:hint="eastAsia" w:ascii="仿宋_GB2312" w:eastAsia="仿宋_GB2312"/>
          <w:sz w:val="32"/>
          <w:szCs w:val="32"/>
        </w:rPr>
        <w:t>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lang w:val="en-US" w:eastAsia="zh-CN"/>
        </w:rPr>
        <w:t>)</w:t>
      </w:r>
      <w:r>
        <w:rPr>
          <w:rFonts w:hint="eastAsia" w:ascii="楷体" w:hAnsi="楷体" w:eastAsia="楷体" w:cs="楷体"/>
          <w:sz w:val="32"/>
          <w:szCs w:val="32"/>
        </w:rPr>
        <w:t>法制科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职责：负责行政执法人员的业务及法律知识的培训。</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部门</w:t>
      </w:r>
      <w:r>
        <w:rPr>
          <w:rFonts w:hint="eastAsia" w:ascii="黑体" w:hAnsi="黑体" w:eastAsia="黑体" w:cs="黑体"/>
          <w:b/>
          <w:bCs/>
          <w:sz w:val="32"/>
          <w:szCs w:val="32"/>
        </w:rPr>
        <w:t>编制情况</w:t>
      </w:r>
    </w:p>
    <w:p>
      <w:pPr>
        <w:spacing w:line="560" w:lineRule="exact"/>
        <w:ind w:firstLine="576"/>
        <w:rPr>
          <w:rFonts w:hint="eastAsia" w:ascii="仿宋_GB2312" w:hAnsi="宋体" w:eastAsia="仿宋_GB2312"/>
          <w:sz w:val="32"/>
          <w:szCs w:val="32"/>
        </w:rPr>
      </w:pPr>
      <w:r>
        <w:rPr>
          <w:rFonts w:hint="eastAsia" w:ascii="仿宋_GB2312" w:hAnsi="宋体" w:eastAsia="仿宋_GB2312"/>
          <w:sz w:val="32"/>
          <w:szCs w:val="32"/>
        </w:rPr>
        <w:t>我</w:t>
      </w:r>
      <w:r>
        <w:rPr>
          <w:rFonts w:hint="eastAsia" w:ascii="仿宋_GB2312" w:hAnsi="宋体" w:eastAsia="仿宋_GB2312"/>
          <w:sz w:val="32"/>
          <w:szCs w:val="32"/>
          <w:lang w:eastAsia="zh-CN"/>
        </w:rPr>
        <w:t>部门</w:t>
      </w:r>
      <w:r>
        <w:rPr>
          <w:rFonts w:hint="eastAsia" w:ascii="仿宋_GB2312" w:hAnsi="宋体" w:eastAsia="仿宋_GB2312"/>
          <w:sz w:val="32"/>
          <w:szCs w:val="32"/>
        </w:rPr>
        <w:t>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41</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14</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tbl>
      <w:tblPr>
        <w:tblStyle w:val="6"/>
        <w:tblpPr w:leftFromText="180" w:rightFromText="180" w:vertAnchor="text" w:horzAnchor="page" w:tblpX="2356" w:tblpY="328"/>
        <w:tblOverlap w:val="never"/>
        <w:tblW w:w="11940" w:type="dxa"/>
        <w:tblInd w:w="0" w:type="dxa"/>
        <w:tblLayout w:type="fixed"/>
        <w:tblCellMar>
          <w:top w:w="0" w:type="dxa"/>
          <w:left w:w="108" w:type="dxa"/>
          <w:bottom w:w="0" w:type="dxa"/>
          <w:right w:w="108" w:type="dxa"/>
        </w:tblCellMar>
      </w:tblPr>
      <w:tblGrid>
        <w:gridCol w:w="1080"/>
        <w:gridCol w:w="5025"/>
        <w:gridCol w:w="1275"/>
        <w:gridCol w:w="1770"/>
        <w:gridCol w:w="2790"/>
      </w:tblGrid>
      <w:tr>
        <w:tblPrEx>
          <w:tblCellMar>
            <w:top w:w="0" w:type="dxa"/>
            <w:left w:w="108" w:type="dxa"/>
            <w:bottom w:w="0" w:type="dxa"/>
            <w:right w:w="108" w:type="dxa"/>
          </w:tblCellMar>
        </w:tblPrEx>
        <w:trPr>
          <w:trHeight w:val="810" w:hRule="atLeast"/>
        </w:trPr>
        <w:tc>
          <w:tcPr>
            <w:tcW w:w="11940" w:type="dxa"/>
            <w:gridSpan w:val="5"/>
            <w:tcBorders>
              <w:top w:val="nil"/>
              <w:left w:val="nil"/>
              <w:bottom w:val="single" w:color="auto" w:sz="4" w:space="0"/>
              <w:right w:val="nil"/>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部门基本情况表</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50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50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50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w:t>
            </w:r>
          </w:p>
        </w:tc>
        <w:tc>
          <w:tcPr>
            <w:tcW w:w="12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7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79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自收自支</w:t>
            </w:r>
          </w:p>
        </w:tc>
      </w:tr>
    </w:tbl>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ascii="仿宋_GB2312" w:hAnsi="仿宋_GB2312" w:eastAsia="仿宋_GB2312" w:cs="仿宋_GB2312"/>
          <w:b/>
          <w:bCs/>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二、部门预算安排的总体情况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2196.41</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2196.41</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收支预算总表支出栏、基本支出表、项目支出表按经济分类和支出功能分类科目编制，反映我部门预算中支出预算的总体情况。202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2196.41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466.36</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343.46</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122.90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1730.05</w:t>
      </w:r>
      <w:r>
        <w:rPr>
          <w:rFonts w:hint="eastAsia" w:ascii="仿宋_GB2312" w:hAnsi="仿宋_GB2312" w:eastAsia="仿宋_GB2312" w:cs="仿宋_GB2312"/>
          <w:sz w:val="32"/>
          <w:szCs w:val="32"/>
        </w:rPr>
        <w:t>万元。</w:t>
      </w:r>
    </w:p>
    <w:p>
      <w:pPr>
        <w:numPr>
          <w:ilvl w:val="0"/>
          <w:numId w:val="1"/>
        </w:numPr>
        <w:spacing w:line="520" w:lineRule="exact"/>
        <w:ind w:left="80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2196.41</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141.94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14.47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劳务费支出增加</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5.03万元，</w:t>
      </w:r>
      <w:r>
        <w:rPr>
          <w:rFonts w:hint="eastAsia" w:ascii="仿宋_GB2312" w:hAnsi="仿宋_GB2312" w:eastAsia="仿宋_GB2312" w:cs="仿宋_GB2312"/>
          <w:sz w:val="32"/>
          <w:szCs w:val="32"/>
          <w:lang w:eastAsia="zh-CN"/>
        </w:rPr>
        <w:t>退休人员增加；日常公用经费增加</w:t>
      </w:r>
      <w:r>
        <w:rPr>
          <w:rFonts w:hint="eastAsia" w:ascii="仿宋_GB2312" w:hAnsi="仿宋_GB2312" w:eastAsia="仿宋_GB2312" w:cs="仿宋_GB2312"/>
          <w:sz w:val="32"/>
          <w:szCs w:val="32"/>
          <w:lang w:val="en-US" w:eastAsia="zh-CN"/>
        </w:rPr>
        <w:t>19.50万元，其中，主要是劳务费增加12.00万元；</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127.47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项目环卫承包费和中节能焚烧生活垃圾处理费预算资金增加。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我部门安排财政拨款支出主要用于保障机构正常运转、完成日常工作任务。日常公用经费</w:t>
      </w:r>
      <w:r>
        <w:rPr>
          <w:rFonts w:hint="eastAsia" w:ascii="仿宋_GB2312" w:hAnsi="仿宋_GB2312" w:eastAsia="仿宋_GB2312" w:cs="仿宋_GB2312"/>
          <w:sz w:val="32"/>
          <w:szCs w:val="32"/>
          <w:lang w:val="en-US" w:eastAsia="zh-CN"/>
        </w:rPr>
        <w:t>122.90</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9.02</w:t>
      </w:r>
      <w:r>
        <w:rPr>
          <w:rFonts w:hint="eastAsia" w:ascii="仿宋_GB2312" w:hAnsi="仿宋_GB2312" w:eastAsia="仿宋_GB2312" w:cs="仿宋_GB2312"/>
          <w:sz w:val="32"/>
          <w:szCs w:val="32"/>
        </w:rPr>
        <w:t>万元，邮电费0.36万元，取暖费1.3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万元，差旅费4.</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93.22万元</w:t>
      </w:r>
      <w:r>
        <w:rPr>
          <w:rFonts w:hint="eastAsia" w:ascii="仿宋_GB2312" w:hAnsi="仿宋_GB2312" w:eastAsia="仿宋_GB2312" w:cs="仿宋_GB2312"/>
          <w:sz w:val="32"/>
          <w:szCs w:val="32"/>
        </w:rPr>
        <w:t>，工会经费2.</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万元，职工福利费4.</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w:t>
      </w:r>
    </w:p>
    <w:p>
      <w:pPr>
        <w:numPr>
          <w:ilvl w:val="0"/>
          <w:numId w:val="2"/>
        </w:num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财政拨款“三公”经费预算情况及增减变化原因</w:t>
      </w:r>
    </w:p>
    <w:p>
      <w:pPr>
        <w:widowControl w:val="0"/>
        <w:numPr>
          <w:ilvl w:val="0"/>
          <w:numId w:val="0"/>
        </w:numPr>
        <w:tabs>
          <w:tab w:val="left" w:pos="490"/>
        </w:tabs>
        <w:spacing w:line="520" w:lineRule="exact"/>
        <w:jc w:val="both"/>
        <w:rPr>
          <w:rFonts w:hint="eastAsia" w:ascii="黑体" w:hAnsi="黑体" w:eastAsia="黑体" w:cs="黑体"/>
          <w:b w:val="0"/>
          <w:bCs w:val="0"/>
          <w:sz w:val="32"/>
          <w:szCs w:val="32"/>
        </w:rPr>
      </w:pPr>
    </w:p>
    <w:p>
      <w:pPr>
        <w:widowControl w:val="0"/>
        <w:numPr>
          <w:ilvl w:val="0"/>
          <w:numId w:val="0"/>
        </w:numPr>
        <w:tabs>
          <w:tab w:val="left" w:pos="490"/>
        </w:tabs>
        <w:spacing w:line="520" w:lineRule="exact"/>
        <w:jc w:val="both"/>
        <w:rPr>
          <w:rFonts w:hint="eastAsia" w:ascii="黑体" w:hAnsi="黑体" w:eastAsia="黑体" w:cs="黑体"/>
          <w:b w:val="0"/>
          <w:bCs w:val="0"/>
          <w:sz w:val="32"/>
          <w:szCs w:val="32"/>
        </w:rPr>
      </w:pPr>
    </w:p>
    <w:tbl>
      <w:tblPr>
        <w:tblStyle w:val="6"/>
        <w:tblpPr w:leftFromText="180" w:rightFromText="180" w:vertAnchor="text" w:horzAnchor="page" w:tblpX="1082" w:tblpY="665"/>
        <w:tblOverlap w:val="never"/>
        <w:tblW w:w="12764" w:type="dxa"/>
        <w:tblInd w:w="0" w:type="dxa"/>
        <w:tblLayout w:type="fixed"/>
        <w:tblCellMar>
          <w:top w:w="0" w:type="dxa"/>
          <w:left w:w="108" w:type="dxa"/>
          <w:bottom w:w="0" w:type="dxa"/>
          <w:right w:w="108" w:type="dxa"/>
        </w:tblCellMar>
      </w:tblPr>
      <w:tblGrid>
        <w:gridCol w:w="3149"/>
        <w:gridCol w:w="2070"/>
        <w:gridCol w:w="2100"/>
        <w:gridCol w:w="1500"/>
        <w:gridCol w:w="3945"/>
      </w:tblGrid>
      <w:tr>
        <w:tblPrEx>
          <w:tblCellMar>
            <w:top w:w="0" w:type="dxa"/>
            <w:left w:w="108" w:type="dxa"/>
            <w:bottom w:w="0" w:type="dxa"/>
            <w:right w:w="108" w:type="dxa"/>
          </w:tblCellMar>
        </w:tblPrEx>
        <w:trPr>
          <w:trHeight w:val="405" w:hRule="atLeast"/>
        </w:trPr>
        <w:tc>
          <w:tcPr>
            <w:tcW w:w="12764" w:type="dxa"/>
            <w:gridSpan w:val="5"/>
            <w:tcBorders>
              <w:top w:val="nil"/>
              <w:left w:val="nil"/>
              <w:bottom w:val="nil"/>
              <w:right w:val="nil"/>
            </w:tcBorders>
            <w:noWrap w:val="0"/>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3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21</w:t>
            </w:r>
            <w:r>
              <w:rPr>
                <w:rFonts w:hint="eastAsia" w:ascii="仿宋" w:hAnsi="仿宋" w:eastAsia="仿宋" w:cs="仿宋"/>
                <w:kern w:val="0"/>
                <w:sz w:val="24"/>
                <w:szCs w:val="24"/>
              </w:rPr>
              <w:t>年度预算</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年度预算</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9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16.16</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-8.16</w:t>
            </w:r>
          </w:p>
        </w:tc>
        <w:tc>
          <w:tcPr>
            <w:tcW w:w="394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eastAsia="zh-CN"/>
              </w:rPr>
              <w:t>按要求压减支出</w:t>
            </w:r>
          </w:p>
        </w:tc>
      </w:tr>
      <w:tr>
        <w:tblPrEx>
          <w:tblCellMar>
            <w:top w:w="0" w:type="dxa"/>
            <w:left w:w="108" w:type="dxa"/>
            <w:bottom w:w="0" w:type="dxa"/>
            <w:right w:w="108" w:type="dxa"/>
          </w:tblCellMar>
        </w:tblPrEx>
        <w:trPr>
          <w:trHeight w:val="39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16.16</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-8.16</w:t>
            </w:r>
          </w:p>
        </w:tc>
        <w:tc>
          <w:tcPr>
            <w:tcW w:w="394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按要求压减支出</w:t>
            </w:r>
          </w:p>
        </w:tc>
      </w:tr>
      <w:tr>
        <w:tblPrEx>
          <w:tblCellMar>
            <w:top w:w="0" w:type="dxa"/>
            <w:left w:w="108" w:type="dxa"/>
            <w:bottom w:w="0" w:type="dxa"/>
            <w:right w:w="108" w:type="dxa"/>
          </w:tblCellMar>
        </w:tblPrEx>
        <w:trPr>
          <w:trHeight w:val="285"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r>
    </w:tbl>
    <w:p>
      <w:pPr>
        <w:spacing w:line="560" w:lineRule="exact"/>
        <w:rPr>
          <w:rFonts w:ascii="仿宋_GB2312" w:hAnsi="仿宋_GB2312" w:eastAsia="仿宋_GB2312" w:cs="仿宋_GB2312"/>
          <w:bCs/>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年预算安排“三公”经费支出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.16万元，其中：公车运行维护费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.16万元，公务接待费0万元，因公出国出境0万元，与20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减少8.16万元，降低50%，</w:t>
      </w:r>
      <w:r>
        <w:rPr>
          <w:rFonts w:hint="eastAsia" w:ascii="仿宋_GB2312" w:hAnsi="仿宋_GB2312" w:eastAsia="仿宋_GB2312" w:cs="仿宋_GB2312"/>
          <w:color w:val="000000"/>
          <w:sz w:val="32"/>
          <w:szCs w:val="32"/>
        </w:rPr>
        <w:t>减少原因为根据涞水县公务用车制度改革领导小组办公室关于各单位公务用车编制核定情况的通知严格编制。</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第一部分 部门整体绩效目标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年，城市管理综合执法工作将继续</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eastAsia="zh-CN"/>
        </w:rPr>
        <w:t>新时代中国特色社会主义思想为指导，</w:t>
      </w:r>
      <w:r>
        <w:rPr>
          <w:rFonts w:hint="eastAsia" w:ascii="仿宋_GB2312" w:hAnsi="仿宋_GB2312" w:eastAsia="仿宋_GB2312" w:cs="仿宋_GB2312"/>
          <w:sz w:val="32"/>
          <w:szCs w:val="32"/>
        </w:rPr>
        <w:t>深入贯彻落实党的十九大</w:t>
      </w:r>
      <w:r>
        <w:rPr>
          <w:rFonts w:hint="eastAsia" w:ascii="仿宋_GB2312" w:hAnsi="仿宋_GB2312" w:eastAsia="仿宋_GB2312" w:cs="仿宋_GB2312"/>
          <w:sz w:val="32"/>
          <w:szCs w:val="32"/>
          <w:lang w:eastAsia="zh-CN"/>
        </w:rPr>
        <w:t>和十九届二中、三中、四中、五中全会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。以“创建国家级园林县城”和“国家森林城市”</w:t>
      </w:r>
      <w:r>
        <w:rPr>
          <w:rFonts w:hint="eastAsia" w:ascii="仿宋_GB2312" w:hAnsi="仿宋_GB2312" w:eastAsia="仿宋_GB2312" w:cs="仿宋_GB2312"/>
          <w:sz w:val="32"/>
          <w:szCs w:val="32"/>
        </w:rPr>
        <w:t>以及优化营商环境为抓手，有力推动城市精细化和网格化管理，努力增强城市管理综合执法工作的针对性和实效性，建立与相关部门联动机制，构建发现及时、一体联动、处置迅速、全面有效的管理机制，切实提高城市管理的效率和水平。</w:t>
      </w:r>
      <w:r>
        <w:fldChar w:fldCharType="begin"/>
      </w:r>
      <w:r>
        <w:rPr>
          <w:rFonts w:hint="eastAsia" w:ascii="仿宋_GB2312" w:hAnsi="仿宋_GB2312" w:eastAsia="仿宋_GB2312" w:cs="仿宋_GB2312"/>
          <w:sz w:val="32"/>
          <w:szCs w:val="32"/>
        </w:rPr>
        <w:instrText xml:space="preserve"> TC </w:instrText>
      </w:r>
      <w:bookmarkStart w:id="0" w:name="_Toc29999927"/>
      <w:r>
        <w:rPr>
          <w:rFonts w:hint="eastAsia" w:ascii="仿宋_GB2312" w:hAnsi="仿宋_GB2312" w:eastAsia="仿宋_GB2312" w:cs="仿宋_GB2312"/>
          <w:sz w:val="32"/>
          <w:szCs w:val="32"/>
        </w:rPr>
        <w:instrText xml:space="preserve">分项绩效目标</w:instrText>
      </w:r>
      <w:bookmarkEnd w:id="0"/>
      <w:r>
        <w:rPr>
          <w:rFonts w:hint="eastAsia" w:ascii="仿宋_GB2312" w:hAnsi="仿宋_GB2312" w:eastAsia="仿宋_GB2312" w:cs="仿宋_GB2312"/>
          <w:sz w:val="32"/>
          <w:szCs w:val="32"/>
        </w:rPr>
        <w:instrText xml:space="preserve"> \f A \l 1 </w:instrText>
      </w:r>
      <w:r>
        <w:rPr>
          <w:rFonts w:hint="eastAsia" w:ascii="仿宋_GB2312" w:hAnsi="仿宋_GB2312" w:eastAsia="仿宋_GB2312" w:cs="仿宋_GB2312"/>
          <w:sz w:val="32"/>
          <w:szCs w:val="32"/>
        </w:rPr>
        <w:fldChar w:fldCharType="end"/>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%以上。</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生活垃圾无害化处理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绩效目标：生活垃圾进行无害化处理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绩效指标：对生活垃圾进行消纳及无害化处理，生活垃圾渗滤液处理，防止污染环境。</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rPr>
          <w:rFonts w:hint="eastAsia" w:ascii="仿宋_GB2312" w:hAnsi="仿宋_GB2312" w:eastAsia="仿宋_GB2312" w:cs="仿宋_GB2312"/>
          <w:sz w:val="32"/>
          <w:szCs w:val="32"/>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ind w:firstLine="1862" w:firstLineChars="665"/>
        <w:outlineLvl w:val="3"/>
      </w:pPr>
      <w:bookmarkStart w:id="1" w:name="_Toc_4_4_0000000004"/>
      <w:r>
        <w:rPr>
          <w:rFonts w:ascii="方正仿宋_GBK" w:hAnsi="方正仿宋_GBK" w:eastAsia="方正仿宋_GBK" w:cs="方正仿宋_GBK"/>
          <w:color w:val="000000"/>
          <w:sz w:val="28"/>
        </w:rPr>
        <w:t>1.电瓶巡逻车经费绩效目标表</w:t>
      </w:r>
      <w:bookmarkEnd w:id="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395"/>
        <w:gridCol w:w="1951"/>
        <w:gridCol w:w="645"/>
        <w:gridCol w:w="1304"/>
        <w:gridCol w:w="1276"/>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2144"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5"/>
            </w:pPr>
            <w:r>
              <w:t>项目编码</w:t>
            </w:r>
          </w:p>
        </w:tc>
        <w:tc>
          <w:tcPr>
            <w:tcW w:w="3346" w:type="dxa"/>
            <w:gridSpan w:val="2"/>
            <w:noWrap w:val="0"/>
            <w:vAlign w:val="center"/>
          </w:tcPr>
          <w:p>
            <w:pPr>
              <w:pStyle w:val="16"/>
            </w:pPr>
            <w:r>
              <w:t>13062321P00793310001B</w:t>
            </w:r>
          </w:p>
        </w:tc>
        <w:tc>
          <w:tcPr>
            <w:tcW w:w="645" w:type="dxa"/>
            <w:noWrap w:val="0"/>
            <w:vAlign w:val="center"/>
          </w:tcPr>
          <w:p>
            <w:pPr>
              <w:pStyle w:val="15"/>
            </w:pPr>
            <w:r>
              <w:t>项目名称</w:t>
            </w:r>
          </w:p>
        </w:tc>
        <w:tc>
          <w:tcPr>
            <w:tcW w:w="4724" w:type="dxa"/>
            <w:gridSpan w:val="3"/>
            <w:noWrap w:val="0"/>
            <w:vAlign w:val="center"/>
          </w:tcPr>
          <w:p>
            <w:pPr>
              <w:pStyle w:val="16"/>
            </w:pPr>
            <w:r>
              <w:t>电瓶巡逻车经费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5"/>
            </w:pPr>
            <w:r>
              <w:t>预算规模及资金用途</w:t>
            </w:r>
          </w:p>
        </w:tc>
        <w:tc>
          <w:tcPr>
            <w:tcW w:w="1395" w:type="dxa"/>
            <w:noWrap w:val="0"/>
            <w:vAlign w:val="center"/>
          </w:tcPr>
          <w:p>
            <w:pPr>
              <w:pStyle w:val="15"/>
            </w:pPr>
            <w:r>
              <w:t>预算数</w:t>
            </w:r>
          </w:p>
        </w:tc>
        <w:tc>
          <w:tcPr>
            <w:tcW w:w="1951" w:type="dxa"/>
            <w:noWrap w:val="0"/>
            <w:vAlign w:val="center"/>
          </w:tcPr>
          <w:p>
            <w:pPr>
              <w:pStyle w:val="16"/>
            </w:pPr>
            <w:r>
              <w:t>15.00</w:t>
            </w:r>
          </w:p>
        </w:tc>
        <w:tc>
          <w:tcPr>
            <w:tcW w:w="645" w:type="dxa"/>
            <w:noWrap w:val="0"/>
            <w:vAlign w:val="center"/>
          </w:tcPr>
          <w:p>
            <w:pPr>
              <w:pStyle w:val="15"/>
            </w:pPr>
            <w:r>
              <w:t>其中：财政    资金</w:t>
            </w:r>
          </w:p>
        </w:tc>
        <w:tc>
          <w:tcPr>
            <w:tcW w:w="1304" w:type="dxa"/>
            <w:noWrap w:val="0"/>
            <w:vAlign w:val="center"/>
          </w:tcPr>
          <w:p>
            <w:pPr>
              <w:pStyle w:val="16"/>
            </w:pPr>
            <w:r>
              <w:t>15.00</w:t>
            </w:r>
          </w:p>
        </w:tc>
        <w:tc>
          <w:tcPr>
            <w:tcW w:w="1276" w:type="dxa"/>
            <w:noWrap w:val="0"/>
            <w:vAlign w:val="center"/>
          </w:tcPr>
          <w:p>
            <w:pPr>
              <w:pStyle w:val="15"/>
            </w:pPr>
            <w:r>
              <w:t>其他资金</w:t>
            </w:r>
          </w:p>
        </w:tc>
        <w:tc>
          <w:tcPr>
            <w:tcW w:w="2144"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8715" w:type="dxa"/>
            <w:gridSpan w:val="6"/>
            <w:noWrap w:val="0"/>
            <w:vAlign w:val="center"/>
          </w:tcPr>
          <w:p>
            <w:pPr>
              <w:pStyle w:val="16"/>
            </w:pPr>
            <w:r>
              <w:t>用于16辆电瓶巡逻车的日常维护维修，保障执法车正常运行。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5"/>
            </w:pPr>
            <w:r>
              <w:t>资金支出计划（%）</w:t>
            </w:r>
          </w:p>
        </w:tc>
        <w:tc>
          <w:tcPr>
            <w:tcW w:w="3346" w:type="dxa"/>
            <w:gridSpan w:val="2"/>
            <w:noWrap w:val="0"/>
            <w:vAlign w:val="center"/>
          </w:tcPr>
          <w:p>
            <w:pPr>
              <w:pStyle w:val="15"/>
            </w:pPr>
            <w:r>
              <w:t>3月底</w:t>
            </w:r>
          </w:p>
        </w:tc>
        <w:tc>
          <w:tcPr>
            <w:tcW w:w="645" w:type="dxa"/>
            <w:noWrap w:val="0"/>
            <w:vAlign w:val="center"/>
          </w:tcPr>
          <w:p>
            <w:pPr>
              <w:pStyle w:val="15"/>
            </w:pPr>
            <w:r>
              <w:t>6月底</w:t>
            </w:r>
          </w:p>
        </w:tc>
        <w:tc>
          <w:tcPr>
            <w:tcW w:w="1304" w:type="dxa"/>
            <w:noWrap w:val="0"/>
            <w:vAlign w:val="center"/>
          </w:tcPr>
          <w:p>
            <w:pPr>
              <w:pStyle w:val="15"/>
            </w:pPr>
            <w:r>
              <w:t>10月底</w:t>
            </w:r>
          </w:p>
        </w:tc>
        <w:tc>
          <w:tcPr>
            <w:tcW w:w="3420"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3346" w:type="dxa"/>
            <w:gridSpan w:val="2"/>
            <w:noWrap w:val="0"/>
            <w:vAlign w:val="center"/>
          </w:tcPr>
          <w:p>
            <w:pPr>
              <w:pStyle w:val="17"/>
            </w:pPr>
            <w:r>
              <w:t>25%</w:t>
            </w:r>
          </w:p>
        </w:tc>
        <w:tc>
          <w:tcPr>
            <w:tcW w:w="645" w:type="dxa"/>
            <w:noWrap w:val="0"/>
            <w:vAlign w:val="center"/>
          </w:tcPr>
          <w:p>
            <w:pPr>
              <w:pStyle w:val="17"/>
            </w:pPr>
            <w:r>
              <w:t>50%</w:t>
            </w:r>
          </w:p>
        </w:tc>
        <w:tc>
          <w:tcPr>
            <w:tcW w:w="1304" w:type="dxa"/>
            <w:noWrap w:val="0"/>
            <w:vAlign w:val="center"/>
          </w:tcPr>
          <w:p>
            <w:pPr>
              <w:pStyle w:val="17"/>
            </w:pPr>
            <w:r>
              <w:t>75%</w:t>
            </w:r>
          </w:p>
        </w:tc>
        <w:tc>
          <w:tcPr>
            <w:tcW w:w="3420"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5"/>
            </w:pPr>
            <w:r>
              <w:t>绩效目标</w:t>
            </w:r>
          </w:p>
        </w:tc>
        <w:tc>
          <w:tcPr>
            <w:tcW w:w="8715" w:type="dxa"/>
            <w:gridSpan w:val="6"/>
            <w:noWrap w:val="0"/>
            <w:vAlign w:val="center"/>
          </w:tcPr>
          <w:p>
            <w:pPr>
              <w:pStyle w:val="16"/>
              <w:rPr>
                <w:rFonts w:hint="eastAsia" w:eastAsia="方正书宋_GBK"/>
                <w:lang w:val="en-US" w:eastAsia="zh-CN"/>
              </w:rPr>
            </w:pPr>
            <w:r>
              <w:t>1.</w:t>
            </w:r>
            <w:r>
              <w:rPr>
                <w:rFonts w:hint="eastAsia"/>
                <w:lang w:eastAsia="zh-CN"/>
              </w:rPr>
              <w:t>执勤车辆正常运行</w:t>
            </w:r>
            <w:r>
              <w:rPr>
                <w:rFonts w:hint="eastAsia"/>
                <w:lang w:val="en-US" w:eastAsia="zh-CN"/>
              </w:rPr>
              <w:t>2.</w:t>
            </w:r>
            <w:r>
              <w:rPr>
                <w:rFonts w:hint="eastAsia"/>
                <w:lang w:eastAsia="zh-CN"/>
              </w:rPr>
              <w:t>随时执行任务</w:t>
            </w:r>
            <w:r>
              <w:rPr>
                <w:rFonts w:hint="eastAsia"/>
                <w:lang w:val="en-US" w:eastAsia="zh-CN"/>
              </w:rPr>
              <w:t xml:space="preserve"> 3.确保对市容市貌的监管 </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99"/>
        <w:gridCol w:w="1906"/>
        <w:gridCol w:w="1994"/>
        <w:gridCol w:w="1276"/>
        <w:gridCol w:w="2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599" w:type="dxa"/>
            <w:noWrap w:val="0"/>
            <w:vAlign w:val="center"/>
          </w:tcPr>
          <w:p>
            <w:pPr>
              <w:pStyle w:val="15"/>
            </w:pPr>
            <w:r>
              <w:t>二级指标</w:t>
            </w:r>
          </w:p>
        </w:tc>
        <w:tc>
          <w:tcPr>
            <w:tcW w:w="1906" w:type="dxa"/>
            <w:noWrap w:val="0"/>
            <w:vAlign w:val="center"/>
          </w:tcPr>
          <w:p>
            <w:pPr>
              <w:pStyle w:val="15"/>
            </w:pPr>
            <w:r>
              <w:t>三级指标</w:t>
            </w:r>
          </w:p>
        </w:tc>
        <w:tc>
          <w:tcPr>
            <w:tcW w:w="1994" w:type="dxa"/>
            <w:noWrap w:val="0"/>
            <w:vAlign w:val="center"/>
          </w:tcPr>
          <w:p>
            <w:pPr>
              <w:pStyle w:val="15"/>
            </w:pPr>
            <w:r>
              <w:t>绩效指标描述</w:t>
            </w:r>
          </w:p>
        </w:tc>
        <w:tc>
          <w:tcPr>
            <w:tcW w:w="1276" w:type="dxa"/>
            <w:noWrap w:val="0"/>
            <w:vAlign w:val="center"/>
          </w:tcPr>
          <w:p>
            <w:pPr>
              <w:pStyle w:val="15"/>
            </w:pPr>
            <w:r>
              <w:t>指标值</w:t>
            </w:r>
          </w:p>
        </w:tc>
        <w:tc>
          <w:tcPr>
            <w:tcW w:w="2115"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599" w:type="dxa"/>
            <w:noWrap w:val="0"/>
            <w:vAlign w:val="center"/>
          </w:tcPr>
          <w:p>
            <w:pPr>
              <w:pStyle w:val="16"/>
            </w:pPr>
            <w:r>
              <w:t>数量指标</w:t>
            </w:r>
          </w:p>
        </w:tc>
        <w:tc>
          <w:tcPr>
            <w:tcW w:w="1906" w:type="dxa"/>
            <w:noWrap w:val="0"/>
            <w:vAlign w:val="center"/>
          </w:tcPr>
          <w:p>
            <w:pPr>
              <w:pStyle w:val="16"/>
            </w:pPr>
            <w:r>
              <w:t>执法车出勤率</w:t>
            </w:r>
          </w:p>
        </w:tc>
        <w:tc>
          <w:tcPr>
            <w:tcW w:w="1994" w:type="dxa"/>
            <w:noWrap w:val="0"/>
            <w:vAlign w:val="center"/>
          </w:tcPr>
          <w:p>
            <w:pPr>
              <w:pStyle w:val="16"/>
            </w:pPr>
            <w:r>
              <w:t>执法车执行任务出勤情况</w:t>
            </w:r>
          </w:p>
        </w:tc>
        <w:tc>
          <w:tcPr>
            <w:tcW w:w="1276" w:type="dxa"/>
            <w:noWrap w:val="0"/>
            <w:vAlign w:val="center"/>
          </w:tcPr>
          <w:p>
            <w:pPr>
              <w:pStyle w:val="16"/>
            </w:pPr>
            <w:r>
              <w:t>≥98%</w:t>
            </w:r>
          </w:p>
        </w:tc>
        <w:tc>
          <w:tcPr>
            <w:tcW w:w="2115" w:type="dxa"/>
            <w:noWrap w:val="0"/>
            <w:vAlign w:val="center"/>
          </w:tcPr>
          <w:p>
            <w:pPr>
              <w:pStyle w:val="16"/>
            </w:pPr>
            <w:r>
              <w:t>考勤制度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质量指标</w:t>
            </w:r>
          </w:p>
        </w:tc>
        <w:tc>
          <w:tcPr>
            <w:tcW w:w="1906" w:type="dxa"/>
            <w:noWrap w:val="0"/>
            <w:vAlign w:val="center"/>
          </w:tcPr>
          <w:p>
            <w:pPr>
              <w:pStyle w:val="16"/>
            </w:pPr>
            <w:r>
              <w:t>综合事务管理工作完成率</w:t>
            </w:r>
          </w:p>
        </w:tc>
        <w:tc>
          <w:tcPr>
            <w:tcW w:w="1994" w:type="dxa"/>
            <w:noWrap w:val="0"/>
            <w:vAlign w:val="center"/>
          </w:tcPr>
          <w:p>
            <w:pPr>
              <w:pStyle w:val="16"/>
            </w:pPr>
            <w:r>
              <w:t>综合事务管理工作完成率</w:t>
            </w:r>
          </w:p>
        </w:tc>
        <w:tc>
          <w:tcPr>
            <w:tcW w:w="1276" w:type="dxa"/>
            <w:noWrap w:val="0"/>
            <w:vAlign w:val="center"/>
          </w:tcPr>
          <w:p>
            <w:pPr>
              <w:pStyle w:val="16"/>
            </w:pPr>
            <w:r>
              <w:t>提高</w:t>
            </w:r>
          </w:p>
        </w:tc>
        <w:tc>
          <w:tcPr>
            <w:tcW w:w="2115" w:type="dxa"/>
            <w:noWrap w:val="0"/>
            <w:vAlign w:val="center"/>
          </w:tcPr>
          <w:p>
            <w:pPr>
              <w:pStyle w:val="16"/>
            </w:pPr>
            <w:r>
              <w:t>组织部考核标准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时效指标</w:t>
            </w:r>
          </w:p>
        </w:tc>
        <w:tc>
          <w:tcPr>
            <w:tcW w:w="1906" w:type="dxa"/>
            <w:noWrap w:val="0"/>
            <w:vAlign w:val="center"/>
          </w:tcPr>
          <w:p>
            <w:pPr>
              <w:pStyle w:val="16"/>
            </w:pPr>
            <w:r>
              <w:t>城市容貌环境综合治理率</w:t>
            </w:r>
          </w:p>
        </w:tc>
        <w:tc>
          <w:tcPr>
            <w:tcW w:w="1994" w:type="dxa"/>
            <w:noWrap w:val="0"/>
            <w:vAlign w:val="center"/>
          </w:tcPr>
          <w:p>
            <w:pPr>
              <w:pStyle w:val="16"/>
            </w:pPr>
            <w:r>
              <w:t>对有影响市容市貌时间的治理情况</w:t>
            </w:r>
          </w:p>
        </w:tc>
        <w:tc>
          <w:tcPr>
            <w:tcW w:w="1276" w:type="dxa"/>
            <w:noWrap w:val="0"/>
            <w:vAlign w:val="center"/>
          </w:tcPr>
          <w:p>
            <w:pPr>
              <w:pStyle w:val="16"/>
            </w:pPr>
            <w:r>
              <w:t>≥98%</w:t>
            </w:r>
          </w:p>
        </w:tc>
        <w:tc>
          <w:tcPr>
            <w:tcW w:w="2115" w:type="dxa"/>
            <w:noWrap w:val="0"/>
            <w:vAlign w:val="center"/>
          </w:tcPr>
          <w:p>
            <w:pPr>
              <w:pStyle w:val="16"/>
            </w:pPr>
            <w:r>
              <w:t>市容市貌考核制度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成本指标</w:t>
            </w:r>
          </w:p>
        </w:tc>
        <w:tc>
          <w:tcPr>
            <w:tcW w:w="1906" w:type="dxa"/>
            <w:noWrap w:val="0"/>
            <w:vAlign w:val="center"/>
          </w:tcPr>
          <w:p>
            <w:pPr>
              <w:pStyle w:val="16"/>
            </w:pPr>
            <w:r>
              <w:t>总成本</w:t>
            </w:r>
          </w:p>
        </w:tc>
        <w:tc>
          <w:tcPr>
            <w:tcW w:w="1994" w:type="dxa"/>
            <w:noWrap w:val="0"/>
            <w:vAlign w:val="center"/>
          </w:tcPr>
          <w:p>
            <w:pPr>
              <w:pStyle w:val="16"/>
            </w:pPr>
            <w:r>
              <w:t>总成本</w:t>
            </w:r>
          </w:p>
        </w:tc>
        <w:tc>
          <w:tcPr>
            <w:tcW w:w="1276" w:type="dxa"/>
            <w:noWrap w:val="0"/>
            <w:vAlign w:val="center"/>
          </w:tcPr>
          <w:p>
            <w:pPr>
              <w:pStyle w:val="16"/>
            </w:pPr>
            <w:r>
              <w:t>降低</w:t>
            </w:r>
          </w:p>
        </w:tc>
        <w:tc>
          <w:tcPr>
            <w:tcW w:w="2115" w:type="dxa"/>
            <w:noWrap w:val="0"/>
            <w:vAlign w:val="center"/>
          </w:tcPr>
          <w:p>
            <w:pPr>
              <w:pStyle w:val="16"/>
            </w:pPr>
            <w:r>
              <w:t>年初预算批复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599" w:type="dxa"/>
            <w:noWrap w:val="0"/>
            <w:vAlign w:val="center"/>
          </w:tcPr>
          <w:p>
            <w:pPr>
              <w:pStyle w:val="16"/>
            </w:pPr>
            <w:r>
              <w:t>可持续影响指标</w:t>
            </w:r>
          </w:p>
        </w:tc>
        <w:tc>
          <w:tcPr>
            <w:tcW w:w="1906" w:type="dxa"/>
            <w:noWrap w:val="0"/>
            <w:vAlign w:val="center"/>
          </w:tcPr>
          <w:p>
            <w:pPr>
              <w:pStyle w:val="16"/>
            </w:pPr>
            <w:r>
              <w:t>持续使用时间</w:t>
            </w:r>
          </w:p>
        </w:tc>
        <w:tc>
          <w:tcPr>
            <w:tcW w:w="1994" w:type="dxa"/>
            <w:noWrap w:val="0"/>
            <w:vAlign w:val="center"/>
          </w:tcPr>
          <w:p>
            <w:pPr>
              <w:pStyle w:val="16"/>
            </w:pPr>
            <w:r>
              <w:t>城市清洁车辆和执行车正常运行时间</w:t>
            </w:r>
          </w:p>
        </w:tc>
        <w:tc>
          <w:tcPr>
            <w:tcW w:w="1276" w:type="dxa"/>
            <w:noWrap w:val="0"/>
            <w:vAlign w:val="center"/>
          </w:tcPr>
          <w:p>
            <w:pPr>
              <w:pStyle w:val="16"/>
            </w:pPr>
            <w:r>
              <w:t>≥8年</w:t>
            </w:r>
          </w:p>
        </w:tc>
        <w:tc>
          <w:tcPr>
            <w:tcW w:w="2115" w:type="dxa"/>
            <w:noWrap w:val="0"/>
            <w:vAlign w:val="center"/>
          </w:tcPr>
          <w:p>
            <w:pPr>
              <w:pStyle w:val="16"/>
            </w:pPr>
            <w:r>
              <w:t>固定资产的折旧年限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6"/>
            </w:pPr>
            <w:r>
              <w:t>社会效益指标</w:t>
            </w:r>
          </w:p>
        </w:tc>
        <w:tc>
          <w:tcPr>
            <w:tcW w:w="1906" w:type="dxa"/>
            <w:noWrap w:val="0"/>
            <w:vAlign w:val="center"/>
          </w:tcPr>
          <w:p>
            <w:pPr>
              <w:pStyle w:val="16"/>
            </w:pPr>
            <w:r>
              <w:t>工作完成率</w:t>
            </w:r>
          </w:p>
        </w:tc>
        <w:tc>
          <w:tcPr>
            <w:tcW w:w="1994" w:type="dxa"/>
            <w:noWrap w:val="0"/>
            <w:vAlign w:val="center"/>
          </w:tcPr>
          <w:p>
            <w:pPr>
              <w:pStyle w:val="16"/>
            </w:pPr>
            <w:r>
              <w:t>工作完成率</w:t>
            </w:r>
          </w:p>
        </w:tc>
        <w:tc>
          <w:tcPr>
            <w:tcW w:w="1276" w:type="dxa"/>
            <w:noWrap w:val="0"/>
            <w:vAlign w:val="center"/>
          </w:tcPr>
          <w:p>
            <w:pPr>
              <w:pStyle w:val="16"/>
            </w:pPr>
            <w:r>
              <w:t>≥98%</w:t>
            </w:r>
          </w:p>
        </w:tc>
        <w:tc>
          <w:tcPr>
            <w:tcW w:w="2115" w:type="dxa"/>
            <w:noWrap w:val="0"/>
            <w:vAlign w:val="center"/>
          </w:tcPr>
          <w:p>
            <w:pPr>
              <w:pStyle w:val="16"/>
            </w:pPr>
            <w:r>
              <w:t>考勤制度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599" w:type="dxa"/>
            <w:noWrap w:val="0"/>
            <w:vAlign w:val="center"/>
          </w:tcPr>
          <w:p>
            <w:pPr>
              <w:pStyle w:val="16"/>
            </w:pPr>
            <w:r>
              <w:t>服务对象满意度指标</w:t>
            </w:r>
          </w:p>
        </w:tc>
        <w:tc>
          <w:tcPr>
            <w:tcW w:w="1906" w:type="dxa"/>
            <w:noWrap w:val="0"/>
            <w:vAlign w:val="center"/>
          </w:tcPr>
          <w:p>
            <w:pPr>
              <w:pStyle w:val="16"/>
            </w:pPr>
            <w:r>
              <w:t>群众满意度</w:t>
            </w:r>
          </w:p>
        </w:tc>
        <w:tc>
          <w:tcPr>
            <w:tcW w:w="1994" w:type="dxa"/>
            <w:noWrap w:val="0"/>
            <w:vAlign w:val="center"/>
          </w:tcPr>
          <w:p>
            <w:pPr>
              <w:pStyle w:val="16"/>
            </w:pPr>
            <w:r>
              <w:t>群众满意度</w:t>
            </w:r>
          </w:p>
        </w:tc>
        <w:tc>
          <w:tcPr>
            <w:tcW w:w="1276" w:type="dxa"/>
            <w:noWrap w:val="0"/>
            <w:vAlign w:val="center"/>
          </w:tcPr>
          <w:p>
            <w:pPr>
              <w:pStyle w:val="16"/>
            </w:pPr>
            <w:r>
              <w:t>≥95%</w:t>
            </w:r>
          </w:p>
        </w:tc>
        <w:tc>
          <w:tcPr>
            <w:tcW w:w="2115" w:type="dxa"/>
            <w:noWrap w:val="0"/>
            <w:vAlign w:val="center"/>
          </w:tcPr>
          <w:p>
            <w:pPr>
              <w:pStyle w:val="16"/>
            </w:pPr>
            <w:r>
              <w:t>市容市貌考核制度</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2" w:name="_Toc_4_4_0000000005"/>
      <w:r>
        <w:rPr>
          <w:rFonts w:ascii="方正仿宋_GBK" w:hAnsi="方正仿宋_GBK" w:eastAsia="方正仿宋_GBK" w:cs="方正仿宋_GBK"/>
          <w:color w:val="000000"/>
          <w:sz w:val="28"/>
        </w:rPr>
        <w:t>2.环卫承包费绩效目标表</w:t>
      </w:r>
      <w:bookmarkEnd w:id="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659"/>
        <w:gridCol w:w="1365"/>
        <w:gridCol w:w="1171"/>
        <w:gridCol w:w="1694"/>
        <w:gridCol w:w="1320"/>
        <w:gridCol w:w="21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85"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2130"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3024" w:type="dxa"/>
            <w:gridSpan w:val="2"/>
            <w:noWrap w:val="0"/>
            <w:vAlign w:val="center"/>
          </w:tcPr>
          <w:p>
            <w:pPr>
              <w:pStyle w:val="16"/>
            </w:pPr>
            <w:r>
              <w:t>13062321P00792710001T</w:t>
            </w:r>
          </w:p>
        </w:tc>
        <w:tc>
          <w:tcPr>
            <w:tcW w:w="1171" w:type="dxa"/>
            <w:noWrap w:val="0"/>
            <w:vAlign w:val="center"/>
          </w:tcPr>
          <w:p>
            <w:pPr>
              <w:pStyle w:val="15"/>
            </w:pPr>
            <w:r>
              <w:t>项目名称</w:t>
            </w:r>
          </w:p>
        </w:tc>
        <w:tc>
          <w:tcPr>
            <w:tcW w:w="5144" w:type="dxa"/>
            <w:gridSpan w:val="3"/>
            <w:noWrap w:val="0"/>
            <w:vAlign w:val="center"/>
          </w:tcPr>
          <w:p>
            <w:pPr>
              <w:pStyle w:val="16"/>
            </w:pPr>
            <w:r>
              <w:t>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659" w:type="dxa"/>
            <w:noWrap w:val="0"/>
            <w:vAlign w:val="center"/>
          </w:tcPr>
          <w:p>
            <w:pPr>
              <w:pStyle w:val="15"/>
            </w:pPr>
            <w:r>
              <w:t>预算数</w:t>
            </w:r>
          </w:p>
        </w:tc>
        <w:tc>
          <w:tcPr>
            <w:tcW w:w="1365" w:type="dxa"/>
            <w:noWrap w:val="0"/>
            <w:vAlign w:val="center"/>
          </w:tcPr>
          <w:p>
            <w:pPr>
              <w:pStyle w:val="16"/>
            </w:pPr>
            <w:r>
              <w:t>1320.46</w:t>
            </w:r>
          </w:p>
        </w:tc>
        <w:tc>
          <w:tcPr>
            <w:tcW w:w="1171" w:type="dxa"/>
            <w:noWrap w:val="0"/>
            <w:vAlign w:val="center"/>
          </w:tcPr>
          <w:p>
            <w:pPr>
              <w:pStyle w:val="15"/>
            </w:pPr>
            <w:r>
              <w:t>其中：财政    资金</w:t>
            </w:r>
          </w:p>
        </w:tc>
        <w:tc>
          <w:tcPr>
            <w:tcW w:w="1694" w:type="dxa"/>
            <w:noWrap w:val="0"/>
            <w:vAlign w:val="center"/>
          </w:tcPr>
          <w:p>
            <w:pPr>
              <w:pStyle w:val="16"/>
            </w:pPr>
            <w:r>
              <w:t>1320.46</w:t>
            </w:r>
          </w:p>
        </w:tc>
        <w:tc>
          <w:tcPr>
            <w:tcW w:w="1320" w:type="dxa"/>
            <w:noWrap w:val="0"/>
            <w:vAlign w:val="center"/>
          </w:tcPr>
          <w:p>
            <w:pPr>
              <w:pStyle w:val="15"/>
            </w:pPr>
            <w:r>
              <w:t>其他资金</w:t>
            </w:r>
          </w:p>
        </w:tc>
        <w:tc>
          <w:tcPr>
            <w:tcW w:w="2130"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9339" w:type="dxa"/>
            <w:gridSpan w:val="6"/>
            <w:noWrap w:val="0"/>
            <w:vAlign w:val="center"/>
          </w:tcPr>
          <w:p>
            <w:pPr>
              <w:pStyle w:val="16"/>
            </w:pPr>
            <w:r>
              <w:t>用于城区环境卫生作业承包费及生活垃圾清运费用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3024" w:type="dxa"/>
            <w:gridSpan w:val="2"/>
            <w:noWrap w:val="0"/>
            <w:vAlign w:val="center"/>
          </w:tcPr>
          <w:p>
            <w:pPr>
              <w:pStyle w:val="15"/>
            </w:pPr>
            <w:r>
              <w:t>3月底</w:t>
            </w:r>
          </w:p>
        </w:tc>
        <w:tc>
          <w:tcPr>
            <w:tcW w:w="1171" w:type="dxa"/>
            <w:noWrap w:val="0"/>
            <w:vAlign w:val="center"/>
          </w:tcPr>
          <w:p>
            <w:pPr>
              <w:pStyle w:val="15"/>
            </w:pPr>
            <w:r>
              <w:t>6月底</w:t>
            </w:r>
          </w:p>
        </w:tc>
        <w:tc>
          <w:tcPr>
            <w:tcW w:w="1694" w:type="dxa"/>
            <w:noWrap w:val="0"/>
            <w:vAlign w:val="center"/>
          </w:tcPr>
          <w:p>
            <w:pPr>
              <w:pStyle w:val="15"/>
            </w:pPr>
            <w:r>
              <w:t>10月底</w:t>
            </w:r>
          </w:p>
        </w:tc>
        <w:tc>
          <w:tcPr>
            <w:tcW w:w="3450"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3024" w:type="dxa"/>
            <w:gridSpan w:val="2"/>
            <w:noWrap w:val="0"/>
            <w:vAlign w:val="center"/>
          </w:tcPr>
          <w:p>
            <w:pPr>
              <w:pStyle w:val="17"/>
            </w:pPr>
            <w:r>
              <w:t>25%</w:t>
            </w:r>
          </w:p>
        </w:tc>
        <w:tc>
          <w:tcPr>
            <w:tcW w:w="1171" w:type="dxa"/>
            <w:noWrap w:val="0"/>
            <w:vAlign w:val="center"/>
          </w:tcPr>
          <w:p>
            <w:pPr>
              <w:pStyle w:val="17"/>
            </w:pPr>
            <w:r>
              <w:t>50%</w:t>
            </w:r>
          </w:p>
        </w:tc>
        <w:tc>
          <w:tcPr>
            <w:tcW w:w="1694" w:type="dxa"/>
            <w:noWrap w:val="0"/>
            <w:vAlign w:val="center"/>
          </w:tcPr>
          <w:p>
            <w:pPr>
              <w:pStyle w:val="17"/>
            </w:pPr>
            <w:r>
              <w:t>75%</w:t>
            </w:r>
          </w:p>
        </w:tc>
        <w:tc>
          <w:tcPr>
            <w:tcW w:w="3450"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9339" w:type="dxa"/>
            <w:gridSpan w:val="6"/>
            <w:noWrap w:val="0"/>
            <w:vAlign w:val="center"/>
          </w:tcPr>
          <w:p>
            <w:pPr>
              <w:pStyle w:val="16"/>
              <w:rPr>
                <w:rFonts w:hint="default" w:eastAsia="方正书宋_GBK"/>
                <w:lang w:val="en-US" w:eastAsia="zh-CN"/>
              </w:rPr>
            </w:pPr>
            <w:r>
              <w:t>1.</w:t>
            </w:r>
            <w:r>
              <w:rPr>
                <w:rFonts w:hint="eastAsia"/>
                <w:lang w:eastAsia="zh-CN"/>
              </w:rPr>
              <w:t>改善城区人居环境</w:t>
            </w:r>
            <w:r>
              <w:rPr>
                <w:rFonts w:hint="eastAsia"/>
                <w:lang w:val="en-US" w:eastAsia="zh-CN"/>
              </w:rPr>
              <w:t xml:space="preserve"> 2.提高城市宜居度 3.提高城市美丽度</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659"/>
        <w:gridCol w:w="1380"/>
        <w:gridCol w:w="2835"/>
        <w:gridCol w:w="1350"/>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659" w:type="dxa"/>
            <w:noWrap w:val="0"/>
            <w:vAlign w:val="center"/>
          </w:tcPr>
          <w:p>
            <w:pPr>
              <w:pStyle w:val="15"/>
            </w:pPr>
            <w:r>
              <w:t>二级指标</w:t>
            </w:r>
          </w:p>
        </w:tc>
        <w:tc>
          <w:tcPr>
            <w:tcW w:w="1380" w:type="dxa"/>
            <w:noWrap w:val="0"/>
            <w:vAlign w:val="center"/>
          </w:tcPr>
          <w:p>
            <w:pPr>
              <w:pStyle w:val="15"/>
            </w:pPr>
            <w:r>
              <w:t>三级指标</w:t>
            </w:r>
          </w:p>
        </w:tc>
        <w:tc>
          <w:tcPr>
            <w:tcW w:w="2835" w:type="dxa"/>
            <w:noWrap w:val="0"/>
            <w:vAlign w:val="center"/>
          </w:tcPr>
          <w:p>
            <w:pPr>
              <w:pStyle w:val="15"/>
            </w:pPr>
            <w:r>
              <w:t>绩效指标描述</w:t>
            </w:r>
          </w:p>
        </w:tc>
        <w:tc>
          <w:tcPr>
            <w:tcW w:w="1350" w:type="dxa"/>
            <w:noWrap w:val="0"/>
            <w:vAlign w:val="center"/>
          </w:tcPr>
          <w:p>
            <w:pPr>
              <w:pStyle w:val="15"/>
            </w:pPr>
            <w:r>
              <w:t>指标值</w:t>
            </w:r>
          </w:p>
        </w:tc>
        <w:tc>
          <w:tcPr>
            <w:tcW w:w="216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659" w:type="dxa"/>
            <w:noWrap w:val="0"/>
            <w:vAlign w:val="center"/>
          </w:tcPr>
          <w:p>
            <w:pPr>
              <w:pStyle w:val="16"/>
            </w:pPr>
            <w:r>
              <w:t>数量指标</w:t>
            </w:r>
          </w:p>
        </w:tc>
        <w:tc>
          <w:tcPr>
            <w:tcW w:w="1380" w:type="dxa"/>
            <w:noWrap w:val="0"/>
            <w:vAlign w:val="center"/>
          </w:tcPr>
          <w:p>
            <w:pPr>
              <w:pStyle w:val="16"/>
            </w:pPr>
            <w:r>
              <w:t>机械化清扫率</w:t>
            </w:r>
          </w:p>
        </w:tc>
        <w:tc>
          <w:tcPr>
            <w:tcW w:w="2835" w:type="dxa"/>
            <w:noWrap w:val="0"/>
            <w:vAlign w:val="center"/>
          </w:tcPr>
          <w:p>
            <w:pPr>
              <w:pStyle w:val="16"/>
            </w:pPr>
            <w:r>
              <w:t>机械化清扫范围占环境清扫面积比率</w:t>
            </w:r>
          </w:p>
        </w:tc>
        <w:tc>
          <w:tcPr>
            <w:tcW w:w="1350" w:type="dxa"/>
            <w:noWrap w:val="0"/>
            <w:vAlign w:val="center"/>
          </w:tcPr>
          <w:p>
            <w:pPr>
              <w:pStyle w:val="16"/>
            </w:pPr>
            <w:r>
              <w:t>≥80%</w:t>
            </w:r>
          </w:p>
        </w:tc>
        <w:tc>
          <w:tcPr>
            <w:tcW w:w="216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659" w:type="dxa"/>
            <w:noWrap w:val="0"/>
            <w:vAlign w:val="center"/>
          </w:tcPr>
          <w:p>
            <w:pPr>
              <w:pStyle w:val="16"/>
            </w:pPr>
            <w:r>
              <w:t>质量指标</w:t>
            </w:r>
          </w:p>
        </w:tc>
        <w:tc>
          <w:tcPr>
            <w:tcW w:w="1380" w:type="dxa"/>
            <w:noWrap w:val="0"/>
            <w:vAlign w:val="center"/>
          </w:tcPr>
          <w:p>
            <w:pPr>
              <w:pStyle w:val="16"/>
            </w:pPr>
            <w:r>
              <w:t>清洁程度</w:t>
            </w:r>
          </w:p>
        </w:tc>
        <w:tc>
          <w:tcPr>
            <w:tcW w:w="2835" w:type="dxa"/>
            <w:noWrap w:val="0"/>
            <w:vAlign w:val="center"/>
          </w:tcPr>
          <w:p>
            <w:pPr>
              <w:pStyle w:val="16"/>
            </w:pPr>
            <w:r>
              <w:t>道路整洁，不漏扫</w:t>
            </w:r>
          </w:p>
        </w:tc>
        <w:tc>
          <w:tcPr>
            <w:tcW w:w="1350" w:type="dxa"/>
            <w:noWrap w:val="0"/>
            <w:vAlign w:val="center"/>
          </w:tcPr>
          <w:p>
            <w:pPr>
              <w:pStyle w:val="16"/>
            </w:pPr>
            <w:r>
              <w:t>≥98%</w:t>
            </w:r>
          </w:p>
        </w:tc>
        <w:tc>
          <w:tcPr>
            <w:tcW w:w="216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659" w:type="dxa"/>
            <w:noWrap w:val="0"/>
            <w:vAlign w:val="center"/>
          </w:tcPr>
          <w:p>
            <w:pPr>
              <w:pStyle w:val="16"/>
            </w:pPr>
            <w:r>
              <w:t>时效指标</w:t>
            </w:r>
          </w:p>
        </w:tc>
        <w:tc>
          <w:tcPr>
            <w:tcW w:w="1380" w:type="dxa"/>
            <w:noWrap w:val="0"/>
            <w:vAlign w:val="center"/>
          </w:tcPr>
          <w:p>
            <w:pPr>
              <w:pStyle w:val="16"/>
            </w:pPr>
            <w:r>
              <w:t>清扫任务完成及时率</w:t>
            </w:r>
          </w:p>
        </w:tc>
        <w:tc>
          <w:tcPr>
            <w:tcW w:w="2835" w:type="dxa"/>
            <w:noWrap w:val="0"/>
            <w:vAlign w:val="center"/>
          </w:tcPr>
          <w:p>
            <w:pPr>
              <w:pStyle w:val="16"/>
            </w:pPr>
            <w:r>
              <w:t>工作任务完成及时率</w:t>
            </w:r>
          </w:p>
        </w:tc>
        <w:tc>
          <w:tcPr>
            <w:tcW w:w="1350" w:type="dxa"/>
            <w:noWrap w:val="0"/>
            <w:vAlign w:val="center"/>
          </w:tcPr>
          <w:p>
            <w:pPr>
              <w:pStyle w:val="16"/>
            </w:pPr>
            <w:r>
              <w:t>≥80%</w:t>
            </w:r>
          </w:p>
        </w:tc>
        <w:tc>
          <w:tcPr>
            <w:tcW w:w="216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659" w:type="dxa"/>
            <w:noWrap w:val="0"/>
            <w:vAlign w:val="center"/>
          </w:tcPr>
          <w:p>
            <w:pPr>
              <w:pStyle w:val="16"/>
            </w:pPr>
            <w:r>
              <w:t>成本指标</w:t>
            </w:r>
          </w:p>
        </w:tc>
        <w:tc>
          <w:tcPr>
            <w:tcW w:w="1380" w:type="dxa"/>
            <w:noWrap w:val="0"/>
            <w:vAlign w:val="center"/>
          </w:tcPr>
          <w:p>
            <w:pPr>
              <w:pStyle w:val="16"/>
            </w:pPr>
            <w:r>
              <w:t>工作开展所需的成本情况</w:t>
            </w:r>
          </w:p>
        </w:tc>
        <w:tc>
          <w:tcPr>
            <w:tcW w:w="2835" w:type="dxa"/>
            <w:noWrap w:val="0"/>
            <w:vAlign w:val="center"/>
          </w:tcPr>
          <w:p>
            <w:pPr>
              <w:pStyle w:val="16"/>
            </w:pPr>
            <w:r>
              <w:t>工作开展所需的成本情况</w:t>
            </w:r>
          </w:p>
        </w:tc>
        <w:tc>
          <w:tcPr>
            <w:tcW w:w="1350" w:type="dxa"/>
            <w:noWrap w:val="0"/>
            <w:vAlign w:val="center"/>
          </w:tcPr>
          <w:p>
            <w:pPr>
              <w:pStyle w:val="16"/>
            </w:pPr>
            <w:r>
              <w:t>≤1320.46万元</w:t>
            </w:r>
          </w:p>
        </w:tc>
        <w:tc>
          <w:tcPr>
            <w:tcW w:w="2163"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659" w:type="dxa"/>
            <w:noWrap w:val="0"/>
            <w:vAlign w:val="center"/>
          </w:tcPr>
          <w:p>
            <w:pPr>
              <w:pStyle w:val="16"/>
            </w:pPr>
            <w:r>
              <w:t>社会效益指标</w:t>
            </w:r>
          </w:p>
        </w:tc>
        <w:tc>
          <w:tcPr>
            <w:tcW w:w="1380" w:type="dxa"/>
            <w:noWrap w:val="0"/>
            <w:vAlign w:val="center"/>
          </w:tcPr>
          <w:p>
            <w:pPr>
              <w:pStyle w:val="16"/>
            </w:pPr>
            <w:r>
              <w:t>城市的美丽度</w:t>
            </w:r>
          </w:p>
        </w:tc>
        <w:tc>
          <w:tcPr>
            <w:tcW w:w="2835" w:type="dxa"/>
            <w:noWrap w:val="0"/>
            <w:vAlign w:val="center"/>
          </w:tcPr>
          <w:p>
            <w:pPr>
              <w:pStyle w:val="16"/>
            </w:pPr>
            <w:r>
              <w:t>市容市貌整体提升程度，宜居度</w:t>
            </w:r>
          </w:p>
        </w:tc>
        <w:tc>
          <w:tcPr>
            <w:tcW w:w="1350" w:type="dxa"/>
            <w:noWrap w:val="0"/>
            <w:vAlign w:val="center"/>
          </w:tcPr>
          <w:p>
            <w:pPr>
              <w:pStyle w:val="16"/>
            </w:pPr>
            <w:r>
              <w:t>提高</w:t>
            </w:r>
          </w:p>
        </w:tc>
        <w:tc>
          <w:tcPr>
            <w:tcW w:w="2163" w:type="dxa"/>
            <w:noWrap w:val="0"/>
            <w:vAlign w:val="center"/>
          </w:tcPr>
          <w:p>
            <w:pPr>
              <w:pStyle w:val="16"/>
            </w:pPr>
            <w: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659" w:type="dxa"/>
            <w:noWrap w:val="0"/>
            <w:vAlign w:val="center"/>
          </w:tcPr>
          <w:p>
            <w:pPr>
              <w:pStyle w:val="16"/>
            </w:pPr>
            <w:r>
              <w:t>生态效益指标</w:t>
            </w:r>
          </w:p>
        </w:tc>
        <w:tc>
          <w:tcPr>
            <w:tcW w:w="1380" w:type="dxa"/>
            <w:noWrap w:val="0"/>
            <w:vAlign w:val="center"/>
          </w:tcPr>
          <w:p>
            <w:pPr>
              <w:pStyle w:val="16"/>
            </w:pPr>
            <w:r>
              <w:t>道路清扫与垃圾运输及时程度</w:t>
            </w:r>
          </w:p>
        </w:tc>
        <w:tc>
          <w:tcPr>
            <w:tcW w:w="2835" w:type="dxa"/>
            <w:noWrap w:val="0"/>
            <w:vAlign w:val="center"/>
          </w:tcPr>
          <w:p>
            <w:pPr>
              <w:pStyle w:val="16"/>
            </w:pPr>
            <w:r>
              <w:t>道路清扫与垃圾运输是否及时，减少城区环境的污染</w:t>
            </w:r>
          </w:p>
        </w:tc>
        <w:tc>
          <w:tcPr>
            <w:tcW w:w="1350" w:type="dxa"/>
            <w:noWrap w:val="0"/>
            <w:vAlign w:val="center"/>
          </w:tcPr>
          <w:p>
            <w:pPr>
              <w:pStyle w:val="16"/>
            </w:pPr>
            <w:r>
              <w:t>提高</w:t>
            </w:r>
          </w:p>
        </w:tc>
        <w:tc>
          <w:tcPr>
            <w:tcW w:w="2163" w:type="dxa"/>
            <w:noWrap w:val="0"/>
            <w:vAlign w:val="center"/>
          </w:tcPr>
          <w:p>
            <w:pPr>
              <w:pStyle w:val="16"/>
            </w:pPr>
            <w: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659" w:type="dxa"/>
            <w:noWrap w:val="0"/>
            <w:vAlign w:val="center"/>
          </w:tcPr>
          <w:p>
            <w:pPr>
              <w:pStyle w:val="16"/>
            </w:pPr>
            <w:r>
              <w:t>服务对象满意度指标</w:t>
            </w:r>
          </w:p>
        </w:tc>
        <w:tc>
          <w:tcPr>
            <w:tcW w:w="1380" w:type="dxa"/>
            <w:noWrap w:val="0"/>
            <w:vAlign w:val="center"/>
          </w:tcPr>
          <w:p>
            <w:pPr>
              <w:pStyle w:val="16"/>
            </w:pPr>
            <w:r>
              <w:t>群众满意度</w:t>
            </w:r>
          </w:p>
        </w:tc>
        <w:tc>
          <w:tcPr>
            <w:tcW w:w="2835" w:type="dxa"/>
            <w:noWrap w:val="0"/>
            <w:vAlign w:val="center"/>
          </w:tcPr>
          <w:p>
            <w:pPr>
              <w:pStyle w:val="16"/>
            </w:pPr>
            <w:r>
              <w:t>群众满意度数量占总数的比例</w:t>
            </w:r>
          </w:p>
        </w:tc>
        <w:tc>
          <w:tcPr>
            <w:tcW w:w="1350" w:type="dxa"/>
            <w:noWrap w:val="0"/>
            <w:vAlign w:val="center"/>
          </w:tcPr>
          <w:p>
            <w:pPr>
              <w:pStyle w:val="16"/>
            </w:pPr>
            <w:r>
              <w:t>≥97%</w:t>
            </w:r>
          </w:p>
        </w:tc>
        <w:tc>
          <w:tcPr>
            <w:tcW w:w="2163" w:type="dxa"/>
            <w:noWrap w:val="0"/>
            <w:vAlign w:val="center"/>
          </w:tcPr>
          <w:p>
            <w:pPr>
              <w:pStyle w:val="16"/>
            </w:pPr>
            <w:r>
              <w:t>评价标准</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3" w:name="_Toc_4_4_0000000006"/>
      <w:r>
        <w:rPr>
          <w:rFonts w:ascii="方正仿宋_GBK" w:hAnsi="方正仿宋_GBK" w:eastAsia="方正仿宋_GBK" w:cs="方正仿宋_GBK"/>
          <w:color w:val="000000"/>
          <w:sz w:val="28"/>
        </w:rPr>
        <w:t>3.垃圾场承包费绩效目标表</w:t>
      </w:r>
      <w:bookmarkEnd w:id="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13062321P007931100010</w:t>
            </w:r>
          </w:p>
        </w:tc>
        <w:tc>
          <w:tcPr>
            <w:tcW w:w="1587" w:type="dxa"/>
            <w:noWrap w:val="0"/>
            <w:vAlign w:val="center"/>
          </w:tcPr>
          <w:p>
            <w:pPr>
              <w:pStyle w:val="15"/>
            </w:pPr>
            <w:r>
              <w:t>项目名称</w:t>
            </w:r>
          </w:p>
        </w:tc>
        <w:tc>
          <w:tcPr>
            <w:tcW w:w="4422" w:type="dxa"/>
            <w:gridSpan w:val="3"/>
            <w:noWrap w:val="0"/>
            <w:vAlign w:val="center"/>
          </w:tcPr>
          <w:p>
            <w:pPr>
              <w:pStyle w:val="16"/>
            </w:pPr>
            <w:r>
              <w:t>垃圾场承包费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184.84</w:t>
            </w:r>
          </w:p>
        </w:tc>
        <w:tc>
          <w:tcPr>
            <w:tcW w:w="1587" w:type="dxa"/>
            <w:noWrap w:val="0"/>
            <w:vAlign w:val="center"/>
          </w:tcPr>
          <w:p>
            <w:pPr>
              <w:pStyle w:val="15"/>
            </w:pPr>
            <w:r>
              <w:t>其中：财政    资金</w:t>
            </w:r>
          </w:p>
        </w:tc>
        <w:tc>
          <w:tcPr>
            <w:tcW w:w="1304" w:type="dxa"/>
            <w:noWrap w:val="0"/>
            <w:vAlign w:val="center"/>
          </w:tcPr>
          <w:p>
            <w:pPr>
              <w:pStyle w:val="16"/>
            </w:pPr>
            <w:r>
              <w:t>184.84</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用于垃圾场正常运行维护费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t>1</w:t>
            </w:r>
            <w:r>
              <w:rPr>
                <w:rFonts w:hint="eastAsia"/>
                <w:lang w:val="en-US" w:eastAsia="zh-CN"/>
              </w:rPr>
              <w:t>.保护城区环境 2.改善群众生活环境 3.达到群众满意</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进场垃圾称重计量</w:t>
            </w:r>
          </w:p>
        </w:tc>
        <w:tc>
          <w:tcPr>
            <w:tcW w:w="2891" w:type="dxa"/>
            <w:noWrap w:val="0"/>
            <w:vAlign w:val="center"/>
          </w:tcPr>
          <w:p>
            <w:pPr>
              <w:pStyle w:val="16"/>
            </w:pPr>
            <w:r>
              <w:t>进场生活垃圾均做称重登记</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规范化填埋</w:t>
            </w:r>
          </w:p>
        </w:tc>
        <w:tc>
          <w:tcPr>
            <w:tcW w:w="2891" w:type="dxa"/>
            <w:noWrap w:val="0"/>
            <w:vAlign w:val="center"/>
          </w:tcPr>
          <w:p>
            <w:pPr>
              <w:pStyle w:val="16"/>
            </w:pPr>
            <w:r>
              <w:t>生活垃圾能否规范化填埋</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生活垃圾覆盖及时率</w:t>
            </w:r>
          </w:p>
        </w:tc>
        <w:tc>
          <w:tcPr>
            <w:tcW w:w="2891" w:type="dxa"/>
            <w:noWrap w:val="0"/>
            <w:vAlign w:val="center"/>
          </w:tcPr>
          <w:p>
            <w:pPr>
              <w:pStyle w:val="16"/>
            </w:pPr>
            <w:r>
              <w:t>生活垃圾进场及时覆盖情况</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项目实际成本</w:t>
            </w:r>
          </w:p>
        </w:tc>
        <w:tc>
          <w:tcPr>
            <w:tcW w:w="2891" w:type="dxa"/>
            <w:noWrap w:val="0"/>
            <w:vAlign w:val="center"/>
          </w:tcPr>
          <w:p>
            <w:pPr>
              <w:pStyle w:val="16"/>
            </w:pPr>
            <w:r>
              <w:t>项目实际发生成本</w:t>
            </w:r>
          </w:p>
        </w:tc>
        <w:tc>
          <w:tcPr>
            <w:tcW w:w="1276" w:type="dxa"/>
            <w:noWrap w:val="0"/>
            <w:vAlign w:val="center"/>
          </w:tcPr>
          <w:p>
            <w:pPr>
              <w:pStyle w:val="16"/>
            </w:pPr>
            <w:r>
              <w:t>≤100%</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城市环境监测</w:t>
            </w:r>
          </w:p>
        </w:tc>
        <w:tc>
          <w:tcPr>
            <w:tcW w:w="2891" w:type="dxa"/>
            <w:noWrap w:val="0"/>
            <w:vAlign w:val="center"/>
          </w:tcPr>
          <w:p>
            <w:pPr>
              <w:pStyle w:val="16"/>
            </w:pPr>
            <w:r>
              <w:t>生活垃圾填埋对生态环境影响程度</w:t>
            </w:r>
          </w:p>
        </w:tc>
        <w:tc>
          <w:tcPr>
            <w:tcW w:w="1276" w:type="dxa"/>
            <w:noWrap w:val="0"/>
            <w:vAlign w:val="center"/>
          </w:tcPr>
          <w:p>
            <w:pPr>
              <w:pStyle w:val="16"/>
            </w:pPr>
            <w:r>
              <w:t>降低</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生态效益指标</w:t>
            </w:r>
          </w:p>
        </w:tc>
        <w:tc>
          <w:tcPr>
            <w:tcW w:w="1332" w:type="dxa"/>
            <w:noWrap w:val="0"/>
            <w:vAlign w:val="center"/>
          </w:tcPr>
          <w:p>
            <w:pPr>
              <w:pStyle w:val="16"/>
            </w:pPr>
            <w:r>
              <w:t>减少对环境的污染</w:t>
            </w:r>
          </w:p>
        </w:tc>
        <w:tc>
          <w:tcPr>
            <w:tcW w:w="2891" w:type="dxa"/>
            <w:noWrap w:val="0"/>
            <w:vAlign w:val="center"/>
          </w:tcPr>
          <w:p>
            <w:pPr>
              <w:pStyle w:val="16"/>
            </w:pPr>
            <w:r>
              <w:t>减少垃圾清运过程中转环节，对环境污染更小</w:t>
            </w:r>
          </w:p>
        </w:tc>
        <w:tc>
          <w:tcPr>
            <w:tcW w:w="1276" w:type="dxa"/>
            <w:noWrap w:val="0"/>
            <w:vAlign w:val="center"/>
          </w:tcPr>
          <w:p>
            <w:pPr>
              <w:pStyle w:val="16"/>
            </w:pPr>
            <w:r>
              <w:t>降低</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群众对城市环境垃圾处理的满意程度</w:t>
            </w:r>
          </w:p>
        </w:tc>
        <w:tc>
          <w:tcPr>
            <w:tcW w:w="1276" w:type="dxa"/>
            <w:noWrap w:val="0"/>
            <w:vAlign w:val="center"/>
          </w:tcPr>
          <w:p>
            <w:pPr>
              <w:pStyle w:val="16"/>
            </w:pPr>
            <w:r>
              <w:t>≥97%</w:t>
            </w:r>
          </w:p>
        </w:tc>
        <w:tc>
          <w:tcPr>
            <w:tcW w:w="1843" w:type="dxa"/>
            <w:noWrap w:val="0"/>
            <w:vAlign w:val="center"/>
          </w:tcPr>
          <w:p>
            <w:pPr>
              <w:pStyle w:val="16"/>
            </w:pPr>
            <w:r>
              <w:t>市容市貌考核制度</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4" w:name="_Toc_4_4_0000000007"/>
      <w:r>
        <w:rPr>
          <w:rFonts w:ascii="方正仿宋_GBK" w:hAnsi="方正仿宋_GBK" w:eastAsia="方正仿宋_GBK" w:cs="方正仿宋_GBK"/>
          <w:color w:val="000000"/>
          <w:sz w:val="28"/>
        </w:rPr>
        <w:t>4.数字化城市管理系统日常维护费绩效目标表</w:t>
      </w:r>
      <w:bookmarkEnd w:id="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13062321P00793010001A</w:t>
            </w:r>
          </w:p>
        </w:tc>
        <w:tc>
          <w:tcPr>
            <w:tcW w:w="1587" w:type="dxa"/>
            <w:noWrap w:val="0"/>
            <w:vAlign w:val="center"/>
          </w:tcPr>
          <w:p>
            <w:pPr>
              <w:pStyle w:val="15"/>
            </w:pPr>
            <w:r>
              <w:t>项目名称</w:t>
            </w:r>
          </w:p>
        </w:tc>
        <w:tc>
          <w:tcPr>
            <w:tcW w:w="4422" w:type="dxa"/>
            <w:gridSpan w:val="3"/>
            <w:noWrap w:val="0"/>
            <w:vAlign w:val="center"/>
          </w:tcPr>
          <w:p>
            <w:pPr>
              <w:pStyle w:val="16"/>
            </w:pPr>
            <w:r>
              <w:t>数字化城市管理系统日常维护费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5.00</w:t>
            </w:r>
          </w:p>
        </w:tc>
        <w:tc>
          <w:tcPr>
            <w:tcW w:w="1587" w:type="dxa"/>
            <w:noWrap w:val="0"/>
            <w:vAlign w:val="center"/>
          </w:tcPr>
          <w:p>
            <w:pPr>
              <w:pStyle w:val="15"/>
            </w:pPr>
            <w:r>
              <w:t>其中：财政    资金</w:t>
            </w:r>
          </w:p>
        </w:tc>
        <w:tc>
          <w:tcPr>
            <w:tcW w:w="1304" w:type="dxa"/>
            <w:noWrap w:val="0"/>
            <w:vAlign w:val="center"/>
          </w:tcPr>
          <w:p>
            <w:pPr>
              <w:pStyle w:val="16"/>
            </w:pPr>
            <w:r>
              <w:t>5.00</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用于数字化管理系统硬件日常维修维护费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t>1.</w:t>
            </w:r>
            <w:r>
              <w:rPr>
                <w:rFonts w:hint="eastAsia"/>
                <w:lang w:eastAsia="zh-CN"/>
              </w:rPr>
              <w:t>提高城市精细化管理水平</w:t>
            </w:r>
            <w:r>
              <w:rPr>
                <w:rFonts w:hint="eastAsia"/>
                <w:lang w:val="en-US" w:eastAsia="zh-CN"/>
              </w:rPr>
              <w:t>2.发挥数字化指挥中心作用3.提高政府服务水平</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质量指标</w:t>
            </w:r>
          </w:p>
        </w:tc>
        <w:tc>
          <w:tcPr>
            <w:tcW w:w="1332" w:type="dxa"/>
            <w:noWrap w:val="0"/>
            <w:vAlign w:val="center"/>
          </w:tcPr>
          <w:p>
            <w:pPr>
              <w:pStyle w:val="16"/>
            </w:pPr>
            <w:r>
              <w:t>信息系统故障发生率</w:t>
            </w:r>
          </w:p>
        </w:tc>
        <w:tc>
          <w:tcPr>
            <w:tcW w:w="2891" w:type="dxa"/>
            <w:noWrap w:val="0"/>
            <w:vAlign w:val="center"/>
          </w:tcPr>
          <w:p>
            <w:pPr>
              <w:pStyle w:val="16"/>
            </w:pPr>
            <w:r>
              <w:t>信息系统故障发生率</w:t>
            </w:r>
          </w:p>
        </w:tc>
        <w:tc>
          <w:tcPr>
            <w:tcW w:w="1276" w:type="dxa"/>
            <w:noWrap w:val="0"/>
            <w:vAlign w:val="center"/>
          </w:tcPr>
          <w:p>
            <w:pPr>
              <w:pStyle w:val="16"/>
            </w:pPr>
            <w:r>
              <w:t>降低</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成本控制</w:t>
            </w:r>
          </w:p>
        </w:tc>
        <w:tc>
          <w:tcPr>
            <w:tcW w:w="2891" w:type="dxa"/>
            <w:noWrap w:val="0"/>
            <w:vAlign w:val="center"/>
          </w:tcPr>
          <w:p>
            <w:pPr>
              <w:pStyle w:val="16"/>
            </w:pPr>
            <w:r>
              <w:t>成本控制</w:t>
            </w:r>
          </w:p>
        </w:tc>
        <w:tc>
          <w:tcPr>
            <w:tcW w:w="1276" w:type="dxa"/>
            <w:noWrap w:val="0"/>
            <w:vAlign w:val="center"/>
          </w:tcPr>
          <w:p>
            <w:pPr>
              <w:pStyle w:val="16"/>
            </w:pPr>
            <w:r>
              <w:t>≤100%</w:t>
            </w:r>
          </w:p>
        </w:tc>
        <w:tc>
          <w:tcPr>
            <w:tcW w:w="1843" w:type="dxa"/>
            <w:noWrap w:val="0"/>
            <w:vAlign w:val="center"/>
          </w:tcPr>
          <w:p>
            <w:pPr>
              <w:pStyle w:val="16"/>
            </w:pPr>
            <w:r>
              <w:t>政局年初预算批复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数量指标</w:t>
            </w:r>
          </w:p>
        </w:tc>
        <w:tc>
          <w:tcPr>
            <w:tcW w:w="1332" w:type="dxa"/>
            <w:noWrap w:val="0"/>
            <w:vAlign w:val="center"/>
          </w:tcPr>
          <w:p>
            <w:pPr>
              <w:pStyle w:val="16"/>
            </w:pPr>
            <w:r>
              <w:t>设备检修维护次数</w:t>
            </w:r>
          </w:p>
        </w:tc>
        <w:tc>
          <w:tcPr>
            <w:tcW w:w="2891" w:type="dxa"/>
            <w:noWrap w:val="0"/>
            <w:vAlign w:val="center"/>
          </w:tcPr>
          <w:p>
            <w:pPr>
              <w:pStyle w:val="16"/>
            </w:pPr>
            <w:r>
              <w:t>设备检修维护次数</w:t>
            </w:r>
          </w:p>
        </w:tc>
        <w:tc>
          <w:tcPr>
            <w:tcW w:w="1276" w:type="dxa"/>
            <w:noWrap w:val="0"/>
            <w:vAlign w:val="center"/>
          </w:tcPr>
          <w:p>
            <w:pPr>
              <w:pStyle w:val="16"/>
            </w:pPr>
            <w:r>
              <w:t>≥2次</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案件处置率</w:t>
            </w:r>
          </w:p>
        </w:tc>
        <w:tc>
          <w:tcPr>
            <w:tcW w:w="2891" w:type="dxa"/>
            <w:noWrap w:val="0"/>
            <w:vAlign w:val="center"/>
          </w:tcPr>
          <w:p>
            <w:pPr>
              <w:pStyle w:val="16"/>
            </w:pPr>
            <w:r>
              <w:t>案件处置情况</w:t>
            </w:r>
          </w:p>
        </w:tc>
        <w:tc>
          <w:tcPr>
            <w:tcW w:w="1276" w:type="dxa"/>
            <w:noWrap w:val="0"/>
            <w:vAlign w:val="center"/>
          </w:tcPr>
          <w:p>
            <w:pPr>
              <w:pStyle w:val="16"/>
            </w:pPr>
            <w:r>
              <w:t>≥98%</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城市综合管理水平</w:t>
            </w:r>
          </w:p>
        </w:tc>
        <w:tc>
          <w:tcPr>
            <w:tcW w:w="2891" w:type="dxa"/>
            <w:noWrap w:val="0"/>
            <w:vAlign w:val="center"/>
          </w:tcPr>
          <w:p>
            <w:pPr>
              <w:pStyle w:val="16"/>
            </w:pPr>
            <w:r>
              <w:t>以数字城市化为依托，共享多部门数据资源信息，综合整治，联合执法</w:t>
            </w:r>
          </w:p>
        </w:tc>
        <w:tc>
          <w:tcPr>
            <w:tcW w:w="1276" w:type="dxa"/>
            <w:noWrap w:val="0"/>
            <w:vAlign w:val="center"/>
          </w:tcPr>
          <w:p>
            <w:pPr>
              <w:pStyle w:val="16"/>
            </w:pPr>
            <w:r>
              <w:t>提高</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可持续影响指标</w:t>
            </w:r>
          </w:p>
        </w:tc>
        <w:tc>
          <w:tcPr>
            <w:tcW w:w="1332" w:type="dxa"/>
            <w:noWrap w:val="0"/>
            <w:vAlign w:val="center"/>
          </w:tcPr>
          <w:p>
            <w:pPr>
              <w:pStyle w:val="16"/>
            </w:pPr>
            <w:r>
              <w:t>构建和谐社会</w:t>
            </w:r>
          </w:p>
        </w:tc>
        <w:tc>
          <w:tcPr>
            <w:tcW w:w="2891" w:type="dxa"/>
            <w:noWrap w:val="0"/>
            <w:vAlign w:val="center"/>
          </w:tcPr>
          <w:p>
            <w:pPr>
              <w:pStyle w:val="16"/>
            </w:pPr>
            <w:r>
              <w:t>通过数字化指挥中心，进一步提高政府服务和公共事业服务水平</w:t>
            </w:r>
          </w:p>
        </w:tc>
        <w:tc>
          <w:tcPr>
            <w:tcW w:w="1276" w:type="dxa"/>
            <w:noWrap w:val="0"/>
            <w:vAlign w:val="center"/>
          </w:tcPr>
          <w:p>
            <w:pPr>
              <w:pStyle w:val="16"/>
            </w:pPr>
            <w:r>
              <w:t>提高</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群众满意度数量占总数的比例</w:t>
            </w:r>
          </w:p>
        </w:tc>
        <w:tc>
          <w:tcPr>
            <w:tcW w:w="1276" w:type="dxa"/>
            <w:noWrap w:val="0"/>
            <w:vAlign w:val="center"/>
          </w:tcPr>
          <w:p>
            <w:pPr>
              <w:pStyle w:val="16"/>
            </w:pPr>
            <w:r>
              <w:t>≥95%</w:t>
            </w:r>
          </w:p>
        </w:tc>
        <w:tc>
          <w:tcPr>
            <w:tcW w:w="1843" w:type="dxa"/>
            <w:noWrap w:val="0"/>
            <w:vAlign w:val="center"/>
          </w:tcPr>
          <w:p>
            <w:pPr>
              <w:pStyle w:val="16"/>
            </w:pPr>
            <w:r>
              <w:t>评价标准</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5" w:name="_Toc_4_4_0000000008"/>
      <w:r>
        <w:rPr>
          <w:rFonts w:ascii="方正仿宋_GBK" w:hAnsi="方正仿宋_GBK" w:eastAsia="方正仿宋_GBK" w:cs="方正仿宋_GBK"/>
          <w:color w:val="000000"/>
          <w:sz w:val="28"/>
        </w:rPr>
        <w:t>5.数字化城市管理系统网络运营费绩效目标表</w:t>
      </w:r>
      <w:bookmarkEnd w:id="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13062321P00792810001G</w:t>
            </w:r>
          </w:p>
        </w:tc>
        <w:tc>
          <w:tcPr>
            <w:tcW w:w="1587" w:type="dxa"/>
            <w:noWrap w:val="0"/>
            <w:vAlign w:val="center"/>
          </w:tcPr>
          <w:p>
            <w:pPr>
              <w:pStyle w:val="15"/>
            </w:pPr>
            <w:r>
              <w:t>项目名称</w:t>
            </w:r>
          </w:p>
        </w:tc>
        <w:tc>
          <w:tcPr>
            <w:tcW w:w="4422" w:type="dxa"/>
            <w:gridSpan w:val="3"/>
            <w:noWrap w:val="0"/>
            <w:vAlign w:val="center"/>
          </w:tcPr>
          <w:p>
            <w:pPr>
              <w:pStyle w:val="16"/>
            </w:pPr>
            <w:r>
              <w:t>数字化城市管理系统网络运营费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10.66</w:t>
            </w:r>
          </w:p>
        </w:tc>
        <w:tc>
          <w:tcPr>
            <w:tcW w:w="1587" w:type="dxa"/>
            <w:noWrap w:val="0"/>
            <w:vAlign w:val="center"/>
          </w:tcPr>
          <w:p>
            <w:pPr>
              <w:pStyle w:val="15"/>
            </w:pPr>
            <w:r>
              <w:t>其中：财政    资金</w:t>
            </w:r>
          </w:p>
        </w:tc>
        <w:tc>
          <w:tcPr>
            <w:tcW w:w="1304" w:type="dxa"/>
            <w:noWrap w:val="0"/>
            <w:vAlign w:val="center"/>
          </w:tcPr>
          <w:p>
            <w:pPr>
              <w:pStyle w:val="16"/>
            </w:pPr>
            <w:r>
              <w:t>10.66</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用于数字化城市管理系统正常运行的网络服务费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p>
        </w:tc>
        <w:tc>
          <w:tcPr>
            <w:tcW w:w="1587" w:type="dxa"/>
            <w:noWrap w:val="0"/>
            <w:vAlign w:val="center"/>
          </w:tcPr>
          <w:p>
            <w:pPr>
              <w:pStyle w:val="17"/>
            </w:pPr>
            <w:r>
              <w:t>100%</w:t>
            </w:r>
          </w:p>
        </w:tc>
        <w:tc>
          <w:tcPr>
            <w:tcW w:w="1304" w:type="dxa"/>
            <w:noWrap w:val="0"/>
            <w:vAlign w:val="center"/>
          </w:tcPr>
          <w:p>
            <w:pPr>
              <w:pStyle w:val="17"/>
            </w:pPr>
          </w:p>
        </w:tc>
        <w:tc>
          <w:tcPr>
            <w:tcW w:w="3118" w:type="dxa"/>
            <w:gridSpan w:val="2"/>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rPr>
                <w:rFonts w:hint="default" w:eastAsia="方正书宋_GBK"/>
                <w:lang w:val="en-US" w:eastAsia="zh-CN"/>
              </w:rPr>
            </w:pPr>
            <w:r>
              <w:t>1.</w:t>
            </w:r>
            <w:r>
              <w:rPr>
                <w:rFonts w:hint="eastAsia"/>
                <w:lang w:eastAsia="zh-CN"/>
              </w:rPr>
              <w:t>提高城市精细化管理水平</w:t>
            </w:r>
            <w:r>
              <w:rPr>
                <w:rFonts w:hint="eastAsia"/>
                <w:lang w:val="en-US" w:eastAsia="zh-CN"/>
              </w:rPr>
              <w:t>2.空间管理的精确化 3.提高数字化对管理的水平</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数字化覆盖率</w:t>
            </w:r>
          </w:p>
        </w:tc>
        <w:tc>
          <w:tcPr>
            <w:tcW w:w="2891" w:type="dxa"/>
            <w:noWrap w:val="0"/>
            <w:vAlign w:val="center"/>
          </w:tcPr>
          <w:p>
            <w:pPr>
              <w:pStyle w:val="16"/>
            </w:pPr>
            <w:r>
              <w:t>数字化城市管理系统覆盖面积占域区总面积的比率</w:t>
            </w:r>
          </w:p>
        </w:tc>
        <w:tc>
          <w:tcPr>
            <w:tcW w:w="1276" w:type="dxa"/>
            <w:noWrap w:val="0"/>
            <w:vAlign w:val="center"/>
          </w:tcPr>
          <w:p>
            <w:pPr>
              <w:pStyle w:val="16"/>
            </w:pPr>
            <w:r>
              <w:t>≥95%</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城市管理网格化</w:t>
            </w:r>
          </w:p>
        </w:tc>
        <w:tc>
          <w:tcPr>
            <w:tcW w:w="2891" w:type="dxa"/>
            <w:noWrap w:val="0"/>
            <w:vAlign w:val="center"/>
          </w:tcPr>
          <w:p>
            <w:pPr>
              <w:pStyle w:val="16"/>
            </w:pPr>
            <w:r>
              <w:t>城市精细化管理水平程度，辖区划分的单位网格情况</w:t>
            </w:r>
          </w:p>
        </w:tc>
        <w:tc>
          <w:tcPr>
            <w:tcW w:w="1276" w:type="dxa"/>
            <w:noWrap w:val="0"/>
            <w:vAlign w:val="center"/>
          </w:tcPr>
          <w:p>
            <w:pPr>
              <w:pStyle w:val="16"/>
            </w:pPr>
            <w:r>
              <w:t>提高</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案件处置率</w:t>
            </w:r>
          </w:p>
        </w:tc>
        <w:tc>
          <w:tcPr>
            <w:tcW w:w="2891" w:type="dxa"/>
            <w:noWrap w:val="0"/>
            <w:vAlign w:val="center"/>
          </w:tcPr>
          <w:p>
            <w:pPr>
              <w:pStyle w:val="16"/>
            </w:pPr>
            <w:r>
              <w:t>案件处置情况</w:t>
            </w:r>
          </w:p>
        </w:tc>
        <w:tc>
          <w:tcPr>
            <w:tcW w:w="1276" w:type="dxa"/>
            <w:noWrap w:val="0"/>
            <w:vAlign w:val="center"/>
          </w:tcPr>
          <w:p>
            <w:pPr>
              <w:pStyle w:val="16"/>
            </w:pPr>
            <w:r>
              <w:t>≥98%</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运行保障成本</w:t>
            </w:r>
          </w:p>
        </w:tc>
        <w:tc>
          <w:tcPr>
            <w:tcW w:w="2891" w:type="dxa"/>
            <w:noWrap w:val="0"/>
            <w:vAlign w:val="center"/>
          </w:tcPr>
          <w:p>
            <w:pPr>
              <w:pStyle w:val="16"/>
            </w:pPr>
            <w:r>
              <w:t>运行保障成本</w:t>
            </w:r>
          </w:p>
        </w:tc>
        <w:tc>
          <w:tcPr>
            <w:tcW w:w="1276" w:type="dxa"/>
            <w:noWrap w:val="0"/>
            <w:vAlign w:val="center"/>
          </w:tcPr>
          <w:p>
            <w:pPr>
              <w:pStyle w:val="16"/>
            </w:pPr>
            <w:r>
              <w:t>≤100%</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应急处理</w:t>
            </w:r>
          </w:p>
        </w:tc>
        <w:tc>
          <w:tcPr>
            <w:tcW w:w="2891" w:type="dxa"/>
            <w:noWrap w:val="0"/>
            <w:vAlign w:val="center"/>
          </w:tcPr>
          <w:p>
            <w:pPr>
              <w:pStyle w:val="16"/>
            </w:pPr>
            <w:r>
              <w:t>以数字城市管理系统为依托，对突发事件、街面秩序等问题的处理情况</w:t>
            </w:r>
          </w:p>
        </w:tc>
        <w:tc>
          <w:tcPr>
            <w:tcW w:w="1276" w:type="dxa"/>
            <w:noWrap w:val="0"/>
            <w:vAlign w:val="center"/>
          </w:tcPr>
          <w:p>
            <w:pPr>
              <w:pStyle w:val="16"/>
            </w:pPr>
            <w:r>
              <w:t>≥98%</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可持续影响指标</w:t>
            </w:r>
          </w:p>
        </w:tc>
        <w:tc>
          <w:tcPr>
            <w:tcW w:w="1332" w:type="dxa"/>
            <w:noWrap w:val="0"/>
            <w:vAlign w:val="center"/>
          </w:tcPr>
          <w:p>
            <w:pPr>
              <w:pStyle w:val="16"/>
            </w:pPr>
            <w:r>
              <w:t>构建和谐社会</w:t>
            </w:r>
          </w:p>
        </w:tc>
        <w:tc>
          <w:tcPr>
            <w:tcW w:w="2891" w:type="dxa"/>
            <w:noWrap w:val="0"/>
            <w:vAlign w:val="center"/>
          </w:tcPr>
          <w:p>
            <w:pPr>
              <w:pStyle w:val="16"/>
            </w:pPr>
            <w:r>
              <w:t>通过数字化指挥中心，进一步提高政府服务和公共事业服务水平</w:t>
            </w:r>
          </w:p>
        </w:tc>
        <w:tc>
          <w:tcPr>
            <w:tcW w:w="1276" w:type="dxa"/>
            <w:noWrap w:val="0"/>
            <w:vAlign w:val="center"/>
          </w:tcPr>
          <w:p>
            <w:pPr>
              <w:pStyle w:val="16"/>
            </w:pPr>
            <w:r>
              <w:t>提高</w:t>
            </w:r>
          </w:p>
        </w:tc>
        <w:tc>
          <w:tcPr>
            <w:tcW w:w="1843" w:type="dxa"/>
            <w:noWrap w:val="0"/>
            <w:vAlign w:val="center"/>
          </w:tcPr>
          <w:p>
            <w:pPr>
              <w:pStyle w:val="16"/>
            </w:pPr>
            <w: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群众满意数量占总数的比率</w:t>
            </w:r>
          </w:p>
        </w:tc>
        <w:tc>
          <w:tcPr>
            <w:tcW w:w="1276" w:type="dxa"/>
            <w:noWrap w:val="0"/>
            <w:vAlign w:val="center"/>
          </w:tcPr>
          <w:p>
            <w:pPr>
              <w:pStyle w:val="16"/>
            </w:pPr>
            <w:r>
              <w:t>≥95%</w:t>
            </w:r>
          </w:p>
        </w:tc>
        <w:tc>
          <w:tcPr>
            <w:tcW w:w="1843" w:type="dxa"/>
            <w:noWrap w:val="0"/>
            <w:vAlign w:val="center"/>
          </w:tcPr>
          <w:p>
            <w:pPr>
              <w:pStyle w:val="16"/>
            </w:pPr>
            <w:r>
              <w:t>评价标准</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6" w:name="_Toc_4_4_0000000009"/>
      <w:r>
        <w:rPr>
          <w:rFonts w:ascii="方正仿宋_GBK" w:hAnsi="方正仿宋_GBK" w:eastAsia="方正仿宋_GBK" w:cs="方正仿宋_GBK"/>
          <w:color w:val="000000"/>
          <w:sz w:val="28"/>
        </w:rPr>
        <w:t>6.文化广场和冲之大街公厕养护费绩效目标表</w:t>
      </w:r>
      <w:bookmarkEnd w:id="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13062321P00793510001N</w:t>
            </w:r>
          </w:p>
        </w:tc>
        <w:tc>
          <w:tcPr>
            <w:tcW w:w="1587" w:type="dxa"/>
            <w:noWrap w:val="0"/>
            <w:vAlign w:val="center"/>
          </w:tcPr>
          <w:p>
            <w:pPr>
              <w:pStyle w:val="15"/>
            </w:pPr>
            <w:r>
              <w:t>项目名称</w:t>
            </w:r>
          </w:p>
        </w:tc>
        <w:tc>
          <w:tcPr>
            <w:tcW w:w="4422" w:type="dxa"/>
            <w:gridSpan w:val="3"/>
            <w:noWrap w:val="0"/>
            <w:vAlign w:val="center"/>
          </w:tcPr>
          <w:p>
            <w:pPr>
              <w:pStyle w:val="16"/>
            </w:pPr>
            <w:r>
              <w:t>文化广场和冲之大街公厕养护费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12.00</w:t>
            </w:r>
          </w:p>
        </w:tc>
        <w:tc>
          <w:tcPr>
            <w:tcW w:w="1587" w:type="dxa"/>
            <w:noWrap w:val="0"/>
            <w:vAlign w:val="center"/>
          </w:tcPr>
          <w:p>
            <w:pPr>
              <w:pStyle w:val="15"/>
            </w:pPr>
            <w:r>
              <w:t>其中：财政    资金</w:t>
            </w:r>
          </w:p>
        </w:tc>
        <w:tc>
          <w:tcPr>
            <w:tcW w:w="1304" w:type="dxa"/>
            <w:noWrap w:val="0"/>
            <w:vAlign w:val="center"/>
          </w:tcPr>
          <w:p>
            <w:pPr>
              <w:pStyle w:val="16"/>
            </w:pPr>
            <w:r>
              <w:t>12.00</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用于文化广场和冲之大街两个公厕的日常清洁维护及取暖期的电费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rPr>
                <w:rFonts w:hint="default" w:eastAsia="方正书宋_GBK"/>
                <w:lang w:val="en-US" w:eastAsia="zh-CN"/>
              </w:rPr>
            </w:pPr>
            <w:r>
              <w:t>1.</w:t>
            </w:r>
            <w:r>
              <w:rPr>
                <w:rFonts w:hint="eastAsia"/>
                <w:lang w:eastAsia="zh-CN"/>
              </w:rPr>
              <w:t>改善城区人居环境</w:t>
            </w:r>
            <w:r>
              <w:rPr>
                <w:rFonts w:hint="eastAsia"/>
                <w:lang w:val="en-US" w:eastAsia="zh-CN"/>
              </w:rPr>
              <w:t xml:space="preserve"> 2.提高城市宜居度 3.提高生活的满意度</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日常巡查覆盖率</w:t>
            </w:r>
          </w:p>
        </w:tc>
        <w:tc>
          <w:tcPr>
            <w:tcW w:w="2891" w:type="dxa"/>
            <w:noWrap w:val="0"/>
            <w:vAlign w:val="center"/>
          </w:tcPr>
          <w:p>
            <w:pPr>
              <w:pStyle w:val="16"/>
            </w:pPr>
            <w:r>
              <w:t>日常巡查覆盖率</w:t>
            </w:r>
          </w:p>
        </w:tc>
        <w:tc>
          <w:tcPr>
            <w:tcW w:w="1276" w:type="dxa"/>
            <w:noWrap w:val="0"/>
            <w:vAlign w:val="center"/>
          </w:tcPr>
          <w:p>
            <w:pPr>
              <w:pStyle w:val="16"/>
            </w:pPr>
            <w:r>
              <w:t>≥96%</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保洁率</w:t>
            </w:r>
          </w:p>
        </w:tc>
        <w:tc>
          <w:tcPr>
            <w:tcW w:w="2891" w:type="dxa"/>
            <w:noWrap w:val="0"/>
            <w:vAlign w:val="center"/>
          </w:tcPr>
          <w:p>
            <w:pPr>
              <w:pStyle w:val="16"/>
            </w:pPr>
            <w:r>
              <w:t>保洁率</w:t>
            </w:r>
          </w:p>
        </w:tc>
        <w:tc>
          <w:tcPr>
            <w:tcW w:w="1276" w:type="dxa"/>
            <w:noWrap w:val="0"/>
            <w:vAlign w:val="center"/>
          </w:tcPr>
          <w:p>
            <w:pPr>
              <w:pStyle w:val="16"/>
            </w:pPr>
            <w:r>
              <w:t>≥96%</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设备维修及时率</w:t>
            </w:r>
          </w:p>
        </w:tc>
        <w:tc>
          <w:tcPr>
            <w:tcW w:w="2891" w:type="dxa"/>
            <w:noWrap w:val="0"/>
            <w:vAlign w:val="center"/>
          </w:tcPr>
          <w:p>
            <w:pPr>
              <w:pStyle w:val="16"/>
            </w:pPr>
            <w:r>
              <w:t>设备维修及时率</w:t>
            </w:r>
          </w:p>
        </w:tc>
        <w:tc>
          <w:tcPr>
            <w:tcW w:w="1276" w:type="dxa"/>
            <w:noWrap w:val="0"/>
            <w:vAlign w:val="center"/>
          </w:tcPr>
          <w:p>
            <w:pPr>
              <w:pStyle w:val="16"/>
            </w:pPr>
            <w:r>
              <w:t>≥96%</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控制在预算成本内</w:t>
            </w:r>
          </w:p>
        </w:tc>
        <w:tc>
          <w:tcPr>
            <w:tcW w:w="2891" w:type="dxa"/>
            <w:noWrap w:val="0"/>
            <w:vAlign w:val="center"/>
          </w:tcPr>
          <w:p>
            <w:pPr>
              <w:pStyle w:val="16"/>
            </w:pPr>
            <w:r>
              <w:t>控制在预算成本内</w:t>
            </w:r>
          </w:p>
        </w:tc>
        <w:tc>
          <w:tcPr>
            <w:tcW w:w="1276" w:type="dxa"/>
            <w:noWrap w:val="0"/>
            <w:vAlign w:val="center"/>
          </w:tcPr>
          <w:p>
            <w:pPr>
              <w:pStyle w:val="16"/>
            </w:pPr>
            <w:r>
              <w:t>≤100%</w:t>
            </w:r>
          </w:p>
        </w:tc>
        <w:tc>
          <w:tcPr>
            <w:tcW w:w="1843" w:type="dxa"/>
            <w:noWrap w:val="0"/>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提供优质服务</w:t>
            </w:r>
          </w:p>
        </w:tc>
        <w:tc>
          <w:tcPr>
            <w:tcW w:w="2891" w:type="dxa"/>
            <w:noWrap w:val="0"/>
            <w:vAlign w:val="center"/>
          </w:tcPr>
          <w:p>
            <w:pPr>
              <w:pStyle w:val="16"/>
            </w:pPr>
            <w:r>
              <w:t>提供优质服务</w:t>
            </w:r>
          </w:p>
        </w:tc>
        <w:tc>
          <w:tcPr>
            <w:tcW w:w="1276" w:type="dxa"/>
            <w:noWrap w:val="0"/>
            <w:vAlign w:val="center"/>
          </w:tcPr>
          <w:p>
            <w:pPr>
              <w:pStyle w:val="16"/>
            </w:pPr>
            <w:r>
              <w:t>提高</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可持续影响指标</w:t>
            </w:r>
          </w:p>
        </w:tc>
        <w:tc>
          <w:tcPr>
            <w:tcW w:w="1332" w:type="dxa"/>
            <w:noWrap w:val="0"/>
            <w:vAlign w:val="center"/>
          </w:tcPr>
          <w:p>
            <w:pPr>
              <w:pStyle w:val="16"/>
            </w:pPr>
            <w:r>
              <w:t>基本公共服务水平</w:t>
            </w:r>
          </w:p>
        </w:tc>
        <w:tc>
          <w:tcPr>
            <w:tcW w:w="2891" w:type="dxa"/>
            <w:noWrap w:val="0"/>
            <w:vAlign w:val="center"/>
          </w:tcPr>
          <w:p>
            <w:pPr>
              <w:pStyle w:val="16"/>
            </w:pPr>
            <w:r>
              <w:t>基本公共服务水平</w:t>
            </w:r>
          </w:p>
        </w:tc>
        <w:tc>
          <w:tcPr>
            <w:tcW w:w="1276" w:type="dxa"/>
            <w:noWrap w:val="0"/>
            <w:vAlign w:val="center"/>
          </w:tcPr>
          <w:p>
            <w:pPr>
              <w:pStyle w:val="16"/>
            </w:pPr>
            <w:r>
              <w:t>提高</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服务对象满意度</w:t>
            </w:r>
          </w:p>
        </w:tc>
        <w:tc>
          <w:tcPr>
            <w:tcW w:w="2891" w:type="dxa"/>
            <w:noWrap w:val="0"/>
            <w:vAlign w:val="center"/>
          </w:tcPr>
          <w:p>
            <w:pPr>
              <w:pStyle w:val="16"/>
            </w:pPr>
            <w:r>
              <w:t>服务对象满意度</w:t>
            </w:r>
          </w:p>
        </w:tc>
        <w:tc>
          <w:tcPr>
            <w:tcW w:w="1276" w:type="dxa"/>
            <w:noWrap w:val="0"/>
            <w:vAlign w:val="center"/>
          </w:tcPr>
          <w:p>
            <w:pPr>
              <w:pStyle w:val="16"/>
            </w:pPr>
            <w:r>
              <w:t>≥95%</w:t>
            </w:r>
          </w:p>
        </w:tc>
        <w:tc>
          <w:tcPr>
            <w:tcW w:w="1843" w:type="dxa"/>
            <w:noWrap w:val="0"/>
            <w:vAlign w:val="center"/>
          </w:tcPr>
          <w:p>
            <w:pPr>
              <w:pStyle w:val="16"/>
            </w:pPr>
            <w:r>
              <w:t>群众调查</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7" w:name="_Toc_4_4_0000000010"/>
      <w:r>
        <w:rPr>
          <w:rFonts w:ascii="方正仿宋_GBK" w:hAnsi="方正仿宋_GBK" w:eastAsia="方正仿宋_GBK" w:cs="方正仿宋_GBK"/>
          <w:color w:val="000000"/>
          <w:sz w:val="28"/>
        </w:rPr>
        <w:t>7.执法局购买制式服装费用绩效目标表</w:t>
      </w:r>
      <w:bookmarkEnd w:id="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13062321P00793210001M</w:t>
            </w:r>
          </w:p>
        </w:tc>
        <w:tc>
          <w:tcPr>
            <w:tcW w:w="1587" w:type="dxa"/>
            <w:noWrap w:val="0"/>
            <w:vAlign w:val="center"/>
          </w:tcPr>
          <w:p>
            <w:pPr>
              <w:pStyle w:val="15"/>
            </w:pPr>
            <w:r>
              <w:t>项目名称</w:t>
            </w:r>
          </w:p>
        </w:tc>
        <w:tc>
          <w:tcPr>
            <w:tcW w:w="4422" w:type="dxa"/>
            <w:gridSpan w:val="3"/>
            <w:noWrap w:val="0"/>
            <w:vAlign w:val="center"/>
          </w:tcPr>
          <w:p>
            <w:pPr>
              <w:pStyle w:val="16"/>
            </w:pPr>
            <w:r>
              <w:t>执法局购买制式服装费用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29.45</w:t>
            </w:r>
          </w:p>
        </w:tc>
        <w:tc>
          <w:tcPr>
            <w:tcW w:w="1587" w:type="dxa"/>
            <w:noWrap w:val="0"/>
            <w:vAlign w:val="center"/>
          </w:tcPr>
          <w:p>
            <w:pPr>
              <w:pStyle w:val="15"/>
            </w:pPr>
            <w:r>
              <w:t>其中：财政    资金</w:t>
            </w:r>
          </w:p>
        </w:tc>
        <w:tc>
          <w:tcPr>
            <w:tcW w:w="1304" w:type="dxa"/>
            <w:noWrap w:val="0"/>
            <w:vAlign w:val="center"/>
          </w:tcPr>
          <w:p>
            <w:pPr>
              <w:pStyle w:val="16"/>
            </w:pPr>
            <w:r>
              <w:t>29.45</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用于购买在职和劳务派遣人员服装款共计73套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p>
        </w:tc>
        <w:tc>
          <w:tcPr>
            <w:tcW w:w="1587" w:type="dxa"/>
            <w:noWrap w:val="0"/>
            <w:vAlign w:val="center"/>
          </w:tcPr>
          <w:p>
            <w:pPr>
              <w:pStyle w:val="17"/>
            </w:pPr>
          </w:p>
        </w:tc>
        <w:tc>
          <w:tcPr>
            <w:tcW w:w="1304" w:type="dxa"/>
            <w:noWrap w:val="0"/>
            <w:vAlign w:val="center"/>
          </w:tcPr>
          <w:p>
            <w:pPr>
              <w:pStyle w:val="17"/>
            </w:pP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rPr>
                <w:rFonts w:hint="eastAsia"/>
                <w:lang w:val="en-US" w:eastAsia="zh-CN"/>
              </w:rPr>
              <w:t>1.</w:t>
            </w:r>
            <w:r>
              <w:rPr>
                <w:rFonts w:hint="eastAsia"/>
                <w:lang w:eastAsia="zh-CN"/>
              </w:rPr>
              <w:t>完成工作性质的需要</w:t>
            </w:r>
            <w:r>
              <w:rPr>
                <w:rFonts w:hint="eastAsia"/>
                <w:lang w:val="en-US" w:eastAsia="zh-CN"/>
              </w:rPr>
              <w:t xml:space="preserve"> 2.提高市容市貌 3树立良好形象</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购置制服数量</w:t>
            </w:r>
          </w:p>
        </w:tc>
        <w:tc>
          <w:tcPr>
            <w:tcW w:w="2891" w:type="dxa"/>
            <w:noWrap w:val="0"/>
            <w:vAlign w:val="center"/>
          </w:tcPr>
          <w:p>
            <w:pPr>
              <w:pStyle w:val="16"/>
            </w:pPr>
            <w:r>
              <w:t>购置73套新制服</w:t>
            </w:r>
          </w:p>
        </w:tc>
        <w:tc>
          <w:tcPr>
            <w:tcW w:w="1276" w:type="dxa"/>
            <w:noWrap w:val="0"/>
            <w:vAlign w:val="center"/>
          </w:tcPr>
          <w:p>
            <w:pPr>
              <w:pStyle w:val="16"/>
            </w:pPr>
            <w:r>
              <w:t>≥95%</w:t>
            </w:r>
          </w:p>
        </w:tc>
        <w:tc>
          <w:tcPr>
            <w:tcW w:w="1843" w:type="dxa"/>
            <w:noWrap w:val="0"/>
            <w:vAlign w:val="center"/>
          </w:tcPr>
          <w:p>
            <w:pPr>
              <w:pStyle w:val="16"/>
            </w:pPr>
            <w:r>
              <w:t>实际在岗人数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购置设备合格率</w:t>
            </w:r>
          </w:p>
        </w:tc>
        <w:tc>
          <w:tcPr>
            <w:tcW w:w="2891" w:type="dxa"/>
            <w:noWrap w:val="0"/>
            <w:vAlign w:val="center"/>
          </w:tcPr>
          <w:p>
            <w:pPr>
              <w:pStyle w:val="16"/>
            </w:pPr>
            <w:r>
              <w:t>购置设备合格率</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采购及时率</w:t>
            </w:r>
          </w:p>
        </w:tc>
        <w:tc>
          <w:tcPr>
            <w:tcW w:w="2891" w:type="dxa"/>
            <w:noWrap w:val="0"/>
            <w:vAlign w:val="center"/>
          </w:tcPr>
          <w:p>
            <w:pPr>
              <w:pStyle w:val="16"/>
            </w:pPr>
            <w:r>
              <w:t>及时采购</w:t>
            </w:r>
          </w:p>
        </w:tc>
        <w:tc>
          <w:tcPr>
            <w:tcW w:w="1276" w:type="dxa"/>
            <w:noWrap w:val="0"/>
            <w:vAlign w:val="center"/>
          </w:tcPr>
          <w:p>
            <w:pPr>
              <w:pStyle w:val="16"/>
            </w:pPr>
            <w:r>
              <w:t>提高</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预算执行率</w:t>
            </w:r>
          </w:p>
        </w:tc>
        <w:tc>
          <w:tcPr>
            <w:tcW w:w="2891" w:type="dxa"/>
            <w:noWrap w:val="0"/>
            <w:vAlign w:val="center"/>
          </w:tcPr>
          <w:p>
            <w:pPr>
              <w:pStyle w:val="16"/>
            </w:pPr>
            <w:r>
              <w:t>更换73套制服</w:t>
            </w:r>
          </w:p>
        </w:tc>
        <w:tc>
          <w:tcPr>
            <w:tcW w:w="1276" w:type="dxa"/>
            <w:noWrap w:val="0"/>
            <w:vAlign w:val="center"/>
          </w:tcPr>
          <w:p>
            <w:pPr>
              <w:pStyle w:val="16"/>
            </w:pPr>
            <w:r>
              <w:t>≥95%</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着装使用率</w:t>
            </w:r>
          </w:p>
        </w:tc>
        <w:tc>
          <w:tcPr>
            <w:tcW w:w="2891" w:type="dxa"/>
            <w:noWrap w:val="0"/>
            <w:vAlign w:val="center"/>
          </w:tcPr>
          <w:p>
            <w:pPr>
              <w:pStyle w:val="16"/>
            </w:pPr>
            <w:r>
              <w:t>着装使用</w:t>
            </w:r>
          </w:p>
        </w:tc>
        <w:tc>
          <w:tcPr>
            <w:tcW w:w="1276" w:type="dxa"/>
            <w:noWrap w:val="0"/>
            <w:vAlign w:val="center"/>
          </w:tcPr>
          <w:p>
            <w:pPr>
              <w:pStyle w:val="16"/>
            </w:pPr>
            <w:r>
              <w:t>≥90%</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可持续影响指标</w:t>
            </w:r>
          </w:p>
        </w:tc>
        <w:tc>
          <w:tcPr>
            <w:tcW w:w="1332" w:type="dxa"/>
            <w:noWrap w:val="0"/>
            <w:vAlign w:val="center"/>
          </w:tcPr>
          <w:p>
            <w:pPr>
              <w:pStyle w:val="16"/>
            </w:pPr>
            <w:r>
              <w:t>确保城管良好形象</w:t>
            </w:r>
          </w:p>
        </w:tc>
        <w:tc>
          <w:tcPr>
            <w:tcW w:w="2891" w:type="dxa"/>
            <w:noWrap w:val="0"/>
            <w:vAlign w:val="center"/>
          </w:tcPr>
          <w:p>
            <w:pPr>
              <w:pStyle w:val="16"/>
            </w:pPr>
            <w:r>
              <w:t>确保城管良好形象</w:t>
            </w:r>
          </w:p>
        </w:tc>
        <w:tc>
          <w:tcPr>
            <w:tcW w:w="1276" w:type="dxa"/>
            <w:noWrap w:val="0"/>
            <w:vAlign w:val="center"/>
          </w:tcPr>
          <w:p>
            <w:pPr>
              <w:pStyle w:val="16"/>
            </w:pPr>
            <w:r>
              <w:t>≥90%</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群众满意度</w:t>
            </w:r>
          </w:p>
        </w:tc>
        <w:tc>
          <w:tcPr>
            <w:tcW w:w="1276" w:type="dxa"/>
            <w:noWrap w:val="0"/>
            <w:vAlign w:val="center"/>
          </w:tcPr>
          <w:p>
            <w:pPr>
              <w:pStyle w:val="16"/>
            </w:pPr>
            <w:r>
              <w:t>≥95%</w:t>
            </w:r>
          </w:p>
        </w:tc>
        <w:tc>
          <w:tcPr>
            <w:tcW w:w="1843" w:type="dxa"/>
            <w:noWrap w:val="0"/>
            <w:vAlign w:val="center"/>
          </w:tcPr>
          <w:p>
            <w:pPr>
              <w:pStyle w:val="16"/>
            </w:pPr>
            <w:r>
              <w:t>根据合同</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bookmarkStart w:id="8" w:name="_Toc_4_4_0000000011"/>
      <w:r>
        <w:rPr>
          <w:rFonts w:ascii="方正仿宋_GBK" w:hAnsi="方正仿宋_GBK" w:eastAsia="方正仿宋_GBK" w:cs="方正仿宋_GBK"/>
          <w:color w:val="000000"/>
          <w:sz w:val="28"/>
        </w:rPr>
        <w:t>8.中节能焚烧生活垃圾处理费绩效目标表</w:t>
      </w:r>
      <w:bookmarkEnd w:id="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13062321P007934100011</w:t>
            </w:r>
          </w:p>
        </w:tc>
        <w:tc>
          <w:tcPr>
            <w:tcW w:w="1587" w:type="dxa"/>
            <w:noWrap w:val="0"/>
            <w:vAlign w:val="center"/>
          </w:tcPr>
          <w:p>
            <w:pPr>
              <w:pStyle w:val="15"/>
            </w:pPr>
            <w:r>
              <w:t>项目名称</w:t>
            </w:r>
          </w:p>
        </w:tc>
        <w:tc>
          <w:tcPr>
            <w:tcW w:w="4422" w:type="dxa"/>
            <w:gridSpan w:val="3"/>
            <w:noWrap w:val="0"/>
            <w:vAlign w:val="center"/>
          </w:tcPr>
          <w:p>
            <w:pPr>
              <w:pStyle w:val="16"/>
            </w:pPr>
            <w:r>
              <w:t>中节能焚烧生活垃圾处理费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151.20</w:t>
            </w:r>
          </w:p>
        </w:tc>
        <w:tc>
          <w:tcPr>
            <w:tcW w:w="1587" w:type="dxa"/>
            <w:noWrap w:val="0"/>
            <w:vAlign w:val="center"/>
          </w:tcPr>
          <w:p>
            <w:pPr>
              <w:pStyle w:val="15"/>
            </w:pPr>
            <w:r>
              <w:t>其中：财政    资金</w:t>
            </w:r>
          </w:p>
        </w:tc>
        <w:tc>
          <w:tcPr>
            <w:tcW w:w="1304" w:type="dxa"/>
            <w:noWrap w:val="0"/>
            <w:vAlign w:val="center"/>
          </w:tcPr>
          <w:p>
            <w:pPr>
              <w:pStyle w:val="16"/>
            </w:pPr>
            <w:r>
              <w:t>151.20</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用于城区生活垃圾焚烧处理的费用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r>
              <w:t>25%</w:t>
            </w:r>
          </w:p>
        </w:tc>
        <w:tc>
          <w:tcPr>
            <w:tcW w:w="1587" w:type="dxa"/>
            <w:noWrap w:val="0"/>
            <w:vAlign w:val="center"/>
          </w:tcPr>
          <w:p>
            <w:pPr>
              <w:pStyle w:val="17"/>
            </w:pPr>
            <w:r>
              <w:t>50%</w:t>
            </w:r>
          </w:p>
        </w:tc>
        <w:tc>
          <w:tcPr>
            <w:tcW w:w="1304" w:type="dxa"/>
            <w:noWrap w:val="0"/>
            <w:vAlign w:val="center"/>
          </w:tcPr>
          <w:p>
            <w:pPr>
              <w:pStyle w:val="17"/>
            </w:pPr>
            <w:r>
              <w:t>75%</w:t>
            </w:r>
          </w:p>
        </w:tc>
        <w:tc>
          <w:tcPr>
            <w:tcW w:w="3118" w:type="dxa"/>
            <w:gridSpan w:val="2"/>
            <w:noWrap w:val="0"/>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rPr>
                <w:rFonts w:hint="default" w:eastAsia="方正书宋_GBK"/>
                <w:lang w:val="en-US" w:eastAsia="zh-CN"/>
              </w:rPr>
            </w:pPr>
            <w:r>
              <w:t>1.</w:t>
            </w:r>
            <w:r>
              <w:rPr>
                <w:rFonts w:hint="eastAsia"/>
                <w:lang w:eastAsia="zh-CN"/>
              </w:rPr>
              <w:t>减少生活垃圾对环境的污染</w:t>
            </w:r>
            <w:r>
              <w:rPr>
                <w:rFonts w:hint="eastAsia"/>
                <w:lang w:val="en-US" w:eastAsia="zh-CN"/>
              </w:rPr>
              <w:t xml:space="preserve"> 2.实现生活垃圾的资源化3.生态环境质量的提高</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垃圾称重计量</w:t>
            </w:r>
          </w:p>
        </w:tc>
        <w:tc>
          <w:tcPr>
            <w:tcW w:w="2891" w:type="dxa"/>
            <w:noWrap w:val="0"/>
            <w:vAlign w:val="center"/>
          </w:tcPr>
          <w:p>
            <w:pPr>
              <w:pStyle w:val="16"/>
            </w:pPr>
            <w:r>
              <w:t>生活垃圾进场均做称重登记</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保障工作质量</w:t>
            </w:r>
          </w:p>
        </w:tc>
        <w:tc>
          <w:tcPr>
            <w:tcW w:w="2891" w:type="dxa"/>
            <w:noWrap w:val="0"/>
            <w:vAlign w:val="center"/>
          </w:tcPr>
          <w:p>
            <w:pPr>
              <w:pStyle w:val="16"/>
            </w:pPr>
            <w:r>
              <w:t>保障工作质量</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工作按时完成率</w:t>
            </w:r>
          </w:p>
        </w:tc>
        <w:tc>
          <w:tcPr>
            <w:tcW w:w="2891" w:type="dxa"/>
            <w:noWrap w:val="0"/>
            <w:vAlign w:val="center"/>
          </w:tcPr>
          <w:p>
            <w:pPr>
              <w:pStyle w:val="16"/>
            </w:pPr>
            <w:r>
              <w:t>工作按时完成率</w:t>
            </w:r>
          </w:p>
        </w:tc>
        <w:tc>
          <w:tcPr>
            <w:tcW w:w="1276" w:type="dxa"/>
            <w:noWrap w:val="0"/>
            <w:vAlign w:val="center"/>
          </w:tcPr>
          <w:p>
            <w:pPr>
              <w:pStyle w:val="16"/>
            </w:pPr>
            <w:r>
              <w:t>≥98%</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项目实际支出是否控制在预算内</w:t>
            </w:r>
          </w:p>
        </w:tc>
        <w:tc>
          <w:tcPr>
            <w:tcW w:w="2891" w:type="dxa"/>
            <w:noWrap w:val="0"/>
            <w:vAlign w:val="center"/>
          </w:tcPr>
          <w:p>
            <w:pPr>
              <w:pStyle w:val="16"/>
            </w:pPr>
            <w:r>
              <w:t>项目实际支出是否控制在预算内</w:t>
            </w:r>
          </w:p>
        </w:tc>
        <w:tc>
          <w:tcPr>
            <w:tcW w:w="1276" w:type="dxa"/>
            <w:noWrap w:val="0"/>
            <w:vAlign w:val="center"/>
          </w:tcPr>
          <w:p>
            <w:pPr>
              <w:pStyle w:val="16"/>
            </w:pPr>
            <w:r>
              <w:t>≤100%</w:t>
            </w:r>
          </w:p>
        </w:tc>
        <w:tc>
          <w:tcPr>
            <w:tcW w:w="1843" w:type="dxa"/>
            <w:noWrap w:val="0"/>
            <w:vAlign w:val="center"/>
          </w:tcPr>
          <w:p>
            <w:pPr>
              <w:pStyle w:val="16"/>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社会效益指标</w:t>
            </w:r>
          </w:p>
        </w:tc>
        <w:tc>
          <w:tcPr>
            <w:tcW w:w="1332" w:type="dxa"/>
            <w:noWrap w:val="0"/>
            <w:vAlign w:val="center"/>
          </w:tcPr>
          <w:p>
            <w:pPr>
              <w:pStyle w:val="16"/>
            </w:pPr>
            <w:r>
              <w:t>出行环境舒适度</w:t>
            </w:r>
          </w:p>
        </w:tc>
        <w:tc>
          <w:tcPr>
            <w:tcW w:w="2891" w:type="dxa"/>
            <w:noWrap w:val="0"/>
            <w:vAlign w:val="center"/>
          </w:tcPr>
          <w:p>
            <w:pPr>
              <w:pStyle w:val="16"/>
            </w:pPr>
            <w:r>
              <w:t>出行环境舒适度</w:t>
            </w:r>
          </w:p>
        </w:tc>
        <w:tc>
          <w:tcPr>
            <w:tcW w:w="1276" w:type="dxa"/>
            <w:noWrap w:val="0"/>
            <w:vAlign w:val="center"/>
          </w:tcPr>
          <w:p>
            <w:pPr>
              <w:pStyle w:val="16"/>
            </w:pPr>
            <w:r>
              <w:t>提高</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生态效益指标</w:t>
            </w:r>
          </w:p>
        </w:tc>
        <w:tc>
          <w:tcPr>
            <w:tcW w:w="1332" w:type="dxa"/>
            <w:noWrap w:val="0"/>
            <w:vAlign w:val="center"/>
          </w:tcPr>
          <w:p>
            <w:pPr>
              <w:pStyle w:val="16"/>
            </w:pPr>
            <w:r>
              <w:t>生态环境质量改善</w:t>
            </w:r>
          </w:p>
        </w:tc>
        <w:tc>
          <w:tcPr>
            <w:tcW w:w="2891" w:type="dxa"/>
            <w:noWrap w:val="0"/>
            <w:vAlign w:val="center"/>
          </w:tcPr>
          <w:p>
            <w:pPr>
              <w:pStyle w:val="16"/>
            </w:pPr>
            <w:r>
              <w:t>生态环境质量改善</w:t>
            </w:r>
          </w:p>
        </w:tc>
        <w:tc>
          <w:tcPr>
            <w:tcW w:w="1276" w:type="dxa"/>
            <w:noWrap w:val="0"/>
            <w:vAlign w:val="center"/>
          </w:tcPr>
          <w:p>
            <w:pPr>
              <w:pStyle w:val="16"/>
            </w:pPr>
            <w:r>
              <w:t>提高</w:t>
            </w:r>
          </w:p>
        </w:tc>
        <w:tc>
          <w:tcPr>
            <w:tcW w:w="1843" w:type="dxa"/>
            <w:noWrap w:val="0"/>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群众满意度</w:t>
            </w:r>
          </w:p>
        </w:tc>
        <w:tc>
          <w:tcPr>
            <w:tcW w:w="1276" w:type="dxa"/>
            <w:noWrap w:val="0"/>
            <w:vAlign w:val="center"/>
          </w:tcPr>
          <w:p>
            <w:pPr>
              <w:pStyle w:val="16"/>
            </w:pPr>
            <w:r>
              <w:t>≥97%</w:t>
            </w:r>
          </w:p>
        </w:tc>
        <w:tc>
          <w:tcPr>
            <w:tcW w:w="1843" w:type="dxa"/>
            <w:noWrap w:val="0"/>
            <w:vAlign w:val="center"/>
          </w:tcPr>
          <w:p>
            <w:pPr>
              <w:pStyle w:val="16"/>
            </w:pPr>
            <w:r>
              <w:t>根据合同</w:t>
            </w:r>
          </w:p>
        </w:tc>
      </w:tr>
    </w:tbl>
    <w:p>
      <w:pPr>
        <w:sectPr>
          <w:pgSz w:w="16840" w:h="11900" w:orient="landscape"/>
          <w:pgMar w:top="1304" w:right="1984" w:bottom="1304" w:left="1134" w:header="720" w:footer="720" w:gutter="0"/>
          <w:cols w:space="720" w:num="1"/>
        </w:sectPr>
      </w:pPr>
    </w:p>
    <w:p>
      <w:pPr>
        <w:jc w:val="center"/>
      </w:pPr>
    </w:p>
    <w:p>
      <w:pPr>
        <w:ind w:firstLine="2419" w:firstLineChars="864"/>
        <w:outlineLvl w:val="3"/>
      </w:pPr>
      <w:bookmarkStart w:id="9" w:name="_Toc_4_4_0000000012"/>
      <w:r>
        <w:rPr>
          <w:rFonts w:ascii="方正仿宋_GBK" w:hAnsi="方正仿宋_GBK" w:eastAsia="方正仿宋_GBK" w:cs="方正仿宋_GBK"/>
          <w:color w:val="000000"/>
          <w:sz w:val="28"/>
        </w:rPr>
        <w:t>9.组建省市住房城乡建设部门视频会议系统经费绩效目标表</w:t>
      </w:r>
      <w:bookmarkEnd w:id="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3"/>
            </w:pPr>
            <w:r>
              <w:t>565涞水县城市管理综合执法队</w:t>
            </w:r>
          </w:p>
        </w:tc>
        <w:tc>
          <w:tcPr>
            <w:tcW w:w="1843"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6"/>
            </w:pPr>
            <w:r>
              <w:t>13062321P007929100016</w:t>
            </w:r>
          </w:p>
        </w:tc>
        <w:tc>
          <w:tcPr>
            <w:tcW w:w="1587" w:type="dxa"/>
            <w:noWrap w:val="0"/>
            <w:vAlign w:val="center"/>
          </w:tcPr>
          <w:p>
            <w:pPr>
              <w:pStyle w:val="15"/>
            </w:pPr>
            <w:r>
              <w:t>项目名称</w:t>
            </w:r>
          </w:p>
        </w:tc>
        <w:tc>
          <w:tcPr>
            <w:tcW w:w="4422" w:type="dxa"/>
            <w:gridSpan w:val="3"/>
            <w:noWrap w:val="0"/>
            <w:vAlign w:val="center"/>
          </w:tcPr>
          <w:p>
            <w:pPr>
              <w:pStyle w:val="16"/>
            </w:pPr>
            <w:r>
              <w:t>组建省市住房城乡建设部门视频会议系统经费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6"/>
            </w:pPr>
            <w:r>
              <w:t>1.44</w:t>
            </w:r>
          </w:p>
        </w:tc>
        <w:tc>
          <w:tcPr>
            <w:tcW w:w="1587" w:type="dxa"/>
            <w:noWrap w:val="0"/>
            <w:vAlign w:val="center"/>
          </w:tcPr>
          <w:p>
            <w:pPr>
              <w:pStyle w:val="15"/>
            </w:pPr>
            <w:r>
              <w:t>其中：财政    资金</w:t>
            </w:r>
          </w:p>
        </w:tc>
        <w:tc>
          <w:tcPr>
            <w:tcW w:w="1304" w:type="dxa"/>
            <w:noWrap w:val="0"/>
            <w:vAlign w:val="center"/>
          </w:tcPr>
          <w:p>
            <w:pPr>
              <w:pStyle w:val="16"/>
            </w:pPr>
            <w:r>
              <w:t>1.44</w:t>
            </w:r>
          </w:p>
        </w:tc>
        <w:tc>
          <w:tcPr>
            <w:tcW w:w="1276" w:type="dxa"/>
            <w:noWrap w:val="0"/>
            <w:vAlign w:val="center"/>
          </w:tcPr>
          <w:p>
            <w:pPr>
              <w:pStyle w:val="15"/>
            </w:pPr>
            <w:r>
              <w:t>其他资金</w:t>
            </w:r>
          </w:p>
        </w:tc>
        <w:tc>
          <w:tcPr>
            <w:tcW w:w="1843" w:type="dxa"/>
            <w:noWrap w:val="0"/>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6"/>
            </w:pPr>
            <w:r>
              <w:t>用于住房城乡建设部门视频会议网络服务费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8"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7"/>
            </w:pPr>
          </w:p>
        </w:tc>
        <w:tc>
          <w:tcPr>
            <w:tcW w:w="1587" w:type="dxa"/>
            <w:noWrap w:val="0"/>
            <w:vAlign w:val="center"/>
          </w:tcPr>
          <w:p>
            <w:pPr>
              <w:pStyle w:val="17"/>
            </w:pPr>
            <w:r>
              <w:t>100%</w:t>
            </w:r>
          </w:p>
        </w:tc>
        <w:tc>
          <w:tcPr>
            <w:tcW w:w="1304" w:type="dxa"/>
            <w:noWrap w:val="0"/>
            <w:vAlign w:val="center"/>
          </w:tcPr>
          <w:p>
            <w:pPr>
              <w:pStyle w:val="17"/>
            </w:pPr>
          </w:p>
        </w:tc>
        <w:tc>
          <w:tcPr>
            <w:tcW w:w="3118" w:type="dxa"/>
            <w:gridSpan w:val="2"/>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7" w:type="dxa"/>
            <w:gridSpan w:val="6"/>
            <w:noWrap w:val="0"/>
            <w:vAlign w:val="center"/>
          </w:tcPr>
          <w:p>
            <w:pPr>
              <w:pStyle w:val="16"/>
            </w:pPr>
            <w:r>
              <w:t>1.</w:t>
            </w:r>
            <w:r>
              <w:rPr>
                <w:rFonts w:hint="eastAsia"/>
                <w:lang w:eastAsia="zh-CN"/>
              </w:rPr>
              <w:t>提高政府服务水平</w:t>
            </w:r>
            <w:r>
              <w:rPr>
                <w:rFonts w:hint="eastAsia"/>
                <w:lang w:val="en-US" w:eastAsia="zh-CN"/>
              </w:rPr>
              <w:t xml:space="preserve"> 2.减少会议及培训的经费 3.提高指挥和调度工作效率</w:t>
            </w:r>
          </w:p>
        </w:tc>
      </w:tr>
    </w:tbl>
    <w:p>
      <w:pPr>
        <w:spacing w:line="2" w:lineRule="exact"/>
        <w:jc w:val="cente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产出指标</w:t>
            </w:r>
          </w:p>
        </w:tc>
        <w:tc>
          <w:tcPr>
            <w:tcW w:w="1276" w:type="dxa"/>
            <w:noWrap w:val="0"/>
            <w:vAlign w:val="center"/>
          </w:tcPr>
          <w:p>
            <w:pPr>
              <w:pStyle w:val="16"/>
            </w:pPr>
            <w:r>
              <w:t>数量指标</w:t>
            </w:r>
          </w:p>
        </w:tc>
        <w:tc>
          <w:tcPr>
            <w:tcW w:w="1332" w:type="dxa"/>
            <w:noWrap w:val="0"/>
            <w:vAlign w:val="center"/>
          </w:tcPr>
          <w:p>
            <w:pPr>
              <w:pStyle w:val="16"/>
            </w:pPr>
            <w:r>
              <w:t>视频会议次数</w:t>
            </w:r>
          </w:p>
        </w:tc>
        <w:tc>
          <w:tcPr>
            <w:tcW w:w="2891" w:type="dxa"/>
            <w:noWrap w:val="0"/>
            <w:vAlign w:val="center"/>
          </w:tcPr>
          <w:p>
            <w:pPr>
              <w:pStyle w:val="16"/>
            </w:pPr>
            <w:r>
              <w:t>视频会议召开次数</w:t>
            </w:r>
          </w:p>
        </w:tc>
        <w:tc>
          <w:tcPr>
            <w:tcW w:w="1276" w:type="dxa"/>
            <w:noWrap w:val="0"/>
            <w:vAlign w:val="center"/>
          </w:tcPr>
          <w:p>
            <w:pPr>
              <w:pStyle w:val="16"/>
            </w:pPr>
            <w:r>
              <w:t>提高</w:t>
            </w:r>
          </w:p>
        </w:tc>
        <w:tc>
          <w:tcPr>
            <w:tcW w:w="1843" w:type="dxa"/>
            <w:noWrap w:val="0"/>
            <w:vAlign w:val="center"/>
          </w:tcPr>
          <w:p>
            <w:pPr>
              <w:pStyle w:val="16"/>
            </w:pPr>
            <w:r>
              <w:t>年度视频会议次数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质量指标</w:t>
            </w:r>
          </w:p>
        </w:tc>
        <w:tc>
          <w:tcPr>
            <w:tcW w:w="1332" w:type="dxa"/>
            <w:noWrap w:val="0"/>
            <w:vAlign w:val="center"/>
          </w:tcPr>
          <w:p>
            <w:pPr>
              <w:pStyle w:val="16"/>
            </w:pPr>
            <w:r>
              <w:t>远程培训效率</w:t>
            </w:r>
          </w:p>
        </w:tc>
        <w:tc>
          <w:tcPr>
            <w:tcW w:w="2891" w:type="dxa"/>
            <w:noWrap w:val="0"/>
            <w:vAlign w:val="center"/>
          </w:tcPr>
          <w:p>
            <w:pPr>
              <w:pStyle w:val="16"/>
            </w:pPr>
            <w:r>
              <w:t>远程培训达到的效果</w:t>
            </w:r>
          </w:p>
        </w:tc>
        <w:tc>
          <w:tcPr>
            <w:tcW w:w="1276" w:type="dxa"/>
            <w:noWrap w:val="0"/>
            <w:vAlign w:val="center"/>
          </w:tcPr>
          <w:p>
            <w:pPr>
              <w:pStyle w:val="16"/>
            </w:pPr>
            <w:r>
              <w:t>≥95%</w:t>
            </w:r>
          </w:p>
        </w:tc>
        <w:tc>
          <w:tcPr>
            <w:tcW w:w="1843" w:type="dxa"/>
            <w:noWrap w:val="0"/>
            <w:vAlign w:val="center"/>
          </w:tcPr>
          <w:p>
            <w:pPr>
              <w:pStyle w:val="16"/>
            </w:pPr>
            <w:r>
              <w:t>人员掌握程度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时效指标</w:t>
            </w:r>
          </w:p>
        </w:tc>
        <w:tc>
          <w:tcPr>
            <w:tcW w:w="1332" w:type="dxa"/>
            <w:noWrap w:val="0"/>
            <w:vAlign w:val="center"/>
          </w:tcPr>
          <w:p>
            <w:pPr>
              <w:pStyle w:val="16"/>
            </w:pPr>
            <w:r>
              <w:t>工作按时完成率</w:t>
            </w:r>
          </w:p>
        </w:tc>
        <w:tc>
          <w:tcPr>
            <w:tcW w:w="2891" w:type="dxa"/>
            <w:noWrap w:val="0"/>
            <w:vAlign w:val="center"/>
          </w:tcPr>
          <w:p>
            <w:pPr>
              <w:pStyle w:val="16"/>
            </w:pPr>
            <w:r>
              <w:t>指挥调度工作完成率</w:t>
            </w:r>
          </w:p>
        </w:tc>
        <w:tc>
          <w:tcPr>
            <w:tcW w:w="1276" w:type="dxa"/>
            <w:noWrap w:val="0"/>
            <w:vAlign w:val="center"/>
          </w:tcPr>
          <w:p>
            <w:pPr>
              <w:pStyle w:val="16"/>
            </w:pPr>
            <w:r>
              <w:t>≥95%</w:t>
            </w:r>
          </w:p>
        </w:tc>
        <w:tc>
          <w:tcPr>
            <w:tcW w:w="1843" w:type="dxa"/>
            <w:noWrap w:val="0"/>
            <w:vAlign w:val="center"/>
          </w:tcPr>
          <w:p>
            <w:pPr>
              <w:pStyle w:val="16"/>
            </w:pPr>
            <w:r>
              <w:t>执法局人员考核办法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成本指标</w:t>
            </w:r>
          </w:p>
        </w:tc>
        <w:tc>
          <w:tcPr>
            <w:tcW w:w="1332" w:type="dxa"/>
            <w:noWrap w:val="0"/>
            <w:vAlign w:val="center"/>
          </w:tcPr>
          <w:p>
            <w:pPr>
              <w:pStyle w:val="16"/>
            </w:pPr>
            <w:r>
              <w:t>成本控制率（%）</w:t>
            </w:r>
          </w:p>
        </w:tc>
        <w:tc>
          <w:tcPr>
            <w:tcW w:w="2891" w:type="dxa"/>
            <w:noWrap w:val="0"/>
            <w:vAlign w:val="center"/>
          </w:tcPr>
          <w:p>
            <w:pPr>
              <w:pStyle w:val="16"/>
            </w:pPr>
            <w:r>
              <w:t>购买服务实际支出资金</w:t>
            </w:r>
          </w:p>
        </w:tc>
        <w:tc>
          <w:tcPr>
            <w:tcW w:w="1276" w:type="dxa"/>
            <w:noWrap w:val="0"/>
            <w:vAlign w:val="center"/>
          </w:tcPr>
          <w:p>
            <w:pPr>
              <w:pStyle w:val="16"/>
            </w:pPr>
            <w:r>
              <w:t>≤100%</w:t>
            </w:r>
          </w:p>
        </w:tc>
        <w:tc>
          <w:tcPr>
            <w:tcW w:w="1843" w:type="dxa"/>
            <w:noWrap w:val="0"/>
            <w:vAlign w:val="center"/>
          </w:tcPr>
          <w:p>
            <w:pPr>
              <w:pStyle w:val="16"/>
            </w:pPr>
            <w:r>
              <w:t>年初预算金额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pPr>
            <w:r>
              <w:t>效益指标</w:t>
            </w:r>
          </w:p>
        </w:tc>
        <w:tc>
          <w:tcPr>
            <w:tcW w:w="1276" w:type="dxa"/>
            <w:noWrap w:val="0"/>
            <w:vAlign w:val="center"/>
          </w:tcPr>
          <w:p>
            <w:pPr>
              <w:pStyle w:val="16"/>
            </w:pPr>
            <w:r>
              <w:t>可持续影响指标</w:t>
            </w:r>
          </w:p>
        </w:tc>
        <w:tc>
          <w:tcPr>
            <w:tcW w:w="1332" w:type="dxa"/>
            <w:noWrap w:val="0"/>
            <w:vAlign w:val="center"/>
          </w:tcPr>
          <w:p>
            <w:pPr>
              <w:pStyle w:val="16"/>
            </w:pPr>
            <w:r>
              <w:t>提高指挥调度</w:t>
            </w:r>
          </w:p>
        </w:tc>
        <w:tc>
          <w:tcPr>
            <w:tcW w:w="2891" w:type="dxa"/>
            <w:noWrap w:val="0"/>
            <w:vAlign w:val="center"/>
          </w:tcPr>
          <w:p>
            <w:pPr>
              <w:pStyle w:val="16"/>
            </w:pPr>
            <w:r>
              <w:t>提高政府服务水平</w:t>
            </w:r>
          </w:p>
        </w:tc>
        <w:tc>
          <w:tcPr>
            <w:tcW w:w="1276" w:type="dxa"/>
            <w:noWrap w:val="0"/>
            <w:vAlign w:val="center"/>
          </w:tcPr>
          <w:p>
            <w:pPr>
              <w:pStyle w:val="16"/>
            </w:pPr>
            <w:r>
              <w:t>提高</w:t>
            </w:r>
          </w:p>
        </w:tc>
        <w:tc>
          <w:tcPr>
            <w:tcW w:w="1843" w:type="dxa"/>
            <w:noWrap w:val="0"/>
            <w:vAlign w:val="center"/>
          </w:tcPr>
          <w:p>
            <w:pPr>
              <w:pStyle w:val="16"/>
            </w:pPr>
            <w:r>
              <w:t>案件处理率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6"/>
            </w:pPr>
            <w:r>
              <w:t>社会效益指标</w:t>
            </w:r>
          </w:p>
        </w:tc>
        <w:tc>
          <w:tcPr>
            <w:tcW w:w="1332" w:type="dxa"/>
            <w:noWrap w:val="0"/>
            <w:vAlign w:val="center"/>
          </w:tcPr>
          <w:p>
            <w:pPr>
              <w:pStyle w:val="16"/>
            </w:pPr>
            <w:r>
              <w:t>应急处理</w:t>
            </w:r>
          </w:p>
        </w:tc>
        <w:tc>
          <w:tcPr>
            <w:tcW w:w="2891" w:type="dxa"/>
            <w:noWrap w:val="0"/>
            <w:vAlign w:val="center"/>
          </w:tcPr>
          <w:p>
            <w:pPr>
              <w:pStyle w:val="16"/>
            </w:pPr>
            <w:r>
              <w:t>对应急问题的处理情况</w:t>
            </w:r>
          </w:p>
        </w:tc>
        <w:tc>
          <w:tcPr>
            <w:tcW w:w="1276" w:type="dxa"/>
            <w:noWrap w:val="0"/>
            <w:vAlign w:val="center"/>
          </w:tcPr>
          <w:p>
            <w:pPr>
              <w:pStyle w:val="16"/>
            </w:pPr>
            <w:r>
              <w:t>≥98%</w:t>
            </w:r>
          </w:p>
        </w:tc>
        <w:tc>
          <w:tcPr>
            <w:tcW w:w="1843" w:type="dxa"/>
            <w:noWrap w:val="0"/>
            <w:vAlign w:val="center"/>
          </w:tcPr>
          <w:p>
            <w:pPr>
              <w:pStyle w:val="16"/>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pPr>
            <w:r>
              <w:t>满意度指标</w:t>
            </w:r>
          </w:p>
        </w:tc>
        <w:tc>
          <w:tcPr>
            <w:tcW w:w="1276" w:type="dxa"/>
            <w:noWrap w:val="0"/>
            <w:vAlign w:val="center"/>
          </w:tcPr>
          <w:p>
            <w:pPr>
              <w:pStyle w:val="16"/>
            </w:pPr>
            <w:r>
              <w:t>服务对象满意度指标</w:t>
            </w:r>
          </w:p>
        </w:tc>
        <w:tc>
          <w:tcPr>
            <w:tcW w:w="1332" w:type="dxa"/>
            <w:noWrap w:val="0"/>
            <w:vAlign w:val="center"/>
          </w:tcPr>
          <w:p>
            <w:pPr>
              <w:pStyle w:val="16"/>
            </w:pPr>
            <w:r>
              <w:t>群众满意度</w:t>
            </w:r>
          </w:p>
        </w:tc>
        <w:tc>
          <w:tcPr>
            <w:tcW w:w="2891" w:type="dxa"/>
            <w:noWrap w:val="0"/>
            <w:vAlign w:val="center"/>
          </w:tcPr>
          <w:p>
            <w:pPr>
              <w:pStyle w:val="16"/>
            </w:pPr>
            <w:r>
              <w:t>群众满意数量占总数的比例</w:t>
            </w:r>
          </w:p>
        </w:tc>
        <w:tc>
          <w:tcPr>
            <w:tcW w:w="1276" w:type="dxa"/>
            <w:noWrap w:val="0"/>
            <w:vAlign w:val="center"/>
          </w:tcPr>
          <w:p>
            <w:pPr>
              <w:pStyle w:val="16"/>
            </w:pPr>
            <w:r>
              <w:t>≥95%</w:t>
            </w:r>
          </w:p>
        </w:tc>
        <w:tc>
          <w:tcPr>
            <w:tcW w:w="1843" w:type="dxa"/>
            <w:noWrap w:val="0"/>
            <w:vAlign w:val="center"/>
          </w:tcPr>
          <w:p>
            <w:pPr>
              <w:pStyle w:val="16"/>
            </w:pPr>
            <w:r>
              <w:t>市容市貌考核制度</w:t>
            </w:r>
          </w:p>
        </w:tc>
      </w:tr>
    </w:tbl>
    <w:p>
      <w:pPr>
        <w:spacing w:line="560" w:lineRule="exact"/>
        <w:ind w:firstLine="640" w:firstLineChars="200"/>
        <w:rPr>
          <w:rFonts w:hint="eastAsia" w:ascii="黑体" w:hAnsi="黑体" w:eastAsia="黑体" w:cs="黑体"/>
          <w:b w:val="0"/>
          <w:bCs w:val="0"/>
          <w:sz w:val="32"/>
          <w:szCs w:val="32"/>
        </w:rPr>
      </w:pPr>
      <w:bookmarkStart w:id="10" w:name="_Toc477163533"/>
      <w:r>
        <w:rPr>
          <w:rFonts w:hint="eastAsia" w:ascii="黑体" w:hAnsi="黑体" w:eastAsia="黑体" w:cs="黑体"/>
          <w:b w:val="0"/>
          <w:bCs w:val="0"/>
          <w:sz w:val="32"/>
          <w:szCs w:val="32"/>
        </w:rPr>
        <w:t>六、政府采购预算情况</w:t>
      </w:r>
    </w:p>
    <w:p>
      <w:pPr>
        <w:jc w:val="center"/>
      </w:pPr>
      <w:r>
        <w:rPr>
          <w:rFonts w:ascii="方正小标宋_GBK" w:hAnsi="方正小标宋_GBK" w:eastAsia="方正小标宋_GBK" w:cs="方正小标宋_GBK"/>
          <w:color w:val="000000"/>
          <w:sz w:val="36"/>
        </w:rPr>
        <w:t>部门政府采购预算</w:t>
      </w:r>
    </w:p>
    <w:tbl>
      <w:tblPr>
        <w:tblStyle w:val="6"/>
        <w:tblW w:w="12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687"/>
        <w:gridCol w:w="596"/>
        <w:gridCol w:w="979"/>
        <w:gridCol w:w="480"/>
        <w:gridCol w:w="322"/>
        <w:gridCol w:w="419"/>
        <w:gridCol w:w="542"/>
        <w:gridCol w:w="822"/>
        <w:gridCol w:w="803"/>
        <w:gridCol w:w="1065"/>
        <w:gridCol w:w="930"/>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859"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6306"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3063"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6306"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80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10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93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2144"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803" w:type="dxa"/>
            <w:shd w:val="clear" w:color="auto" w:fill="auto"/>
            <w:vAlign w:val="center"/>
          </w:tcPr>
          <w:p>
            <w:pPr>
              <w:spacing w:line="400" w:lineRule="exact"/>
              <w:jc w:val="right"/>
              <w:rPr>
                <w:rFonts w:asciiTheme="minorEastAsia" w:hAnsiTheme="minorEastAsia" w:cstheme="minorEastAsia"/>
                <w:b/>
                <w:sz w:val="18"/>
                <w:szCs w:val="18"/>
              </w:rPr>
            </w:pPr>
          </w:p>
        </w:tc>
        <w:tc>
          <w:tcPr>
            <w:tcW w:w="1065" w:type="dxa"/>
            <w:shd w:val="clear" w:color="auto" w:fill="auto"/>
            <w:vAlign w:val="center"/>
          </w:tcPr>
          <w:p>
            <w:pPr>
              <w:spacing w:line="400" w:lineRule="exact"/>
              <w:jc w:val="right"/>
              <w:rPr>
                <w:rFonts w:asciiTheme="minorEastAsia" w:hAnsiTheme="minorEastAsia" w:cstheme="minorEastAsia"/>
                <w:b/>
                <w:sz w:val="18"/>
                <w:szCs w:val="18"/>
              </w:rPr>
            </w:pPr>
          </w:p>
        </w:tc>
        <w:tc>
          <w:tcPr>
            <w:tcW w:w="930" w:type="dxa"/>
            <w:shd w:val="clear" w:color="auto" w:fill="auto"/>
            <w:vAlign w:val="center"/>
          </w:tcPr>
          <w:p>
            <w:pPr>
              <w:spacing w:line="400" w:lineRule="exact"/>
              <w:jc w:val="right"/>
              <w:rPr>
                <w:rFonts w:asciiTheme="minorEastAsia" w:hAnsiTheme="minorEastAsia" w:cstheme="minorEastAsia"/>
                <w:b/>
                <w:sz w:val="18"/>
                <w:szCs w:val="18"/>
              </w:rPr>
            </w:pPr>
          </w:p>
        </w:tc>
        <w:tc>
          <w:tcPr>
            <w:tcW w:w="2144"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注：2022年我部门没有安排政府采购预算，空表列示。</w:t>
      </w:r>
    </w:p>
    <w:p>
      <w:pPr>
        <w:spacing w:line="560" w:lineRule="exact"/>
        <w:ind w:firstLine="640" w:firstLineChars="200"/>
        <w:rPr>
          <w:rFonts w:hint="default" w:ascii="仿宋_GB2312" w:hAnsi="仿宋_GB2312" w:eastAsia="仿宋_GB2312" w:cs="仿宋_GB2312"/>
          <w:sz w:val="32"/>
          <w:szCs w:val="32"/>
          <w:lang w:val="en-US" w:eastAsia="zh-CN"/>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年末执法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732.2066</w:t>
      </w:r>
      <w:r>
        <w:rPr>
          <w:rFonts w:hint="eastAsia" w:ascii="仿宋_GB2312" w:hAnsi="仿宋_GB2312" w:eastAsia="仿宋_GB2312" w:cs="仿宋_GB2312"/>
          <w:sz w:val="32"/>
          <w:szCs w:val="32"/>
        </w:rPr>
        <w:t xml:space="preserve"> 万元，</w:t>
      </w:r>
      <w:r>
        <w:rPr>
          <w:rFonts w:hint="eastAsia" w:ascii="仿宋_GB2312" w:hAnsi="宋体" w:eastAsia="仿宋_GB2312" w:cs="宋体"/>
          <w:sz w:val="32"/>
          <w:szCs w:val="32"/>
        </w:rPr>
        <w:t>主要包括车辆 27 辆价值 339.1507万元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87.1959</w:t>
      </w:r>
      <w:r>
        <w:rPr>
          <w:rFonts w:hint="eastAsia" w:ascii="仿宋_GB2312" w:hAnsi="宋体" w:eastAsia="仿宋_GB2312" w:cs="宋体"/>
          <w:sz w:val="32"/>
          <w:szCs w:val="32"/>
        </w:rPr>
        <w:t xml:space="preserve"> 万元。</w:t>
      </w:r>
      <w:r>
        <w:rPr>
          <w:rFonts w:hint="eastAsia" w:ascii="仿宋_GB2312" w:hAnsi="宋体" w:eastAsia="仿宋_GB2312" w:cs="宋体"/>
          <w:sz w:val="32"/>
          <w:szCs w:val="32"/>
          <w:lang w:val="en-US" w:eastAsia="zh-CN"/>
        </w:rPr>
        <w:t>2022年我部门无购置固定资产情况。</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3855" w:firstLineChars="1200"/>
        <w:jc w:val="left"/>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bCs/>
          <w:sz w:val="32"/>
          <w:szCs w:val="32"/>
          <w:lang w:val="en-US" w:eastAsia="zh-CN"/>
        </w:rPr>
        <w:t>部门固定资产占用情况表</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年12月31</w:t>
      </w:r>
      <w:r>
        <w:rPr>
          <w:rFonts w:hint="eastAsia" w:ascii="仿宋_GB2312" w:hAnsi="仿宋_GB2312" w:eastAsia="仿宋_GB2312" w:cs="仿宋_GB2312"/>
          <w:sz w:val="32"/>
          <w:szCs w:val="32"/>
          <w:lang w:eastAsia="zh-CN"/>
        </w:rPr>
        <w:t>日</w:t>
      </w:r>
    </w:p>
    <w:tbl>
      <w:tblPr>
        <w:tblStyle w:val="7"/>
        <w:tblW w:w="1189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56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04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732.2066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504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339.1507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560" w:type="dxa"/>
            <w:noWrap w:val="0"/>
            <w:vAlign w:val="top"/>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87.1959</w:t>
            </w:r>
          </w:p>
        </w:tc>
      </w:tr>
    </w:tbl>
    <w:p>
      <w:pPr>
        <w:ind w:firstLine="64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其他固定资产主要是电脑、空调、办公桌椅等。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5"/>
        <w:widowControl/>
        <w:spacing w:line="560" w:lineRule="exact"/>
        <w:ind w:firstLine="578" w:firstLineChars="180"/>
        <w:rPr>
          <w:rFonts w:ascii="仿宋_GB2312" w:hAnsi="仿宋_GB2312" w:eastAsia="仿宋_GB2312" w:cs="仿宋_GB2312"/>
          <w:sz w:val="32"/>
          <w:szCs w:val="32"/>
          <w:shd w:val="clear" w:color="auto" w:fill="FFFFFF"/>
        </w:rPr>
      </w:pPr>
      <w:r>
        <w:rPr>
          <w:rStyle w:val="9"/>
          <w:rFonts w:ascii="仿宋_GB2312" w:hAnsi="仿宋_GB2312" w:eastAsia="仿宋_GB2312" w:cs="仿宋_GB2312"/>
          <w:sz w:val="32"/>
          <w:szCs w:val="32"/>
          <w:shd w:val="clear" w:color="auto" w:fill="FFFFFF"/>
        </w:rPr>
        <w:t>2</w:t>
      </w:r>
      <w:r>
        <w:rPr>
          <w:rStyle w:val="9"/>
          <w:rFonts w:hint="eastAsia" w:ascii="仿宋_GB2312" w:hAnsi="仿宋_GB2312" w:eastAsia="仿宋_GB2312" w:cs="仿宋_GB2312"/>
          <w:sz w:val="32"/>
          <w:szCs w:val="32"/>
          <w:shd w:val="clear" w:color="auto" w:fill="FFFFFF"/>
        </w:rPr>
        <w:t>、</w:t>
      </w:r>
      <w:r>
        <w:rPr>
          <w:rStyle w:val="9"/>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spacing w:line="560" w:lineRule="exact"/>
        <w:ind w:firstLine="578" w:firstLineChars="180"/>
        <w:rPr>
          <w:rFonts w:ascii="仿宋_GB2312" w:hAnsi="宋体" w:eastAsia="仿宋_GB2312"/>
          <w:sz w:val="32"/>
          <w:szCs w:val="32"/>
        </w:rPr>
      </w:pPr>
      <w:r>
        <w:rPr>
          <w:rStyle w:val="9"/>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w:t>
      </w:r>
      <w:r>
        <w:rPr>
          <w:rFonts w:hint="eastAsia" w:ascii="仿宋_GB2312" w:hAnsi="仿宋_GB2312" w:eastAsia="仿宋_GB2312" w:cs="仿宋_GB2312"/>
          <w:sz w:val="32"/>
          <w:szCs w:val="32"/>
          <w:lang w:eastAsia="zh-CN"/>
        </w:rPr>
        <w:t>其他需要说明的事项</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p>
    <w:p>
      <w:pPr>
        <w:spacing w:line="560" w:lineRule="exact"/>
        <w:ind w:right="640"/>
        <w:jc w:val="right"/>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bookmarkEnd w:id="10"/>
    </w:p>
    <w:sectPr>
      <w:pgSz w:w="16838" w:h="11906" w:orient="landscape"/>
      <w:pgMar w:top="1463" w:right="1440" w:bottom="146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FFE53"/>
    <w:multiLevelType w:val="singleLevel"/>
    <w:tmpl w:val="9F0FFE53"/>
    <w:lvl w:ilvl="0" w:tentative="0">
      <w:start w:val="3"/>
      <w:numFmt w:val="decimal"/>
      <w:suff w:val="nothing"/>
      <w:lvlText w:val="%1、"/>
      <w:lvlJc w:val="left"/>
      <w:pPr>
        <w:ind w:left="800" w:firstLine="0"/>
      </w:pPr>
    </w:lvl>
  </w:abstractNum>
  <w:abstractNum w:abstractNumId="1">
    <w:nsid w:val="FC81F46E"/>
    <w:multiLevelType w:val="singleLevel"/>
    <w:tmpl w:val="FC81F46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26E199D"/>
    <w:rsid w:val="02880C6E"/>
    <w:rsid w:val="034C0D49"/>
    <w:rsid w:val="05FB6D97"/>
    <w:rsid w:val="076C560E"/>
    <w:rsid w:val="07D37A74"/>
    <w:rsid w:val="08610C2A"/>
    <w:rsid w:val="0AB669EE"/>
    <w:rsid w:val="0E0D58BA"/>
    <w:rsid w:val="0EBE4724"/>
    <w:rsid w:val="134A4EBA"/>
    <w:rsid w:val="143225DA"/>
    <w:rsid w:val="148E3A5D"/>
    <w:rsid w:val="15966195"/>
    <w:rsid w:val="18295846"/>
    <w:rsid w:val="187576F6"/>
    <w:rsid w:val="19DC770B"/>
    <w:rsid w:val="1B1F06AA"/>
    <w:rsid w:val="20730D9F"/>
    <w:rsid w:val="225534AE"/>
    <w:rsid w:val="239F4DAE"/>
    <w:rsid w:val="25D30F6A"/>
    <w:rsid w:val="25EC2454"/>
    <w:rsid w:val="272A0E33"/>
    <w:rsid w:val="28503201"/>
    <w:rsid w:val="28B7312A"/>
    <w:rsid w:val="29357CF4"/>
    <w:rsid w:val="2B8A623D"/>
    <w:rsid w:val="2C5525F4"/>
    <w:rsid w:val="2E001AFA"/>
    <w:rsid w:val="2F162B38"/>
    <w:rsid w:val="2F9939F3"/>
    <w:rsid w:val="31025D02"/>
    <w:rsid w:val="340E675A"/>
    <w:rsid w:val="35C3647F"/>
    <w:rsid w:val="368014FC"/>
    <w:rsid w:val="3882469C"/>
    <w:rsid w:val="3A691882"/>
    <w:rsid w:val="3BCB44F6"/>
    <w:rsid w:val="3C37731E"/>
    <w:rsid w:val="3D071835"/>
    <w:rsid w:val="3FB8042D"/>
    <w:rsid w:val="424972F3"/>
    <w:rsid w:val="477A621C"/>
    <w:rsid w:val="507917DD"/>
    <w:rsid w:val="53027C79"/>
    <w:rsid w:val="585C6B9F"/>
    <w:rsid w:val="58805F71"/>
    <w:rsid w:val="593B0979"/>
    <w:rsid w:val="5F5737A7"/>
    <w:rsid w:val="60635698"/>
    <w:rsid w:val="6457430E"/>
    <w:rsid w:val="656C3B9F"/>
    <w:rsid w:val="65AA182B"/>
    <w:rsid w:val="65C15ACA"/>
    <w:rsid w:val="670E7C43"/>
    <w:rsid w:val="6A056E63"/>
    <w:rsid w:val="6A1929BA"/>
    <w:rsid w:val="6DD251D5"/>
    <w:rsid w:val="708E10B8"/>
    <w:rsid w:val="73005B71"/>
    <w:rsid w:val="73917967"/>
    <w:rsid w:val="74DC2C2C"/>
    <w:rsid w:val="75F41229"/>
    <w:rsid w:val="765D1A18"/>
    <w:rsid w:val="76CB14B9"/>
    <w:rsid w:val="77E60820"/>
    <w:rsid w:val="7CBE540B"/>
    <w:rsid w:val="7E5C481E"/>
    <w:rsid w:val="7E693CE6"/>
    <w:rsid w:val="7EAC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Normal (Web)"/>
    <w:basedOn w:val="1"/>
    <w:unhideWhenUsed/>
    <w:qFormat/>
    <w:uiPriority w:val="99"/>
    <w:pPr>
      <w:jc w:val="left"/>
    </w:pPr>
    <w:rPr>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unhideWhenUsed/>
    <w:qFormat/>
    <w:uiPriority w:val="99"/>
  </w:style>
  <w:style w:type="character" w:customStyle="1" w:styleId="11">
    <w:name w:val="font31"/>
    <w:basedOn w:val="8"/>
    <w:qFormat/>
    <w:uiPriority w:val="0"/>
    <w:rPr>
      <w:rFonts w:hint="default" w:ascii="Calibri" w:hAnsi="Calibri" w:cs="Calibri"/>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23"/>
    <w:basedOn w:val="1"/>
    <w:qFormat/>
    <w:uiPriority w:val="0"/>
    <w:pPr>
      <w:jc w:val="right"/>
    </w:pPr>
    <w:rPr>
      <w:rFonts w:ascii="方正书宋_GBK" w:hAnsi="方正书宋_GBK" w:eastAsia="方正书宋_GBK" w:cs="方正书宋_GBK"/>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10955</Words>
  <Characters>12943</Characters>
  <Lines>0</Lines>
  <Paragraphs>0</Paragraphs>
  <TotalTime>0</TotalTime>
  <ScaleCrop>false</ScaleCrop>
  <LinksUpToDate>false</LinksUpToDate>
  <CharactersWithSpaces>13198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2022-06-16T00:55:00Z</dcterms:created>
  <dc:creator>acer</dc:creator>
  <cp:lastModifiedBy>Administrator</cp:lastModifiedBy>
  <dcterms:modified xsi:type="dcterms:W3CDTF">2023-11-17T06:10:38Z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2420E8C4DBEF485286E11D6283348E2E</vt:lpwstr>
  </property>
</Properties>
</file>