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涞水县民政局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sectPr>
          <w:pgSz w:w="16840" w:h="11900" w:orient="landscape"/>
          <w:pgMar w:top="1361" w:right="1020" w:bottom="1134" w:left="1020" w:header="720" w:footer="720" w:gutter="0"/>
          <w:pgNumType w:start="1"/>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6</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6</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6</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6</w:t>
      </w:r>
      <w:r>
        <w:rPr>
          <w:rFonts w:hint="eastAsia"/>
          <w:lang w:eastAsia="zh-CN"/>
        </w:rPr>
        <w:fldChar w:fldCharType="end"/>
      </w:r>
      <w:r>
        <w:rPr>
          <w:rFonts w:hint="eastAsia"/>
          <w:lang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10"/>
        <w:tblW w:w="14520" w:type="dxa"/>
        <w:tblInd w:w="93" w:type="dxa"/>
        <w:tblLayout w:type="autofit"/>
        <w:tblCellMar>
          <w:top w:w="0" w:type="dxa"/>
          <w:left w:w="108" w:type="dxa"/>
          <w:bottom w:w="0" w:type="dxa"/>
          <w:right w:w="108" w:type="dxa"/>
        </w:tblCellMar>
      </w:tblPr>
      <w:tblGrid>
        <w:gridCol w:w="1129"/>
        <w:gridCol w:w="3920"/>
        <w:gridCol w:w="2143"/>
        <w:gridCol w:w="5095"/>
        <w:gridCol w:w="2233"/>
      </w:tblGrid>
      <w:tr>
        <w:tblPrEx>
          <w:tblCellMar>
            <w:top w:w="0" w:type="dxa"/>
            <w:left w:w="108" w:type="dxa"/>
            <w:bottom w:w="0" w:type="dxa"/>
            <w:right w:w="108" w:type="dxa"/>
          </w:tblCellMar>
        </w:tblPrEx>
        <w:trPr>
          <w:trHeight w:val="734" w:hRule="atLeast"/>
        </w:trPr>
        <w:tc>
          <w:tcPr>
            <w:tcW w:w="14520" w:type="dxa"/>
            <w:gridSpan w:val="5"/>
            <w:tcBorders>
              <w:top w:val="nil"/>
              <w:left w:val="nil"/>
              <w:bottom w:val="nil"/>
              <w:right w:val="nil"/>
            </w:tcBorders>
            <w:shd w:val="clear" w:color="auto" w:fill="auto"/>
            <w:vAlign w:val="center"/>
          </w:tcPr>
          <w:p>
            <w:pPr>
              <w:jc w:val="center"/>
              <w:rPr>
                <w:rFonts w:ascii="宋体" w:hAnsi="宋体" w:cs="宋体"/>
                <w:sz w:val="40"/>
                <w:szCs w:val="40"/>
              </w:rPr>
            </w:pPr>
            <w:bookmarkStart w:id="0" w:name="_Toc_2_2_0000000002"/>
            <w:r>
              <w:rPr>
                <w:rFonts w:hint="eastAsia" w:ascii="宋体" w:hAnsi="宋体" w:cs="宋体"/>
                <w:sz w:val="40"/>
                <w:szCs w:val="40"/>
              </w:rPr>
              <w:t>部门预算收支总表</w:t>
            </w:r>
          </w:p>
        </w:tc>
      </w:tr>
      <w:tr>
        <w:tblPrEx>
          <w:tblCellMar>
            <w:top w:w="0" w:type="dxa"/>
            <w:left w:w="108" w:type="dxa"/>
            <w:bottom w:w="0" w:type="dxa"/>
            <w:right w:w="108" w:type="dxa"/>
          </w:tblCellMar>
        </w:tblPrEx>
        <w:trPr>
          <w:trHeight w:val="507" w:hRule="atLeast"/>
        </w:trPr>
        <w:tc>
          <w:tcPr>
            <w:tcW w:w="7192" w:type="dxa"/>
            <w:gridSpan w:val="3"/>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5095"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233"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40" w:hRule="atLeast"/>
        </w:trPr>
        <w:tc>
          <w:tcPr>
            <w:tcW w:w="11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606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收入</w:t>
            </w:r>
          </w:p>
        </w:tc>
        <w:tc>
          <w:tcPr>
            <w:tcW w:w="732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支出</w:t>
            </w:r>
          </w:p>
        </w:tc>
      </w:tr>
      <w:tr>
        <w:tblPrEx>
          <w:tblCellMar>
            <w:top w:w="0" w:type="dxa"/>
            <w:left w:w="108" w:type="dxa"/>
            <w:bottom w:w="0" w:type="dxa"/>
            <w:right w:w="108" w:type="dxa"/>
          </w:tblCellMar>
        </w:tblPrEx>
        <w:trPr>
          <w:trHeight w:val="440" w:hRule="atLeast"/>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    目</w:t>
            </w:r>
          </w:p>
        </w:tc>
        <w:tc>
          <w:tcPr>
            <w:tcW w:w="214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预算数</w:t>
            </w:r>
          </w:p>
        </w:tc>
        <w:tc>
          <w:tcPr>
            <w:tcW w:w="509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    目</w:t>
            </w:r>
          </w:p>
        </w:tc>
        <w:tc>
          <w:tcPr>
            <w:tcW w:w="2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预算数</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39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214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509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2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一、财政拨款收入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一、一般公共服务支出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二、上级拨款收入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二、外交支出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三、事业收入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三、国防支出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其中：财政专户收入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四、公共安全支出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四、经营收入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五、教育支出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五、附属单位上缴收入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六、科学技术支出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六、其他收入</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七、文化旅游体育与传媒支出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八、社会保障和就业支出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九、社会保险基金支出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十、卫生健康支出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十一、节能环保支出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十二、城乡社区支出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十三、农林水支出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十四、交通运输支出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十五、资源勘探工业信息等支出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十六、商业服务业等支出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十七、金融支出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十八、援助其他地区支出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十九、自然资源海洋气象等支出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二十、住房保障支出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二十一、粮油物资储备支出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二十二、国有资本经营预算支出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23</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二十三、灾害防治及应急管理支出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24</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二十四、预备费</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25</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二十五、其他支出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26</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二十六、转移性支出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27</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二十七、债务还本支出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28</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二十八、债务付息支出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29</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二十九、债务发行费用支出</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30</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本年收入合计</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本年支出合计</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r>
      <w:tr>
        <w:tblPrEx>
          <w:tblCellMar>
            <w:top w:w="0" w:type="dxa"/>
            <w:left w:w="108" w:type="dxa"/>
            <w:bottom w:w="0" w:type="dxa"/>
            <w:right w:w="108" w:type="dxa"/>
          </w:tblCellMar>
        </w:tblPrEx>
        <w:trPr>
          <w:trHeight w:val="517"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31</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用事业基金弥补收支差额</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结余分配</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0"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32</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年初结转和结余</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年末结转和结余</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9"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33</w:t>
            </w:r>
          </w:p>
        </w:tc>
        <w:tc>
          <w:tcPr>
            <w:tcW w:w="39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合计</w:t>
            </w:r>
          </w:p>
        </w:tc>
        <w:tc>
          <w:tcPr>
            <w:tcW w:w="214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509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合计</w:t>
            </w:r>
          </w:p>
        </w:tc>
        <w:tc>
          <w:tcPr>
            <w:tcW w:w="2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r>
    </w:tbl>
    <w:p>
      <w:pPr>
        <w:jc w:val="both"/>
        <w:outlineLvl w:val="1"/>
        <w:rPr>
          <w:rFonts w:hint="eastAsia" w:ascii="方正小标宋_GBK" w:hAnsi="方正小标宋_GBK" w:eastAsia="方正小标宋_GBK" w:cs="方正小标宋_GBK"/>
          <w:color w:val="000000"/>
          <w:sz w:val="36"/>
          <w:lang w:eastAsia="zh-CN"/>
        </w:rPr>
      </w:pPr>
    </w:p>
    <w:bookmarkEnd w:id="0"/>
    <w:tbl>
      <w:tblPr>
        <w:tblStyle w:val="10"/>
        <w:tblW w:w="14540" w:type="dxa"/>
        <w:tblInd w:w="93" w:type="dxa"/>
        <w:tblLayout w:type="autofit"/>
        <w:tblCellMar>
          <w:top w:w="0" w:type="dxa"/>
          <w:left w:w="108" w:type="dxa"/>
          <w:bottom w:w="0" w:type="dxa"/>
          <w:right w:w="108" w:type="dxa"/>
        </w:tblCellMar>
      </w:tblPr>
      <w:tblGrid>
        <w:gridCol w:w="730"/>
        <w:gridCol w:w="1609"/>
        <w:gridCol w:w="2830"/>
        <w:gridCol w:w="1174"/>
        <w:gridCol w:w="1174"/>
        <w:gridCol w:w="1158"/>
        <w:gridCol w:w="1158"/>
        <w:gridCol w:w="1233"/>
        <w:gridCol w:w="1158"/>
        <w:gridCol w:w="1158"/>
        <w:gridCol w:w="1158"/>
      </w:tblGrid>
      <w:tr>
        <w:tblPrEx>
          <w:tblCellMar>
            <w:top w:w="0" w:type="dxa"/>
            <w:left w:w="108" w:type="dxa"/>
            <w:bottom w:w="0" w:type="dxa"/>
            <w:right w:w="108" w:type="dxa"/>
          </w:tblCellMar>
        </w:tblPrEx>
        <w:trPr>
          <w:trHeight w:val="750" w:hRule="atLeast"/>
        </w:trPr>
        <w:tc>
          <w:tcPr>
            <w:tcW w:w="14540" w:type="dxa"/>
            <w:gridSpan w:val="11"/>
            <w:tcBorders>
              <w:top w:val="nil"/>
              <w:left w:val="nil"/>
              <w:bottom w:val="nil"/>
              <w:right w:val="nil"/>
            </w:tcBorders>
            <w:shd w:val="clear" w:color="auto" w:fill="auto"/>
            <w:vAlign w:val="center"/>
          </w:tcPr>
          <w:p>
            <w:pPr>
              <w:jc w:val="center"/>
              <w:rPr>
                <w:rFonts w:ascii="宋体" w:hAnsi="宋体" w:cs="宋体"/>
                <w:sz w:val="40"/>
                <w:szCs w:val="40"/>
              </w:rPr>
            </w:pPr>
            <w:r>
              <w:rPr>
                <w:rFonts w:hint="eastAsia" w:ascii="宋体" w:hAnsi="宋体" w:cs="宋体"/>
                <w:sz w:val="40"/>
                <w:szCs w:val="40"/>
              </w:rPr>
              <w:t>部门预算收入总表</w:t>
            </w:r>
          </w:p>
        </w:tc>
      </w:tr>
      <w:tr>
        <w:tblPrEx>
          <w:tblCellMar>
            <w:top w:w="0" w:type="dxa"/>
            <w:left w:w="108" w:type="dxa"/>
            <w:bottom w:w="0" w:type="dxa"/>
            <w:right w:w="108" w:type="dxa"/>
          </w:tblCellMar>
        </w:tblPrEx>
        <w:trPr>
          <w:trHeight w:val="439" w:hRule="atLeast"/>
        </w:trPr>
        <w:tc>
          <w:tcPr>
            <w:tcW w:w="9833" w:type="dxa"/>
            <w:gridSpan w:val="7"/>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2391"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316"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443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本年收入合计</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财政拨款收入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上级补助收入</w:t>
            </w:r>
          </w:p>
        </w:tc>
        <w:tc>
          <w:tcPr>
            <w:tcW w:w="239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事业收入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经营收入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附属单位上缴收入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其他收入</w:t>
            </w:r>
          </w:p>
        </w:tc>
      </w:tr>
      <w:tr>
        <w:tblPrEx>
          <w:tblCellMar>
            <w:top w:w="0" w:type="dxa"/>
            <w:left w:w="108" w:type="dxa"/>
            <w:bottom w:w="0" w:type="dxa"/>
            <w:right w:w="108" w:type="dxa"/>
          </w:tblCellMar>
        </w:tblPrEx>
        <w:trPr>
          <w:trHeight w:val="439" w:hRule="atLeast"/>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6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功能分类科目编码</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小计</w:t>
            </w:r>
          </w:p>
        </w:tc>
        <w:tc>
          <w:tcPr>
            <w:tcW w:w="1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其中：财政专户收入</w:t>
            </w: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16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11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11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6</w:t>
            </w:r>
          </w:p>
        </w:tc>
        <w:tc>
          <w:tcPr>
            <w:tcW w:w="1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7</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8</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9</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社会保障和就业支出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民政管理事务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1051.06</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1051.06</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行政运行</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社会组织管理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行政区划和地名管理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基层政权建设和社区治理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2080299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其他民政管理事务支出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儿童福利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老年福利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2081004</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殡葬</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养老服务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残疾人事业</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残疾人生活和护理补贴</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最低生活保障</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城市最低生活保障金支出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农村最低生活保障金支出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流浪乞讨人员救助支出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特困人员救助供养</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农村特困人员救助供养支出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其他生活救助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其他城市生活救助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卫生健康支出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行政事业单位医疗</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事业单位医疗</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住房保障支出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住房改革支出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住房公积金</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彩票公益金安排的支出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用于社会福利的彩票公益金支出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bl>
    <w:p/>
    <w:p/>
    <w:p>
      <w:pPr>
        <w:sectPr>
          <w:footerReference r:id="rId5" w:type="default"/>
          <w:footerReference r:id="rId6" w:type="even"/>
          <w:pgSz w:w="16840" w:h="11900" w:orient="landscape"/>
          <w:pgMar w:top="1361" w:right="1020" w:bottom="1134" w:left="1020" w:header="720" w:footer="720" w:gutter="0"/>
          <w:cols w:space="720" w:num="1"/>
        </w:sectPr>
      </w:pPr>
    </w:p>
    <w:tbl>
      <w:tblPr>
        <w:tblStyle w:val="10"/>
        <w:tblW w:w="13980" w:type="dxa"/>
        <w:tblInd w:w="93" w:type="dxa"/>
        <w:tblLayout w:type="autofit"/>
        <w:tblCellMar>
          <w:top w:w="0" w:type="dxa"/>
          <w:left w:w="108" w:type="dxa"/>
          <w:bottom w:w="0" w:type="dxa"/>
          <w:right w:w="108" w:type="dxa"/>
        </w:tblCellMar>
      </w:tblPr>
      <w:tblGrid>
        <w:gridCol w:w="734"/>
        <w:gridCol w:w="1674"/>
        <w:gridCol w:w="2830"/>
        <w:gridCol w:w="1464"/>
        <w:gridCol w:w="1464"/>
        <w:gridCol w:w="1464"/>
        <w:gridCol w:w="1450"/>
        <w:gridCol w:w="1450"/>
        <w:gridCol w:w="1450"/>
      </w:tblGrid>
      <w:tr>
        <w:tblPrEx>
          <w:tblCellMar>
            <w:top w:w="0" w:type="dxa"/>
            <w:left w:w="108" w:type="dxa"/>
            <w:bottom w:w="0" w:type="dxa"/>
            <w:right w:w="108" w:type="dxa"/>
          </w:tblCellMar>
        </w:tblPrEx>
        <w:trPr>
          <w:trHeight w:val="810" w:hRule="atLeast"/>
        </w:trPr>
        <w:tc>
          <w:tcPr>
            <w:tcW w:w="13980" w:type="dxa"/>
            <w:gridSpan w:val="9"/>
            <w:tcBorders>
              <w:top w:val="nil"/>
              <w:left w:val="nil"/>
              <w:bottom w:val="nil"/>
              <w:right w:val="nil"/>
            </w:tcBorders>
            <w:shd w:val="clear" w:color="auto" w:fill="auto"/>
            <w:vAlign w:val="center"/>
          </w:tcPr>
          <w:p>
            <w:pPr>
              <w:jc w:val="center"/>
              <w:rPr>
                <w:rFonts w:ascii="宋体" w:hAnsi="宋体" w:cs="宋体"/>
                <w:sz w:val="40"/>
                <w:szCs w:val="40"/>
              </w:rPr>
            </w:pPr>
            <w:bookmarkStart w:id="1" w:name="_Toc_2_2_0000000004"/>
            <w:r>
              <w:rPr>
                <w:rFonts w:hint="eastAsia" w:ascii="宋体" w:hAnsi="宋体" w:cs="宋体"/>
                <w:sz w:val="40"/>
                <w:szCs w:val="40"/>
              </w:rPr>
              <w:t>部门预算支出总表</w:t>
            </w:r>
          </w:p>
        </w:tc>
      </w:tr>
      <w:tr>
        <w:tblPrEx>
          <w:tblCellMar>
            <w:top w:w="0" w:type="dxa"/>
            <w:left w:w="108" w:type="dxa"/>
            <w:bottom w:w="0" w:type="dxa"/>
            <w:right w:w="108" w:type="dxa"/>
          </w:tblCellMar>
        </w:tblPrEx>
        <w:trPr>
          <w:trHeight w:val="439" w:hRule="atLeast"/>
        </w:trPr>
        <w:tc>
          <w:tcPr>
            <w:tcW w:w="8166" w:type="dxa"/>
            <w:gridSpan w:val="5"/>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2914"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900"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45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本年支出合计</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基本支出</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项目支出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上缴上级支出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经营支出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对附属单位补助支出</w:t>
            </w:r>
          </w:p>
        </w:tc>
      </w:tr>
      <w:tr>
        <w:tblPrEx>
          <w:tblCellMar>
            <w:top w:w="0" w:type="dxa"/>
            <w:left w:w="108" w:type="dxa"/>
            <w:bottom w:w="0" w:type="dxa"/>
            <w:right w:w="108" w:type="dxa"/>
          </w:tblCellMar>
        </w:tblPrEx>
        <w:trPr>
          <w:trHeight w:val="439"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6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功能分类科目编码</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16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6</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7</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8</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1016.27</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6066.38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社会保障和就业支出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5780.38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民政管理事务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1052.74</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91.39</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行政运行</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社会组织管理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行政区划和地名管理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基层政权建设和社区治理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2080299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其他民政管理事务支出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儿童福利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老年福利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2081004</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殡葬</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养老服务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残疾人事业</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残疾人生活和护理补贴</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最低生活保障</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城市最低生活保障金支出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农村最低生活保障金支出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流浪乞讨人员救助支出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特困人员救助供养</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农村特困人员救助供养支出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其他生活救助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其他城市生活救助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卫生健康支出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行政事业单位医疗</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事业单位医疗</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住房保障支出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住房改革支出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住房公积金</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彩票公益金安排的支出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用于社会福利的彩票公益金支出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bl>
    <w:p>
      <w:pPr>
        <w:jc w:val="center"/>
        <w:outlineLvl w:val="1"/>
        <w:rPr>
          <w:rFonts w:hint="eastAsia" w:ascii="方正小标宋_GBK" w:hAnsi="方正小标宋_GBK" w:eastAsia="方正小标宋_GBK" w:cs="方正小标宋_GBK"/>
          <w:color w:val="000000"/>
          <w:sz w:val="36"/>
          <w:lang w:eastAsia="zh-CN"/>
        </w:rPr>
      </w:pPr>
    </w:p>
    <w:bookmarkEnd w:id="1"/>
    <w:tbl>
      <w:tblPr>
        <w:tblStyle w:val="10"/>
        <w:tblW w:w="14360" w:type="dxa"/>
        <w:tblInd w:w="93" w:type="dxa"/>
        <w:tblLayout w:type="autofit"/>
        <w:tblCellMar>
          <w:top w:w="0" w:type="dxa"/>
          <w:left w:w="108" w:type="dxa"/>
          <w:bottom w:w="0" w:type="dxa"/>
          <w:right w:w="108" w:type="dxa"/>
        </w:tblCellMar>
      </w:tblPr>
      <w:tblGrid>
        <w:gridCol w:w="760"/>
        <w:gridCol w:w="3020"/>
        <w:gridCol w:w="1080"/>
        <w:gridCol w:w="3500"/>
        <w:gridCol w:w="1500"/>
        <w:gridCol w:w="1500"/>
        <w:gridCol w:w="1500"/>
        <w:gridCol w:w="1500"/>
      </w:tblGrid>
      <w:tr>
        <w:tblPrEx>
          <w:tblCellMar>
            <w:top w:w="0" w:type="dxa"/>
            <w:left w:w="108" w:type="dxa"/>
            <w:bottom w:w="0" w:type="dxa"/>
            <w:right w:w="108" w:type="dxa"/>
          </w:tblCellMar>
        </w:tblPrEx>
        <w:trPr>
          <w:trHeight w:val="750" w:hRule="atLeast"/>
        </w:trPr>
        <w:tc>
          <w:tcPr>
            <w:tcW w:w="14360" w:type="dxa"/>
            <w:gridSpan w:val="8"/>
            <w:tcBorders>
              <w:top w:val="nil"/>
              <w:left w:val="nil"/>
              <w:bottom w:val="nil"/>
              <w:right w:val="nil"/>
            </w:tcBorders>
            <w:shd w:val="clear" w:color="auto" w:fill="auto"/>
            <w:vAlign w:val="center"/>
          </w:tcPr>
          <w:p>
            <w:pPr>
              <w:jc w:val="center"/>
              <w:rPr>
                <w:rFonts w:ascii="宋体" w:hAnsi="宋体" w:cs="宋体"/>
                <w:sz w:val="40"/>
                <w:szCs w:val="40"/>
              </w:rPr>
            </w:pPr>
            <w:bookmarkStart w:id="2" w:name="_Toc_2_2_0000000005"/>
            <w:r>
              <w:rPr>
                <w:rFonts w:hint="eastAsia" w:ascii="宋体" w:hAnsi="宋体" w:cs="宋体"/>
                <w:sz w:val="40"/>
                <w:szCs w:val="40"/>
              </w:rPr>
              <w:t>部门预算财政拨款收支总表</w:t>
            </w:r>
          </w:p>
        </w:tc>
      </w:tr>
      <w:tr>
        <w:tblPrEx>
          <w:tblCellMar>
            <w:top w:w="0" w:type="dxa"/>
            <w:left w:w="108" w:type="dxa"/>
            <w:bottom w:w="0" w:type="dxa"/>
            <w:right w:w="108" w:type="dxa"/>
          </w:tblCellMar>
        </w:tblPrEx>
        <w:trPr>
          <w:trHeight w:val="439" w:hRule="atLeast"/>
        </w:trPr>
        <w:tc>
          <w:tcPr>
            <w:tcW w:w="8360" w:type="dxa"/>
            <w:gridSpan w:val="4"/>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3000"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3000" w:type="dxa"/>
            <w:gridSpan w:val="2"/>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41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收入</w:t>
            </w:r>
          </w:p>
        </w:tc>
        <w:tc>
          <w:tcPr>
            <w:tcW w:w="950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    目</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金额</w:t>
            </w:r>
          </w:p>
        </w:tc>
        <w:tc>
          <w:tcPr>
            <w:tcW w:w="3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    目</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一般公共预算财政拨款</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政府性基金预算财政拨款</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国有资本经营预算财政拨款</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3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3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6</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7</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一、一般公共预算财政拨款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6796.68</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一、一般公共服务支出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二、政府性基金预算财政拨款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二、外交支出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三、国有资本经营预算财政拨款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三、国防支出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四、公共安全支出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五、教育支出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六、科学技术支出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七、文化旅游体育与传媒支出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八、社会保障和就业支出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九、社会保险基金支出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十、卫生健康支出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十一、节能环保支出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十二、城乡社区支出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十三、农林水支出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十四、交通运输支出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十五、资源勘探工业信息等支出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十六、商业服务业等支出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十七、金融支出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十八、援助其他地区支出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十九、自然资源海洋气象等支出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二十、住房保障支出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二十一、粮油物资储备支出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二十二、国有资本经营预算支出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二十三、灾害防治及应急管理支出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二十四、预备费</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二十五、其他支出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二十六、转移性支出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二十七、债务还本支出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二十八、债务付息支出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二十九、债务发行费用支出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本年收入合计</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本年支出合计</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6796.74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年初财政拨款结转和结余</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年末结转和结余</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合计</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合计</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6796.74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bl>
    <w:p/>
    <w:p>
      <w:pPr>
        <w:jc w:val="center"/>
        <w:outlineLvl w:val="1"/>
        <w:rPr>
          <w:rFonts w:hint="eastAsia" w:ascii="方正小标宋_GBK" w:hAnsi="方正小标宋_GBK" w:eastAsia="方正小标宋_GBK" w:cs="方正小标宋_GBK"/>
          <w:color w:val="000000"/>
          <w:sz w:val="36"/>
          <w:lang w:eastAsia="zh-CN"/>
        </w:rPr>
      </w:pPr>
    </w:p>
    <w:bookmarkEnd w:id="2"/>
    <w:tbl>
      <w:tblPr>
        <w:tblStyle w:val="10"/>
        <w:tblW w:w="13600" w:type="dxa"/>
        <w:tblInd w:w="93" w:type="dxa"/>
        <w:tblLayout w:type="autofit"/>
        <w:tblCellMar>
          <w:top w:w="0" w:type="dxa"/>
          <w:left w:w="108" w:type="dxa"/>
          <w:bottom w:w="0" w:type="dxa"/>
          <w:right w:w="108" w:type="dxa"/>
        </w:tblCellMar>
      </w:tblPr>
      <w:tblGrid>
        <w:gridCol w:w="1069"/>
        <w:gridCol w:w="2083"/>
        <w:gridCol w:w="3858"/>
        <w:gridCol w:w="2084"/>
        <w:gridCol w:w="2280"/>
        <w:gridCol w:w="2226"/>
      </w:tblGrid>
      <w:tr>
        <w:tblPrEx>
          <w:tblCellMar>
            <w:top w:w="0" w:type="dxa"/>
            <w:left w:w="108" w:type="dxa"/>
            <w:bottom w:w="0" w:type="dxa"/>
            <w:right w:w="108" w:type="dxa"/>
          </w:tblCellMar>
        </w:tblPrEx>
        <w:trPr>
          <w:trHeight w:val="760" w:hRule="atLeast"/>
        </w:trPr>
        <w:tc>
          <w:tcPr>
            <w:tcW w:w="13600" w:type="dxa"/>
            <w:gridSpan w:val="6"/>
            <w:tcBorders>
              <w:top w:val="nil"/>
              <w:left w:val="nil"/>
              <w:bottom w:val="nil"/>
              <w:right w:val="nil"/>
            </w:tcBorders>
            <w:shd w:val="clear" w:color="auto" w:fill="auto"/>
            <w:vAlign w:val="center"/>
          </w:tcPr>
          <w:p>
            <w:pPr>
              <w:jc w:val="center"/>
              <w:rPr>
                <w:rFonts w:ascii="宋体" w:hAnsi="宋体" w:cs="宋体"/>
                <w:sz w:val="40"/>
                <w:szCs w:val="40"/>
              </w:rPr>
            </w:pPr>
            <w:bookmarkStart w:id="3" w:name="_Toc_2_2_0000000006"/>
            <w:r>
              <w:rPr>
                <w:rFonts w:hint="eastAsia" w:ascii="宋体" w:hAnsi="宋体" w:cs="宋体"/>
                <w:sz w:val="40"/>
                <w:szCs w:val="40"/>
              </w:rPr>
              <w:t>部门预算一般公共预算财政拨款支出表</w:t>
            </w:r>
          </w:p>
        </w:tc>
      </w:tr>
      <w:tr>
        <w:tblPrEx>
          <w:tblCellMar>
            <w:top w:w="0" w:type="dxa"/>
            <w:left w:w="108" w:type="dxa"/>
            <w:bottom w:w="0" w:type="dxa"/>
            <w:right w:w="108" w:type="dxa"/>
          </w:tblCellMar>
        </w:tblPrEx>
        <w:trPr>
          <w:trHeight w:val="632" w:hRule="atLeast"/>
        </w:trPr>
        <w:tc>
          <w:tcPr>
            <w:tcW w:w="9094" w:type="dxa"/>
            <w:gridSpan w:val="4"/>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228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226"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55" w:hRule="atLeast"/>
        </w:trPr>
        <w:tc>
          <w:tcPr>
            <w:tcW w:w="10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594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20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基本支出</w:t>
            </w:r>
          </w:p>
        </w:tc>
        <w:tc>
          <w:tcPr>
            <w:tcW w:w="22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项目支出</w:t>
            </w:r>
          </w:p>
        </w:tc>
      </w:tr>
      <w:tr>
        <w:tblPrEx>
          <w:tblCellMar>
            <w:top w:w="0" w:type="dxa"/>
            <w:left w:w="108" w:type="dxa"/>
            <w:bottom w:w="0" w:type="dxa"/>
            <w:right w:w="108" w:type="dxa"/>
          </w:tblCellMar>
        </w:tblPrEx>
        <w:trPr>
          <w:trHeight w:val="642"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208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功能分类科目编码</w:t>
            </w:r>
          </w:p>
        </w:tc>
        <w:tc>
          <w:tcPr>
            <w:tcW w:w="38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20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22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208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38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20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22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22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7082.65</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1016.27</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6066.38</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社会保障和就业支出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6741.74</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5780.38</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民政管理事务</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1052.74</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91.39</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行政运行</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961.36</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2080206</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社会组织管理</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2080207</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行政区划和地名管理</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2080208</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基层政权建设和社区治理</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2080299</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其他民政管理事务支出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77.70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社会福利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546.20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儿童福利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91.20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老年福利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423.00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2081004</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殡葬</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27.00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2081006</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养老服务</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c>
          <w:tcPr>
            <w:tcW w:w="2280" w:type="dxa"/>
            <w:tcBorders>
              <w:top w:val="nil"/>
              <w:left w:val="nil"/>
              <w:bottom w:val="nil"/>
              <w:right w:val="nil"/>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5.00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残疾人事业</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2081107</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残疾人生活和护理补贴</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最低生活保障</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3969.80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城市最低生活保障金支出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320.00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2081902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农村最低生活保障金支出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3649.80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63.00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临时救助支出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23.00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2082002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流浪乞讨人员救助支出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22</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特困人员救助供养</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23</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2082102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农村特困人员救助供养支出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864.00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24</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其他生活救助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25</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2082501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其他城市生活救助</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36.00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26</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卫生健康支出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27</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行政事业单位医疗</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28</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2101102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事业单位医疗</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29</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住房保障支出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5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30</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住房改革支出</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65"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31</w:t>
            </w:r>
          </w:p>
        </w:tc>
        <w:tc>
          <w:tcPr>
            <w:tcW w:w="2083"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2210201</w:t>
            </w:r>
          </w:p>
        </w:tc>
        <w:tc>
          <w:tcPr>
            <w:tcW w:w="3858"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住房公积金</w:t>
            </w:r>
          </w:p>
        </w:tc>
        <w:tc>
          <w:tcPr>
            <w:tcW w:w="208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12.98</w:t>
            </w:r>
          </w:p>
        </w:tc>
        <w:tc>
          <w:tcPr>
            <w:tcW w:w="2226"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bookmarkEnd w:id="3"/>
    <w:tbl>
      <w:tblPr>
        <w:tblStyle w:val="10"/>
        <w:tblW w:w="14380" w:type="dxa"/>
        <w:tblInd w:w="93" w:type="dxa"/>
        <w:tblLayout w:type="autofit"/>
        <w:tblCellMar>
          <w:top w:w="0" w:type="dxa"/>
          <w:left w:w="108" w:type="dxa"/>
          <w:bottom w:w="0" w:type="dxa"/>
          <w:right w:w="108" w:type="dxa"/>
        </w:tblCellMar>
      </w:tblPr>
      <w:tblGrid>
        <w:gridCol w:w="1027"/>
        <w:gridCol w:w="2324"/>
        <w:gridCol w:w="4055"/>
        <w:gridCol w:w="1811"/>
        <w:gridCol w:w="2513"/>
        <w:gridCol w:w="2650"/>
      </w:tblGrid>
      <w:tr>
        <w:tblPrEx>
          <w:tblCellMar>
            <w:top w:w="0" w:type="dxa"/>
            <w:left w:w="108" w:type="dxa"/>
            <w:bottom w:w="0" w:type="dxa"/>
            <w:right w:w="108" w:type="dxa"/>
          </w:tblCellMar>
        </w:tblPrEx>
        <w:trPr>
          <w:trHeight w:val="741" w:hRule="atLeast"/>
        </w:trPr>
        <w:tc>
          <w:tcPr>
            <w:tcW w:w="14380" w:type="dxa"/>
            <w:gridSpan w:val="6"/>
            <w:tcBorders>
              <w:top w:val="nil"/>
              <w:left w:val="nil"/>
              <w:bottom w:val="nil"/>
              <w:right w:val="nil"/>
            </w:tcBorders>
            <w:shd w:val="clear" w:color="auto" w:fill="auto"/>
            <w:vAlign w:val="center"/>
          </w:tcPr>
          <w:p>
            <w:pPr>
              <w:jc w:val="center"/>
              <w:rPr>
                <w:rFonts w:ascii="宋体" w:hAnsi="宋体" w:cs="宋体"/>
                <w:sz w:val="40"/>
                <w:szCs w:val="40"/>
              </w:rPr>
            </w:pPr>
            <w:bookmarkStart w:id="4" w:name="_Toc_2_2_0000000007"/>
            <w:r>
              <w:rPr>
                <w:rFonts w:hint="eastAsia" w:ascii="宋体" w:hAnsi="宋体" w:cs="宋体"/>
                <w:sz w:val="40"/>
                <w:szCs w:val="40"/>
              </w:rPr>
              <w:t>部门预算一般公共预算财政拨款基本支出表</w:t>
            </w:r>
          </w:p>
        </w:tc>
      </w:tr>
      <w:tr>
        <w:tblPrEx>
          <w:tblCellMar>
            <w:top w:w="0" w:type="dxa"/>
            <w:left w:w="108" w:type="dxa"/>
            <w:bottom w:w="0" w:type="dxa"/>
            <w:right w:w="108" w:type="dxa"/>
          </w:tblCellMar>
        </w:tblPrEx>
        <w:trPr>
          <w:trHeight w:val="434" w:hRule="atLeast"/>
        </w:trPr>
        <w:tc>
          <w:tcPr>
            <w:tcW w:w="9217" w:type="dxa"/>
            <w:gridSpan w:val="4"/>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2513"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65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44" w:hRule="atLeast"/>
        </w:trPr>
        <w:tc>
          <w:tcPr>
            <w:tcW w:w="10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63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697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基本支出</w:t>
            </w:r>
          </w:p>
        </w:tc>
      </w:tr>
      <w:tr>
        <w:tblPrEx>
          <w:tblCellMar>
            <w:top w:w="0" w:type="dxa"/>
            <w:left w:w="108" w:type="dxa"/>
            <w:bottom w:w="0" w:type="dxa"/>
            <w:right w:w="108" w:type="dxa"/>
          </w:tblCellMar>
        </w:tblPrEx>
        <w:trPr>
          <w:trHeight w:val="627" w:hRule="atLeast"/>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232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经济分类科目编码</w:t>
            </w:r>
          </w:p>
        </w:tc>
        <w:tc>
          <w:tcPr>
            <w:tcW w:w="405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18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251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人员经费</w:t>
            </w:r>
          </w:p>
        </w:tc>
        <w:tc>
          <w:tcPr>
            <w:tcW w:w="26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公用经费</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232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405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18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251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26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1023.82</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855.47</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168.35</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工资福利支出</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792.87</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792.87</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30101</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基本工资</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401.91</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401.91</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30102</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津贴补贴</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71.99</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71.99</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30103</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奖金</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3.77</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3.77</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30107</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绩效工资</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147.80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147.80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627"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30108</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机关事业单位基本养老保险缴费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105.03</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105.03</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30110</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城镇职工基本医疗保险缴费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42.02</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30112</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其他社会保障缴费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7.46</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7.46</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10</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30113</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住房公积金</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12.89</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11</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商品和服务支出</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223.40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223.40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12</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30201</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办公费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25.06</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25.06</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13</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30207</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邮电费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0.36</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0.36</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14</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30208</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取暖费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21.20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21.20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15</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30211</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差旅费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12.50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12.50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16</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30217</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公务接待费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17</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30226</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劳务费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130.68</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130.68</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18</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30228</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工会经费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7.83</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7.83</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19</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30231</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公务用车运行维护费</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6.00</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6.00</w:t>
            </w:r>
          </w:p>
        </w:tc>
      </w:tr>
      <w:tr>
        <w:tblPrEx>
          <w:tblCellMar>
            <w:top w:w="0" w:type="dxa"/>
            <w:left w:w="108" w:type="dxa"/>
            <w:bottom w:w="0" w:type="dxa"/>
            <w:right w:w="108" w:type="dxa"/>
          </w:tblCellMar>
        </w:tblPrEx>
        <w:trPr>
          <w:trHeight w:val="44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20</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30239</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其他交通费用</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4.68</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4.68</w:t>
            </w:r>
          </w:p>
        </w:tc>
      </w:tr>
      <w:tr>
        <w:tblPrEx>
          <w:tblCellMar>
            <w:top w:w="0" w:type="dxa"/>
            <w:left w:w="108" w:type="dxa"/>
            <w:bottom w:w="0" w:type="dxa"/>
            <w:right w:w="108" w:type="dxa"/>
          </w:tblCellMar>
        </w:tblPrEx>
        <w:trPr>
          <w:trHeight w:val="454"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21</w:t>
            </w:r>
          </w:p>
        </w:tc>
        <w:tc>
          <w:tcPr>
            <w:tcW w:w="232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30299</w:t>
            </w:r>
          </w:p>
        </w:tc>
        <w:tc>
          <w:tcPr>
            <w:tcW w:w="4055"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其他商品和服务支出</w:t>
            </w:r>
          </w:p>
        </w:tc>
        <w:tc>
          <w:tcPr>
            <w:tcW w:w="1811"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13.09</w:t>
            </w:r>
          </w:p>
        </w:tc>
        <w:tc>
          <w:tcPr>
            <w:tcW w:w="251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6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13.09</w:t>
            </w:r>
          </w:p>
        </w:tc>
      </w:tr>
    </w:tbl>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bookmarkEnd w:id="4"/>
    <w:tbl>
      <w:tblPr>
        <w:tblStyle w:val="10"/>
        <w:tblW w:w="14480" w:type="dxa"/>
        <w:tblInd w:w="93" w:type="dxa"/>
        <w:tblLayout w:type="autofit"/>
        <w:tblCellMar>
          <w:top w:w="0" w:type="dxa"/>
          <w:left w:w="108" w:type="dxa"/>
          <w:bottom w:w="0" w:type="dxa"/>
          <w:right w:w="108" w:type="dxa"/>
        </w:tblCellMar>
      </w:tblPr>
      <w:tblGrid>
        <w:gridCol w:w="760"/>
        <w:gridCol w:w="1720"/>
        <w:gridCol w:w="3000"/>
        <w:gridCol w:w="3000"/>
        <w:gridCol w:w="3000"/>
        <w:gridCol w:w="3000"/>
      </w:tblGrid>
      <w:tr>
        <w:tblPrEx>
          <w:tblCellMar>
            <w:top w:w="0" w:type="dxa"/>
            <w:left w:w="108" w:type="dxa"/>
            <w:bottom w:w="0" w:type="dxa"/>
            <w:right w:w="108" w:type="dxa"/>
          </w:tblCellMar>
        </w:tblPrEx>
        <w:trPr>
          <w:trHeight w:val="750" w:hRule="atLeast"/>
        </w:trPr>
        <w:tc>
          <w:tcPr>
            <w:tcW w:w="14480" w:type="dxa"/>
            <w:gridSpan w:val="6"/>
            <w:tcBorders>
              <w:top w:val="nil"/>
              <w:left w:val="nil"/>
              <w:bottom w:val="nil"/>
              <w:right w:val="nil"/>
            </w:tcBorders>
            <w:shd w:val="clear" w:color="auto" w:fill="auto"/>
            <w:vAlign w:val="center"/>
          </w:tcPr>
          <w:p>
            <w:pPr>
              <w:jc w:val="center"/>
              <w:rPr>
                <w:rFonts w:ascii="宋体" w:hAnsi="宋体" w:cs="宋体"/>
                <w:sz w:val="40"/>
                <w:szCs w:val="40"/>
              </w:rPr>
            </w:pPr>
            <w:r>
              <w:rPr>
                <w:rFonts w:hint="eastAsia" w:ascii="宋体" w:hAnsi="宋体" w:cs="宋体"/>
                <w:sz w:val="40"/>
                <w:szCs w:val="40"/>
              </w:rPr>
              <w:t>部门预算政府基金预算财政拨款支出表</w:t>
            </w:r>
          </w:p>
        </w:tc>
      </w:tr>
      <w:tr>
        <w:tblPrEx>
          <w:tblCellMar>
            <w:top w:w="0" w:type="dxa"/>
            <w:left w:w="108" w:type="dxa"/>
            <w:bottom w:w="0" w:type="dxa"/>
            <w:right w:w="108" w:type="dxa"/>
          </w:tblCellMar>
        </w:tblPrEx>
        <w:trPr>
          <w:trHeight w:val="439" w:hRule="atLeast"/>
        </w:trPr>
        <w:tc>
          <w:tcPr>
            <w:tcW w:w="8480" w:type="dxa"/>
            <w:gridSpan w:val="4"/>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基本支出</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项目支出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功能分类科目编码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其他支出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彩票公益金安排的支出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2296002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用于社会福利的彩票公益金支出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286.00</w:t>
            </w:r>
          </w:p>
        </w:tc>
      </w:tr>
    </w:tbl>
    <w:p/>
    <w:p/>
    <w:tbl>
      <w:tblPr>
        <w:tblStyle w:val="10"/>
        <w:tblW w:w="14480" w:type="dxa"/>
        <w:tblInd w:w="93" w:type="dxa"/>
        <w:tblLayout w:type="autofit"/>
        <w:tblCellMar>
          <w:top w:w="0" w:type="dxa"/>
          <w:left w:w="108" w:type="dxa"/>
          <w:bottom w:w="0" w:type="dxa"/>
          <w:right w:w="108" w:type="dxa"/>
        </w:tblCellMar>
      </w:tblPr>
      <w:tblGrid>
        <w:gridCol w:w="760"/>
        <w:gridCol w:w="1720"/>
        <w:gridCol w:w="3000"/>
        <w:gridCol w:w="3000"/>
        <w:gridCol w:w="3000"/>
        <w:gridCol w:w="3000"/>
      </w:tblGrid>
      <w:tr>
        <w:tblPrEx>
          <w:tblCellMar>
            <w:top w:w="0" w:type="dxa"/>
            <w:left w:w="108" w:type="dxa"/>
            <w:bottom w:w="0" w:type="dxa"/>
            <w:right w:w="108" w:type="dxa"/>
          </w:tblCellMar>
        </w:tblPrEx>
        <w:trPr>
          <w:trHeight w:val="750" w:hRule="atLeast"/>
        </w:trPr>
        <w:tc>
          <w:tcPr>
            <w:tcW w:w="14480" w:type="dxa"/>
            <w:gridSpan w:val="6"/>
            <w:tcBorders>
              <w:top w:val="nil"/>
              <w:left w:val="nil"/>
              <w:bottom w:val="nil"/>
              <w:right w:val="nil"/>
            </w:tcBorders>
            <w:shd w:val="clear" w:color="auto" w:fill="auto"/>
            <w:vAlign w:val="center"/>
          </w:tcPr>
          <w:p>
            <w:pPr>
              <w:jc w:val="center"/>
              <w:rPr>
                <w:rFonts w:ascii="宋体" w:hAnsi="宋体" w:cs="宋体"/>
                <w:sz w:val="40"/>
                <w:szCs w:val="40"/>
              </w:rPr>
            </w:pPr>
            <w:r>
              <w:rPr>
                <w:rFonts w:hint="eastAsia" w:ascii="宋体" w:hAnsi="宋体" w:cs="宋体"/>
                <w:sz w:val="40"/>
                <w:szCs w:val="40"/>
              </w:rPr>
              <w:t>部门预算国有资本经营预算财政拨款支出表</w:t>
            </w:r>
          </w:p>
        </w:tc>
      </w:tr>
      <w:tr>
        <w:tblPrEx>
          <w:tblCellMar>
            <w:top w:w="0" w:type="dxa"/>
            <w:left w:w="108" w:type="dxa"/>
            <w:bottom w:w="0" w:type="dxa"/>
            <w:right w:w="108" w:type="dxa"/>
          </w:tblCellMar>
        </w:tblPrEx>
        <w:trPr>
          <w:trHeight w:val="439" w:hRule="atLeast"/>
        </w:trPr>
        <w:tc>
          <w:tcPr>
            <w:tcW w:w="8480" w:type="dxa"/>
            <w:gridSpan w:val="4"/>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基本支出</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项目支出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功能分类科目编码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科目名称</w:t>
            </w: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noWrap/>
            <w:vAlign w:val="center"/>
          </w:tcPr>
          <w:p>
            <w:pPr>
              <w:jc w:val="center"/>
              <w:rPr>
                <w:rFonts w:ascii="宋体" w:hAnsi="宋体" w:cs="宋体"/>
                <w:sz w:val="18"/>
                <w:szCs w:val="18"/>
              </w:rPr>
            </w:pPr>
          </w:p>
        </w:tc>
        <w:tc>
          <w:tcPr>
            <w:tcW w:w="1720" w:type="dxa"/>
            <w:tcBorders>
              <w:top w:val="nil"/>
              <w:left w:val="nil"/>
              <w:bottom w:val="nil"/>
              <w:right w:val="nil"/>
            </w:tcBorders>
            <w:shd w:val="clear" w:color="auto" w:fill="auto"/>
            <w:noWrap/>
            <w:vAlign w:val="center"/>
          </w:tcPr>
          <w:p>
            <w:pPr>
              <w:rPr>
                <w:rFonts w:ascii="宋体" w:hAnsi="宋体" w:cs="宋体"/>
                <w:sz w:val="18"/>
                <w:szCs w:val="18"/>
              </w:rPr>
            </w:pPr>
          </w:p>
        </w:tc>
        <w:tc>
          <w:tcPr>
            <w:tcW w:w="3000" w:type="dxa"/>
            <w:tcBorders>
              <w:top w:val="nil"/>
              <w:left w:val="nil"/>
              <w:bottom w:val="nil"/>
              <w:right w:val="nil"/>
            </w:tcBorders>
            <w:shd w:val="clear" w:color="auto" w:fill="auto"/>
            <w:noWrap/>
            <w:vAlign w:val="center"/>
          </w:tcPr>
          <w:p>
            <w:pPr>
              <w:rPr>
                <w:rFonts w:ascii="宋体" w:hAnsi="宋体" w:cs="宋体"/>
                <w:sz w:val="18"/>
                <w:szCs w:val="18"/>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rPr>
            </w:pPr>
          </w:p>
        </w:tc>
      </w:tr>
      <w:tr>
        <w:tblPrEx>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noWrap/>
            <w:vAlign w:val="center"/>
          </w:tcPr>
          <w:p>
            <w:pPr>
              <w:jc w:val="center"/>
              <w:rPr>
                <w:rFonts w:ascii="宋体" w:hAnsi="宋体" w:cs="宋体"/>
                <w:sz w:val="18"/>
                <w:szCs w:val="18"/>
              </w:rPr>
            </w:pPr>
          </w:p>
        </w:tc>
        <w:tc>
          <w:tcPr>
            <w:tcW w:w="1720" w:type="dxa"/>
            <w:tcBorders>
              <w:top w:val="nil"/>
              <w:left w:val="nil"/>
              <w:bottom w:val="nil"/>
              <w:right w:val="nil"/>
            </w:tcBorders>
            <w:shd w:val="clear" w:color="auto" w:fill="auto"/>
            <w:noWrap/>
            <w:vAlign w:val="center"/>
          </w:tcPr>
          <w:p>
            <w:pPr>
              <w:rPr>
                <w:rFonts w:ascii="宋体" w:hAnsi="宋体" w:cs="宋体"/>
                <w:sz w:val="18"/>
                <w:szCs w:val="18"/>
              </w:rPr>
            </w:pPr>
          </w:p>
        </w:tc>
        <w:tc>
          <w:tcPr>
            <w:tcW w:w="6000" w:type="dxa"/>
            <w:gridSpan w:val="2"/>
            <w:tcBorders>
              <w:top w:val="nil"/>
              <w:left w:val="nil"/>
              <w:bottom w:val="nil"/>
              <w:right w:val="nil"/>
            </w:tcBorders>
            <w:shd w:val="clear" w:color="auto" w:fill="auto"/>
            <w:noWrap/>
            <w:vAlign w:val="center"/>
          </w:tcPr>
          <w:p>
            <w:pPr>
              <w:rPr>
                <w:rFonts w:ascii="宋体" w:hAnsi="宋体" w:cs="宋体"/>
                <w:sz w:val="18"/>
                <w:szCs w:val="18"/>
              </w:rPr>
            </w:pPr>
            <w:r>
              <w:rPr>
                <w:rFonts w:hint="eastAsia" w:ascii="宋体" w:hAnsi="宋体" w:cs="宋体"/>
                <w:sz w:val="18"/>
                <w:szCs w:val="18"/>
              </w:rPr>
              <w:t>注：无国有资本经营预算，空表列示。</w:t>
            </w: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rPr>
            </w:pPr>
          </w:p>
        </w:tc>
      </w:tr>
    </w:tbl>
    <w:p/>
    <w:tbl>
      <w:tblPr>
        <w:tblStyle w:val="10"/>
        <w:tblW w:w="14280" w:type="dxa"/>
        <w:tblInd w:w="93" w:type="dxa"/>
        <w:tblLayout w:type="autofit"/>
        <w:tblCellMar>
          <w:top w:w="0" w:type="dxa"/>
          <w:left w:w="108" w:type="dxa"/>
          <w:bottom w:w="0" w:type="dxa"/>
          <w:right w:w="108" w:type="dxa"/>
        </w:tblCellMar>
      </w:tblPr>
      <w:tblGrid>
        <w:gridCol w:w="743"/>
        <w:gridCol w:w="3830"/>
        <w:gridCol w:w="1102"/>
        <w:gridCol w:w="1994"/>
        <w:gridCol w:w="2262"/>
        <w:gridCol w:w="2262"/>
        <w:gridCol w:w="2087"/>
      </w:tblGrid>
      <w:tr>
        <w:tblPrEx>
          <w:tblCellMar>
            <w:top w:w="0" w:type="dxa"/>
            <w:left w:w="108" w:type="dxa"/>
            <w:bottom w:w="0" w:type="dxa"/>
            <w:right w:w="108" w:type="dxa"/>
          </w:tblCellMar>
        </w:tblPrEx>
        <w:trPr>
          <w:trHeight w:val="750" w:hRule="atLeast"/>
        </w:trPr>
        <w:tc>
          <w:tcPr>
            <w:tcW w:w="14280" w:type="dxa"/>
            <w:gridSpan w:val="7"/>
            <w:tcBorders>
              <w:top w:val="nil"/>
              <w:left w:val="nil"/>
              <w:bottom w:val="nil"/>
              <w:right w:val="nil"/>
            </w:tcBorders>
            <w:shd w:val="clear" w:color="auto" w:fill="auto"/>
            <w:vAlign w:val="center"/>
          </w:tcPr>
          <w:p>
            <w:pPr>
              <w:jc w:val="center"/>
              <w:rPr>
                <w:rFonts w:ascii="宋体" w:hAnsi="宋体" w:cs="宋体"/>
                <w:sz w:val="40"/>
                <w:szCs w:val="40"/>
              </w:rPr>
            </w:pPr>
            <w:r>
              <w:rPr>
                <w:rFonts w:hint="eastAsia" w:ascii="宋体" w:hAnsi="宋体" w:cs="宋体"/>
                <w:sz w:val="40"/>
                <w:szCs w:val="40"/>
              </w:rPr>
              <w:t>部门预算财政拨款“三公”经费支出表</w:t>
            </w:r>
          </w:p>
        </w:tc>
      </w:tr>
      <w:tr>
        <w:tblPrEx>
          <w:tblCellMar>
            <w:top w:w="0" w:type="dxa"/>
            <w:left w:w="108" w:type="dxa"/>
            <w:bottom w:w="0" w:type="dxa"/>
            <w:right w:w="108" w:type="dxa"/>
          </w:tblCellMar>
        </w:tblPrEx>
        <w:trPr>
          <w:trHeight w:val="439" w:hRule="atLeast"/>
        </w:trPr>
        <w:tc>
          <w:tcPr>
            <w:tcW w:w="9931" w:type="dxa"/>
            <w:gridSpan w:val="5"/>
            <w:tcBorders>
              <w:top w:val="nil"/>
              <w:left w:val="nil"/>
              <w:bottom w:val="nil"/>
              <w:right w:val="nil"/>
            </w:tcBorders>
            <w:shd w:val="clear" w:color="auto" w:fill="auto"/>
            <w:vAlign w:val="center"/>
          </w:tcPr>
          <w:p>
            <w:pPr>
              <w:rPr>
                <w:rFonts w:ascii="宋体" w:hAnsi="宋体" w:cs="宋体"/>
                <w:sz w:val="20"/>
                <w:szCs w:val="20"/>
              </w:rPr>
            </w:pPr>
            <w:r>
              <w:rPr>
                <w:rFonts w:hint="eastAsia" w:ascii="宋体" w:hAnsi="宋体" w:cs="宋体"/>
                <w:sz w:val="20"/>
                <w:szCs w:val="20"/>
              </w:rPr>
              <w:t>部门编码及名称：[314]涞水县民政局</w:t>
            </w:r>
          </w:p>
        </w:tc>
        <w:tc>
          <w:tcPr>
            <w:tcW w:w="2262"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预算年度：2021</w:t>
            </w:r>
          </w:p>
        </w:tc>
        <w:tc>
          <w:tcPr>
            <w:tcW w:w="2087" w:type="dxa"/>
            <w:tcBorders>
              <w:top w:val="nil"/>
              <w:left w:val="nil"/>
              <w:bottom w:val="nil"/>
              <w:right w:val="nil"/>
            </w:tcBorders>
            <w:shd w:val="clear" w:color="auto" w:fill="auto"/>
            <w:vAlign w:val="center"/>
          </w:tcPr>
          <w:p>
            <w:pPr>
              <w:jc w:val="right"/>
              <w:rPr>
                <w:rFonts w:ascii="宋体" w:hAnsi="宋体" w:cs="宋体"/>
                <w:sz w:val="20"/>
                <w:szCs w:val="20"/>
              </w:rPr>
            </w:pPr>
            <w:r>
              <w:rPr>
                <w:rFonts w:hint="eastAsia" w:ascii="宋体" w:hAnsi="宋体" w:cs="宋体"/>
                <w:sz w:val="20"/>
                <w:szCs w:val="20"/>
              </w:rPr>
              <w:t>金额单位：万元</w:t>
            </w:r>
          </w:p>
        </w:tc>
      </w:tr>
      <w:tr>
        <w:tblPrEx>
          <w:tblCellMar>
            <w:top w:w="0" w:type="dxa"/>
            <w:left w:w="108" w:type="dxa"/>
            <w:bottom w:w="0" w:type="dxa"/>
            <w:right w:w="108" w:type="dxa"/>
          </w:tblCellMar>
        </w:tblPrEx>
        <w:trPr>
          <w:trHeight w:val="439" w:hRule="atLeast"/>
        </w:trPr>
        <w:tc>
          <w:tcPr>
            <w:tcW w:w="7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序号</w:t>
            </w:r>
          </w:p>
        </w:tc>
        <w:tc>
          <w:tcPr>
            <w:tcW w:w="3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  目</w:t>
            </w:r>
          </w:p>
        </w:tc>
        <w:tc>
          <w:tcPr>
            <w:tcW w:w="9707"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资金来源</w:t>
            </w:r>
          </w:p>
        </w:tc>
      </w:tr>
      <w:tr>
        <w:tblPrEx>
          <w:tblCellMar>
            <w:top w:w="0" w:type="dxa"/>
            <w:left w:w="108" w:type="dxa"/>
            <w:bottom w:w="0" w:type="dxa"/>
            <w:right w:w="108" w:type="dxa"/>
          </w:tblCellMar>
        </w:tblPrEx>
        <w:trPr>
          <w:trHeight w:val="439"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3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p>
        </w:tc>
        <w:tc>
          <w:tcPr>
            <w:tcW w:w="11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合计</w:t>
            </w:r>
          </w:p>
        </w:tc>
        <w:tc>
          <w:tcPr>
            <w:tcW w:w="199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一般公共预算财政拨款</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政府性基金财政拨款</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国有资本经营预算财政拨款</w:t>
            </w:r>
          </w:p>
        </w:tc>
        <w:tc>
          <w:tcPr>
            <w:tcW w:w="208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财政专户核拨资金</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栏次</w:t>
            </w:r>
          </w:p>
        </w:tc>
        <w:tc>
          <w:tcPr>
            <w:tcW w:w="3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11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2</w:t>
            </w:r>
          </w:p>
        </w:tc>
        <w:tc>
          <w:tcPr>
            <w:tcW w:w="199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4</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5</w:t>
            </w:r>
          </w:p>
        </w:tc>
        <w:tc>
          <w:tcPr>
            <w:tcW w:w="208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6</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1</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合计</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2</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”三公“经费小计</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10.00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3</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一、因公出国（境）费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4</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其中：教学科研人员因公出国（境）费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5</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其他因公出国（境）费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6</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二、公务用车购置及运维费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7</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其中：公务用车购置费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8</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 xml:space="preserve">          公务用车运行维护费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8.00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ascii="宋体" w:hAnsi="宋体" w:cs="宋体"/>
                <w:sz w:val="20"/>
                <w:szCs w:val="20"/>
              </w:rPr>
              <w:t>9</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r>
              <w:rPr>
                <w:rFonts w:hint="eastAsia" w:ascii="宋体" w:hAnsi="宋体" w:cs="宋体"/>
                <w:sz w:val="20"/>
                <w:szCs w:val="20"/>
              </w:rPr>
              <w:t>三、公务接待费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2.00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ascii="宋体" w:hAnsi="宋体" w:cs="宋体"/>
                <w:sz w:val="20"/>
                <w:szCs w:val="20"/>
              </w:rPr>
              <w:t>0.00</w:t>
            </w:r>
          </w:p>
        </w:tc>
      </w:tr>
    </w:tbl>
    <w:p>
      <w:pPr>
        <w:jc w:val="both"/>
        <w:outlineLvl w:val="0"/>
        <w:rPr>
          <w:rFonts w:hint="eastAsia" w:ascii="方正书宋_GBK" w:hAnsi="方正书宋_GBK" w:eastAsia="方正书宋_GBK" w:cs="方正书宋_GBK"/>
          <w:color w:val="FFFFFF"/>
          <w:sz w:val="21"/>
          <w:lang w:eastAsia="zh-CN"/>
        </w:rPr>
      </w:pPr>
      <w:r>
        <w:rPr>
          <w:rFonts w:ascii="方正书宋_GBK" w:hAnsi="方正书宋_GBK" w:eastAsia="方正书宋_GBK" w:cs="方正书宋_GBK"/>
          <w:color w:val="FFFFFF"/>
          <w:sz w:val="21"/>
        </w:rPr>
        <w:t>政局2022年部门预算信息公开情况说明</w:t>
      </w:r>
    </w:p>
    <w:p>
      <w:pPr>
        <w:jc w:val="both"/>
        <w:outlineLvl w:val="0"/>
        <w:rPr>
          <w:rFonts w:hint="eastAsia" w:ascii="方正书宋_GBK" w:hAnsi="方正书宋_GBK" w:eastAsia="方正书宋_GBK" w:cs="方正书宋_GBK"/>
          <w:color w:val="FFFFFF"/>
          <w:sz w:val="21"/>
          <w:lang w:eastAsia="zh-CN"/>
        </w:rPr>
      </w:pPr>
    </w:p>
    <w:p>
      <w:pPr>
        <w:jc w:val="both"/>
        <w:outlineLvl w:val="0"/>
        <w:rPr>
          <w:rFonts w:hint="eastAsia" w:ascii="方正书宋_GBK" w:hAnsi="方正书宋_GBK" w:eastAsia="方正书宋_GBK" w:cs="方正书宋_GBK"/>
          <w:color w:val="FFFFFF"/>
          <w:sz w:val="21"/>
          <w:lang w:eastAsia="zh-CN"/>
        </w:rPr>
      </w:pPr>
    </w:p>
    <w:p>
      <w:pPr>
        <w:jc w:val="both"/>
        <w:outlineLvl w:val="0"/>
        <w:rPr>
          <w:rFonts w:hint="eastAsia" w:ascii="方正书宋_GBK" w:hAnsi="方正书宋_GBK" w:eastAsia="方正书宋_GBK" w:cs="方正书宋_GBK"/>
          <w:color w:val="FFFFFF"/>
          <w:sz w:val="21"/>
          <w:lang w:eastAsia="zh-CN"/>
        </w:rPr>
      </w:pPr>
    </w:p>
    <w:p>
      <w:pPr>
        <w:jc w:val="both"/>
        <w:outlineLvl w:val="0"/>
        <w:rPr>
          <w:rFonts w:hint="eastAsia" w:ascii="方正书宋_GBK" w:hAnsi="方正书宋_GBK" w:eastAsia="方正书宋_GBK" w:cs="方正书宋_GBK"/>
          <w:color w:val="FFFFFF"/>
          <w:sz w:val="21"/>
          <w:lang w:eastAsia="zh-CN"/>
        </w:rPr>
      </w:pPr>
    </w:p>
    <w:p>
      <w:pPr>
        <w:jc w:val="both"/>
        <w:outlineLvl w:val="0"/>
        <w:rPr>
          <w:rFonts w:hint="eastAsia" w:ascii="方正书宋_GBK" w:hAnsi="方正书宋_GBK" w:eastAsia="方正书宋_GBK" w:cs="方正书宋_GBK"/>
          <w:color w:val="FFFFFF"/>
          <w:sz w:val="21"/>
          <w:lang w:eastAsia="zh-CN"/>
        </w:rPr>
      </w:pPr>
    </w:p>
    <w:p>
      <w:pPr>
        <w:jc w:val="both"/>
        <w:outlineLvl w:val="0"/>
        <w:rPr>
          <w:rFonts w:hint="eastAsia" w:ascii="方正书宋_GBK" w:hAnsi="方正书宋_GBK" w:eastAsia="方正书宋_GBK" w:cs="方正书宋_GBK"/>
          <w:color w:val="FFFFFF"/>
          <w:sz w:val="21"/>
          <w:lang w:eastAsia="zh-CN"/>
        </w:rPr>
      </w:pPr>
    </w:p>
    <w:p>
      <w:pPr>
        <w:jc w:val="center"/>
        <w:outlineLvl w:val="0"/>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ascii="方正小标宋_GBK" w:hAnsi="方正小标宋_GBK" w:eastAsia="方正小标宋_GBK" w:cs="方正小标宋_GBK"/>
          <w:color w:val="000000"/>
          <w:sz w:val="44"/>
        </w:rPr>
        <w:t>政局202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spacing w:line="500" w:lineRule="exact"/>
        <w:rPr>
          <w:rFonts w:ascii="仿宋" w:hAnsi="仿宋" w:eastAsia="仿宋"/>
          <w:sz w:val="32"/>
          <w:szCs w:val="32"/>
          <w:shd w:val="clear" w:color="auto" w:fill="FFFFFF"/>
        </w:rPr>
      </w:pPr>
      <w:r>
        <w:rPr>
          <w:rFonts w:hint="eastAsia" w:ascii="仿宋" w:hAnsi="仿宋" w:eastAsia="仿宋"/>
          <w:sz w:val="32"/>
          <w:szCs w:val="32"/>
          <w:shd w:val="clear" w:color="auto" w:fill="FFFFFF"/>
        </w:rPr>
        <w:t>按照《预算法》、《地方预决算公开操作规程》和《河北省省级预算公开办法》规定，现将涞水县民政局2021年年部门预算公开如下：</w:t>
      </w:r>
    </w:p>
    <w:p>
      <w:pPr>
        <w:spacing w:line="500" w:lineRule="exact"/>
        <w:rPr>
          <w:rFonts w:ascii="楷体" w:hAnsi="楷体" w:eastAsia="楷体" w:cs="楷体"/>
          <w:b/>
          <w:sz w:val="32"/>
          <w:szCs w:val="32"/>
        </w:rPr>
      </w:pPr>
      <w:r>
        <w:rPr>
          <w:rFonts w:hint="eastAsia" w:ascii="黑体" w:hAnsi="黑体" w:eastAsia="黑体"/>
          <w:sz w:val="32"/>
          <w:szCs w:val="32"/>
        </w:rPr>
        <w:t xml:space="preserve">   </w:t>
      </w:r>
      <w:r>
        <w:rPr>
          <w:rFonts w:hint="eastAsia" w:ascii="黑体" w:hAnsi="黑体" w:eastAsia="黑体" w:cs="黑体"/>
          <w:sz w:val="32"/>
          <w:szCs w:val="32"/>
        </w:rPr>
        <w:t>一、部门职责、机构设置等基本情况</w:t>
      </w:r>
    </w:p>
    <w:p>
      <w:pPr>
        <w:spacing w:line="500" w:lineRule="exact"/>
        <w:ind w:firstLine="642"/>
        <w:rPr>
          <w:rFonts w:ascii="仿宋" w:hAnsi="仿宋" w:eastAsia="仿宋" w:cs="黑体"/>
          <w:b/>
          <w:sz w:val="32"/>
          <w:szCs w:val="32"/>
        </w:rPr>
      </w:pPr>
      <w:r>
        <w:rPr>
          <w:rFonts w:hint="eastAsia" w:ascii="楷体" w:hAnsi="楷体" w:eastAsia="楷体" w:cs="楷体"/>
          <w:b/>
          <w:sz w:val="32"/>
          <w:szCs w:val="32"/>
        </w:rPr>
        <w:t>（一）部门职责：</w:t>
      </w:r>
    </w:p>
    <w:p>
      <w:pPr>
        <w:spacing w:line="500" w:lineRule="exact"/>
        <w:ind w:firstLine="640" w:firstLineChars="200"/>
        <w:rPr>
          <w:rFonts w:ascii="黑体" w:hAnsi="黑体" w:eastAsia="黑体" w:cs="黑体"/>
          <w:sz w:val="44"/>
          <w:szCs w:val="44"/>
        </w:rPr>
      </w:pPr>
      <w:r>
        <w:rPr>
          <w:rFonts w:hint="eastAsia" w:ascii="仿宋" w:hAnsi="仿宋" w:eastAsia="仿宋" w:cs="黑体"/>
          <w:bCs/>
          <w:sz w:val="32"/>
          <w:szCs w:val="32"/>
        </w:rPr>
        <w:t>涞水县民政局主要职责</w:t>
      </w:r>
      <w:r>
        <w:rPr>
          <w:rFonts w:ascii="仿宋" w:hAnsi="仿宋" w:eastAsia="仿宋"/>
          <w:bCs/>
          <w:sz w:val="32"/>
          <w:szCs w:val="32"/>
          <w:shd w:val="clear" w:color="auto" w:fill="FFFFFF"/>
        </w:rPr>
        <w:t>根据</w:t>
      </w:r>
      <w:r>
        <w:rPr>
          <w:rFonts w:hint="eastAsia" w:ascii="仿宋" w:hAnsi="仿宋" w:eastAsia="仿宋"/>
          <w:bCs/>
          <w:sz w:val="32"/>
          <w:szCs w:val="32"/>
          <w:shd w:val="clear" w:color="auto" w:fill="FFFFFF"/>
        </w:rPr>
        <w:t>涞政办字【2019年】29号文关于印发</w:t>
      </w:r>
      <w:r>
        <w:rPr>
          <w:rFonts w:ascii="仿宋" w:hAnsi="仿宋" w:eastAsia="仿宋"/>
          <w:bCs/>
          <w:sz w:val="32"/>
          <w:szCs w:val="32"/>
          <w:shd w:val="clear" w:color="auto" w:fill="FFFFFF"/>
        </w:rPr>
        <w:t>《涞水县民政局职能配置、内</w:t>
      </w:r>
      <w:r>
        <w:rPr>
          <w:rFonts w:ascii="仿宋" w:hAnsi="仿宋" w:eastAsia="仿宋"/>
          <w:sz w:val="32"/>
          <w:szCs w:val="32"/>
          <w:shd w:val="clear" w:color="auto" w:fill="FFFFFF"/>
        </w:rPr>
        <w:t>设机构和人员编制方案》规定，涞水县民政局的主要职责</w:t>
      </w:r>
      <w:r>
        <w:rPr>
          <w:rFonts w:hint="eastAsia" w:ascii="仿宋" w:hAnsi="仿宋" w:eastAsia="仿宋"/>
          <w:sz w:val="32"/>
          <w:szCs w:val="32"/>
          <w:shd w:val="clear" w:color="auto" w:fill="FFFFFF"/>
        </w:rPr>
        <w:t>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ascii="仿宋" w:hAnsi="仿宋" w:eastAsia="仿宋"/>
          <w:sz w:val="32"/>
          <w:szCs w:val="32"/>
          <w:shd w:val="clear" w:color="auto" w:fill="FFFFFF"/>
        </w:rPr>
      </w:pPr>
      <w:r>
        <w:rPr>
          <w:rFonts w:hint="eastAsia" w:ascii="仿宋" w:hAnsi="仿宋" w:eastAsia="仿宋"/>
          <w:sz w:val="32"/>
          <w:szCs w:val="32"/>
          <w:shd w:val="clear" w:color="auto" w:fill="FFFFFF"/>
        </w:rPr>
        <w:t>1、</w:t>
      </w:r>
      <w:r>
        <w:rPr>
          <w:rFonts w:ascii="仿宋" w:hAnsi="仿宋" w:eastAsia="仿宋"/>
          <w:sz w:val="32"/>
          <w:szCs w:val="32"/>
          <w:shd w:val="clear" w:color="auto" w:fill="FFFFFF"/>
        </w:rPr>
        <w:t>贯彻</w:t>
      </w:r>
      <w:r>
        <w:rPr>
          <w:rFonts w:hint="eastAsia" w:ascii="仿宋" w:hAnsi="仿宋" w:eastAsia="仿宋"/>
          <w:sz w:val="32"/>
          <w:szCs w:val="32"/>
          <w:shd w:val="clear" w:color="auto" w:fill="FFFFFF"/>
        </w:rPr>
        <w:t>执行国家、省、市</w:t>
      </w:r>
      <w:r>
        <w:rPr>
          <w:rFonts w:ascii="仿宋" w:hAnsi="仿宋" w:eastAsia="仿宋"/>
          <w:sz w:val="32"/>
          <w:szCs w:val="32"/>
          <w:shd w:val="clear" w:color="auto" w:fill="FFFFFF"/>
        </w:rPr>
        <w:t>民政工作方针、政策、</w:t>
      </w:r>
      <w:r>
        <w:rPr>
          <w:rFonts w:hint="eastAsia" w:ascii="仿宋" w:hAnsi="仿宋" w:eastAsia="仿宋"/>
          <w:sz w:val="32"/>
          <w:szCs w:val="32"/>
          <w:shd w:val="clear" w:color="auto" w:fill="FFFFFF"/>
        </w:rPr>
        <w:t>法律</w:t>
      </w:r>
      <w:r>
        <w:rPr>
          <w:rFonts w:ascii="仿宋" w:hAnsi="仿宋" w:eastAsia="仿宋"/>
          <w:sz w:val="32"/>
          <w:szCs w:val="32"/>
          <w:shd w:val="clear" w:color="auto" w:fill="FFFFFF"/>
        </w:rPr>
        <w:t>法规并负责组织实施和监督检查</w:t>
      </w:r>
      <w:r>
        <w:rPr>
          <w:rFonts w:hint="eastAsia" w:ascii="仿宋" w:hAnsi="仿宋" w:eastAsia="仿宋"/>
          <w:sz w:val="32"/>
          <w:szCs w:val="32"/>
          <w:shd w:val="clear" w:color="auto" w:fill="FFFFFF"/>
        </w:rPr>
        <w:t>；拟定全</w:t>
      </w:r>
      <w:r>
        <w:rPr>
          <w:rFonts w:ascii="仿宋" w:hAnsi="仿宋" w:eastAsia="仿宋"/>
          <w:sz w:val="32"/>
          <w:szCs w:val="32"/>
          <w:shd w:val="clear" w:color="auto" w:fill="FFFFFF"/>
        </w:rPr>
        <w:t>县民政事业发展规划</w:t>
      </w:r>
      <w:r>
        <w:rPr>
          <w:rFonts w:hint="eastAsia" w:ascii="仿宋" w:hAnsi="仿宋" w:eastAsia="仿宋"/>
          <w:sz w:val="32"/>
          <w:szCs w:val="32"/>
          <w:shd w:val="clear" w:color="auto" w:fill="FFFFFF"/>
        </w:rPr>
        <w:t>；负责民政政务信息和政策理论研究工作；负责民政行政执法监督检查、行政复议工作。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2、负责全县社会团体、基金会、社会服务机构等社会组织的年度检查和执法监察工作；负责省、市民政部门委托管理的社会组织的日常管理工作。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3、拟定全县社会救助政策、标准，承担城乡社会救助体系建设；负责城乡居民最低生活保障、特困人员救助供养、临时救助和生活无着流浪乞讨人员救助工作。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4、拟定全县基层群众自治和城乡社区治理政策。制定村（居）民自治、城乡社区治理体系和能力建设，提出加强和改进全县基层自治组织建设的建议，推动基层民主政治建设。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5、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6、负责全县婚姻登记和殡葬管理业务指导工作。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7、统筹推进、督促指导、监督管理全县养老服务工作；拟定全县养老服务体系建设规划、政策、标准并组织实施，承担老年人福利和特殊困难老年人救助工作。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8、落实残疾人权益保护政策，承担残疾人福利工作。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9、负责全县儿童福利、孤弃儿童保障、儿童收养、儿童救助、农村留守儿童关爱和困境儿童保障业务指导工作。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10、拟定全县慈善事业发展规划和措施，组织指导社会捐助工作；负责福利彩票管理工作。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11、拟定全县社会工作、志愿服务政策和标准，会同有关部门推进社会工作人才队伍建设和志愿者队伍建设。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12、承办县委、县政府交办的其他事项。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3" w:firstLineChars="200"/>
        <w:rPr>
          <w:rFonts w:ascii="楷体" w:hAnsi="楷体" w:eastAsia="楷体" w:cs="楷体"/>
          <w:sz w:val="32"/>
          <w:szCs w:val="32"/>
        </w:rPr>
      </w:pPr>
      <w:r>
        <w:rPr>
          <w:rFonts w:hint="eastAsia" w:ascii="楷体" w:hAnsi="楷体" w:eastAsia="楷体" w:cs="楷体"/>
          <w:b/>
          <w:sz w:val="32"/>
          <w:szCs w:val="32"/>
        </w:rPr>
        <w:t>（二）机构设置</w:t>
      </w:r>
    </w:p>
    <w:p>
      <w:pPr>
        <w:spacing w:line="500" w:lineRule="exact"/>
        <w:ind w:firstLine="642"/>
        <w:rPr>
          <w:rFonts w:ascii="仿宋" w:hAnsi="仿宋" w:eastAsia="仿宋"/>
          <w:sz w:val="32"/>
          <w:szCs w:val="32"/>
        </w:rPr>
      </w:pPr>
      <w:r>
        <w:rPr>
          <w:rFonts w:hint="eastAsia" w:ascii="仿宋" w:hAnsi="仿宋" w:eastAsia="仿宋"/>
          <w:sz w:val="32"/>
          <w:szCs w:val="32"/>
        </w:rPr>
        <w:t>涞水县民政局根据本部门工作职责，参照上级有关部门的机构设置，下设13个业务股室，全部为事业编制股室，在职工作人员除26名为非限额财政补助经费开支，其余106人均为限额补助经费开支人员。</w:t>
      </w:r>
    </w:p>
    <w:p>
      <w:pPr>
        <w:spacing w:line="500" w:lineRule="exact"/>
        <w:ind w:firstLine="642"/>
        <w:rPr>
          <w:rFonts w:ascii="仿宋" w:hAnsi="仿宋" w:eastAsia="仿宋"/>
          <w:sz w:val="32"/>
          <w:szCs w:val="32"/>
        </w:rPr>
      </w:pPr>
    </w:p>
    <w:p>
      <w:pPr>
        <w:spacing w:line="500" w:lineRule="exact"/>
        <w:rPr>
          <w:rFonts w:ascii="仿宋" w:hAnsi="仿宋" w:eastAsia="仿宋"/>
          <w:sz w:val="32"/>
          <w:szCs w:val="32"/>
        </w:rPr>
      </w:pPr>
    </w:p>
    <w:p>
      <w:pPr>
        <w:spacing w:line="500" w:lineRule="exact"/>
        <w:ind w:firstLine="642"/>
        <w:rPr>
          <w:rFonts w:ascii="仿宋" w:hAnsi="仿宋" w:eastAsia="仿宋"/>
          <w:sz w:val="32"/>
          <w:szCs w:val="32"/>
        </w:rPr>
      </w:pPr>
    </w:p>
    <w:p>
      <w:pPr>
        <w:jc w:val="center"/>
        <w:rPr>
          <w:rFonts w:ascii="仿宋" w:hAnsi="仿宋" w:eastAsia="仿宋" w:cs="仿宋"/>
          <w:color w:val="000000"/>
          <w:sz w:val="32"/>
          <w:szCs w:val="32"/>
        </w:rPr>
      </w:pPr>
      <w:r>
        <w:rPr>
          <w:rFonts w:hint="eastAsia" w:ascii="仿宋" w:hAnsi="仿宋" w:eastAsia="仿宋" w:cs="仿宋"/>
          <w:color w:val="000000"/>
          <w:sz w:val="32"/>
          <w:szCs w:val="32"/>
        </w:rPr>
        <w:t>部门机构设置情况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902"/>
        <w:gridCol w:w="1900"/>
        <w:gridCol w:w="190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单位名称</w:t>
            </w:r>
          </w:p>
        </w:tc>
        <w:tc>
          <w:tcPr>
            <w:tcW w:w="1900"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单位性质</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单位规格</w:t>
            </w:r>
          </w:p>
        </w:tc>
        <w:tc>
          <w:tcPr>
            <w:tcW w:w="2274"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民政局</w:t>
            </w:r>
          </w:p>
        </w:tc>
        <w:tc>
          <w:tcPr>
            <w:tcW w:w="1900"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事业</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正科级</w:t>
            </w:r>
          </w:p>
        </w:tc>
        <w:tc>
          <w:tcPr>
            <w:tcW w:w="2274"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涞水县民政事业服务中心</w:t>
            </w:r>
          </w:p>
        </w:tc>
        <w:tc>
          <w:tcPr>
            <w:tcW w:w="1900"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事业</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股级</w:t>
            </w:r>
          </w:p>
        </w:tc>
        <w:tc>
          <w:tcPr>
            <w:tcW w:w="2274"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财政定额拨款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涞水县殡管所</w:t>
            </w:r>
          </w:p>
        </w:tc>
        <w:tc>
          <w:tcPr>
            <w:tcW w:w="1900"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事业</w:t>
            </w:r>
          </w:p>
        </w:tc>
        <w:tc>
          <w:tcPr>
            <w:tcW w:w="1902"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股级</w:t>
            </w:r>
          </w:p>
        </w:tc>
        <w:tc>
          <w:tcPr>
            <w:tcW w:w="2274" w:type="dxa"/>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财政定额拨款</w:t>
            </w:r>
          </w:p>
        </w:tc>
      </w:tr>
    </w:tbl>
    <w:p>
      <w:pPr>
        <w:rPr>
          <w:rFonts w:ascii="仿宋" w:hAnsi="仿宋" w:eastAsia="仿宋" w:cs="仿宋"/>
          <w:sz w:val="32"/>
          <w:szCs w:val="32"/>
        </w:rPr>
      </w:pPr>
    </w:p>
    <w:p>
      <w:pPr>
        <w:spacing w:line="500" w:lineRule="exact"/>
        <w:ind w:firstLine="643" w:firstLineChars="200"/>
        <w:rPr>
          <w:rFonts w:ascii="仿宋" w:hAnsi="仿宋" w:eastAsia="仿宋" w:cs="仿宋"/>
          <w:sz w:val="32"/>
          <w:szCs w:val="32"/>
        </w:rPr>
      </w:pPr>
      <w:r>
        <w:rPr>
          <w:rFonts w:hint="eastAsia" w:ascii="仿宋" w:hAnsi="仿宋" w:eastAsia="仿宋" w:cs="仿宋"/>
          <w:b/>
          <w:sz w:val="32"/>
          <w:szCs w:val="32"/>
        </w:rPr>
        <w:t>1、民政事业服务中心</w:t>
      </w:r>
      <w:r>
        <w:rPr>
          <w:rFonts w:hint="eastAsia" w:ascii="仿宋" w:hAnsi="仿宋" w:eastAsia="仿宋" w:cs="仿宋"/>
          <w:sz w:val="32"/>
          <w:szCs w:val="32"/>
        </w:rPr>
        <w:t>：集光荣院、敬老院、社会福利院为一体的老年福利机构，为入院人员提供生活保障工作。</w:t>
      </w:r>
    </w:p>
    <w:p>
      <w:pPr>
        <w:spacing w:line="500" w:lineRule="exact"/>
        <w:ind w:firstLine="643" w:firstLineChars="200"/>
        <w:rPr>
          <w:rFonts w:ascii="仿宋" w:hAnsi="仿宋" w:eastAsia="仿宋" w:cs="仿宋"/>
          <w:sz w:val="32"/>
          <w:szCs w:val="32"/>
        </w:rPr>
      </w:pPr>
      <w:r>
        <w:rPr>
          <w:rFonts w:hint="eastAsia" w:ascii="仿宋" w:hAnsi="仿宋" w:eastAsia="仿宋" w:cs="仿宋"/>
          <w:b/>
          <w:sz w:val="32"/>
          <w:szCs w:val="32"/>
        </w:rPr>
        <w:t>2、殡葬管理所</w:t>
      </w:r>
      <w:r>
        <w:rPr>
          <w:rFonts w:hint="eastAsia" w:ascii="仿宋" w:hAnsi="仿宋" w:eastAsia="仿宋" w:cs="仿宋"/>
          <w:sz w:val="32"/>
          <w:szCs w:val="32"/>
        </w:rPr>
        <w:t>：负责推进殡葬设施更新改造；推进惠民殡葬政策实施；规范殡仪服务管理；负责尸体火化及骨灰寄存工作。</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1、收入情况</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2021年本部门预算收入共计为7082.65万元。其中：一般公共预算财政拨款收入6796.65万元（包括财政拨款2643.65万元，上级财政提前通知转移支付4153万元）；基金预算拨款收入286万元（包括政府性基金收入200万元，上级财政提前通知转移支付86万元）。</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2、支出情况</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2021年本部门预算支出为7082.65万元。其中人员经费支出792.87万元，日常公用经费支出223.4万元，项目支出6066.38万元（包括政府性基金支出286万元）。</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3、与上年增减变化情况</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2021年人员经费支出792.87万元比2020年预算数855.47万元减少62.6万元，主要是因为机构改革后，相关人员划转后造成人员经费减少；2021年日常公用经费支出223.4万元比2020年预算数168.35万元增加55.05万元，主要是因为虽然单位人员数减少导致办公费等费用的减少，但是2021年新增劳务费支出，最终造成日常公用经费支出的增加；2021年项目支出6066.38万元比2020年预算数5886.41万元增加179.97万元，主要是因为困难群众补助标准提高，造成收支增加。</w:t>
      </w:r>
    </w:p>
    <w:p>
      <w:pPr>
        <w:spacing w:line="500" w:lineRule="exact"/>
        <w:ind w:firstLine="560"/>
        <w:rPr>
          <w:rFonts w:ascii="黑体" w:hAnsi="黑体" w:eastAsia="黑体"/>
          <w:sz w:val="32"/>
          <w:szCs w:val="32"/>
        </w:rPr>
      </w:pPr>
      <w:r>
        <w:rPr>
          <w:rFonts w:hint="eastAsia" w:ascii="黑体" w:hAnsi="黑体" w:eastAsia="黑体"/>
          <w:sz w:val="32"/>
          <w:szCs w:val="32"/>
        </w:rPr>
        <w:t>三、机关运行经费安排情况</w:t>
      </w:r>
    </w:p>
    <w:p>
      <w:pPr>
        <w:spacing w:line="500" w:lineRule="exact"/>
        <w:ind w:firstLine="560"/>
        <w:rPr>
          <w:rFonts w:ascii="仿宋" w:hAnsi="仿宋" w:eastAsia="仿宋"/>
          <w:sz w:val="32"/>
          <w:szCs w:val="32"/>
        </w:rPr>
      </w:pPr>
      <w:r>
        <w:rPr>
          <w:rFonts w:hint="eastAsia" w:ascii="仿宋" w:hAnsi="仿宋" w:eastAsia="仿宋"/>
          <w:sz w:val="32"/>
          <w:szCs w:val="32"/>
        </w:rPr>
        <w:t>2021年本部门机关运行经费预算安排收支共计223.4万元。其中办公费为25.06万元、邮电费为0.36万元、取暖费21.2万元、差旅费12.5万元、公务接待费2万元、公务用车维护费6万元、公务交通补贴4.68万元、劳务费130.68万元、离退休人员公用经费0.52万元、按规定比例计提的工会经费7.83万元、职工福利费12.57万元。</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spacing w:line="500" w:lineRule="exact"/>
        <w:ind w:firstLine="560"/>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00" w:lineRule="exact"/>
        <w:ind w:firstLine="640" w:firstLineChars="200"/>
        <w:rPr>
          <w:rFonts w:ascii="仿宋" w:hAnsi="仿宋" w:eastAsia="仿宋" w:cs="仿宋"/>
          <w:sz w:val="32"/>
          <w:szCs w:val="32"/>
        </w:rPr>
      </w:pPr>
      <w:r>
        <w:rPr>
          <w:rFonts w:hint="eastAsia" w:ascii="仿宋" w:hAnsi="仿宋" w:eastAsia="仿宋"/>
          <w:sz w:val="32"/>
          <w:szCs w:val="32"/>
        </w:rPr>
        <w:t>2021年本部门一般公共预算“三公”经费预算安排总额为10万元。其中公务用车维护费8万元；公务接待费2万元，</w:t>
      </w:r>
      <w:r>
        <w:rPr>
          <w:rFonts w:hint="eastAsia" w:ascii="仿宋" w:hAnsi="仿宋" w:eastAsia="仿宋" w:cs="宋体"/>
          <w:sz w:val="32"/>
          <w:szCs w:val="32"/>
        </w:rPr>
        <w:t>预计公务接20批次，每批次10人左右。2021年公务用车维护费8万元较上年10万元</w:t>
      </w:r>
      <w:r>
        <w:rPr>
          <w:rFonts w:hint="eastAsia" w:ascii="仿宋" w:hAnsi="仿宋" w:eastAsia="仿宋" w:cs="宋体"/>
          <w:b w:val="0"/>
          <w:bCs w:val="0"/>
          <w:sz w:val="32"/>
          <w:szCs w:val="32"/>
        </w:rPr>
        <w:t>减少2</w:t>
      </w:r>
      <w:r>
        <w:rPr>
          <w:rFonts w:hint="eastAsia" w:ascii="仿宋" w:hAnsi="仿宋" w:eastAsia="仿宋" w:cs="宋体"/>
          <w:sz w:val="32"/>
          <w:szCs w:val="32"/>
        </w:rPr>
        <w:t>万元；减少原因为：一是我单位严格按照三公经费只减不增的要求执行，控制公务用车相关支出费用；二是机构改革后，因部分职能划转后业务减少，造成费用减少。2021年公务接待费2万元不变，原因为：我单位严格按照三公经费要求执行，控制公务接待相关支出。</w:t>
      </w:r>
      <w:r>
        <w:rPr>
          <w:rFonts w:hint="eastAsia" w:ascii="仿宋" w:hAnsi="仿宋" w:eastAsia="仿宋" w:cs="仿宋"/>
          <w:sz w:val="32"/>
          <w:szCs w:val="32"/>
        </w:rPr>
        <w:t>因公出国经费支出及公务用车购置经费支出2020-2021年均无预算安排。</w:t>
      </w:r>
    </w:p>
    <w:tbl>
      <w:tblPr>
        <w:tblStyle w:val="10"/>
        <w:tblW w:w="0" w:type="auto"/>
        <w:tblInd w:w="0" w:type="dxa"/>
        <w:tblLayout w:type="fixed"/>
        <w:tblCellMar>
          <w:top w:w="0" w:type="dxa"/>
          <w:left w:w="108" w:type="dxa"/>
          <w:bottom w:w="0" w:type="dxa"/>
          <w:right w:w="108" w:type="dxa"/>
        </w:tblCellMar>
      </w:tblPr>
      <w:tblGrid>
        <w:gridCol w:w="2652"/>
        <w:gridCol w:w="2132"/>
        <w:gridCol w:w="2132"/>
        <w:gridCol w:w="1461"/>
        <w:gridCol w:w="3863"/>
      </w:tblGrid>
      <w:tr>
        <w:tblPrEx>
          <w:tblCellMar>
            <w:top w:w="0" w:type="dxa"/>
            <w:left w:w="108" w:type="dxa"/>
            <w:bottom w:w="0" w:type="dxa"/>
            <w:right w:w="108" w:type="dxa"/>
          </w:tblCellMar>
        </w:tblPrEx>
        <w:trPr>
          <w:trHeight w:val="501" w:hRule="atLeast"/>
        </w:trPr>
        <w:tc>
          <w:tcPr>
            <w:tcW w:w="12240"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301" w:hRule="atLeast"/>
        </w:trPr>
        <w:tc>
          <w:tcPr>
            <w:tcW w:w="2652" w:type="dxa"/>
            <w:tcBorders>
              <w:top w:val="nil"/>
              <w:left w:val="nil"/>
              <w:bottom w:val="nil"/>
              <w:right w:val="nil"/>
            </w:tcBorders>
            <w:vAlign w:val="center"/>
          </w:tcPr>
          <w:p>
            <w:pPr>
              <w:rPr>
                <w:rFonts w:ascii="宋体" w:hAnsi="宋体" w:cs="宋体"/>
              </w:rPr>
            </w:pPr>
          </w:p>
        </w:tc>
        <w:tc>
          <w:tcPr>
            <w:tcW w:w="2132" w:type="dxa"/>
            <w:tcBorders>
              <w:top w:val="nil"/>
              <w:left w:val="nil"/>
              <w:bottom w:val="nil"/>
              <w:right w:val="nil"/>
            </w:tcBorders>
            <w:vAlign w:val="center"/>
          </w:tcPr>
          <w:p>
            <w:pPr>
              <w:rPr>
                <w:rFonts w:ascii="宋体" w:hAnsi="宋体" w:cs="宋体"/>
              </w:rPr>
            </w:pPr>
          </w:p>
        </w:tc>
        <w:tc>
          <w:tcPr>
            <w:tcW w:w="2132" w:type="dxa"/>
            <w:tcBorders>
              <w:top w:val="nil"/>
              <w:left w:val="nil"/>
              <w:bottom w:val="nil"/>
              <w:right w:val="nil"/>
            </w:tcBorders>
            <w:vAlign w:val="center"/>
          </w:tcPr>
          <w:p>
            <w:pPr>
              <w:rPr>
                <w:rFonts w:ascii="宋体" w:hAnsi="宋体" w:cs="宋体"/>
              </w:rPr>
            </w:pPr>
          </w:p>
        </w:tc>
        <w:tc>
          <w:tcPr>
            <w:tcW w:w="1461" w:type="dxa"/>
            <w:tcBorders>
              <w:top w:val="nil"/>
              <w:left w:val="nil"/>
              <w:bottom w:val="nil"/>
              <w:right w:val="nil"/>
            </w:tcBorders>
            <w:vAlign w:val="center"/>
          </w:tcPr>
          <w:p>
            <w:pPr>
              <w:rPr>
                <w:rFonts w:ascii="宋体" w:hAnsi="宋体" w:cs="宋体"/>
              </w:rPr>
            </w:pPr>
          </w:p>
        </w:tc>
        <w:tc>
          <w:tcPr>
            <w:tcW w:w="3863"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310" w:hRule="atLeast"/>
        </w:trPr>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项目名称</w:t>
            </w:r>
          </w:p>
        </w:tc>
        <w:tc>
          <w:tcPr>
            <w:tcW w:w="213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2020年度预算</w:t>
            </w:r>
          </w:p>
        </w:tc>
        <w:tc>
          <w:tcPr>
            <w:tcW w:w="213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2021年度预算</w:t>
            </w:r>
          </w:p>
        </w:tc>
        <w:tc>
          <w:tcPr>
            <w:tcW w:w="14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增减金额</w:t>
            </w:r>
          </w:p>
        </w:tc>
        <w:tc>
          <w:tcPr>
            <w:tcW w:w="38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变化原因</w:t>
            </w:r>
          </w:p>
        </w:tc>
      </w:tr>
      <w:tr>
        <w:tblPrEx>
          <w:tblCellMar>
            <w:top w:w="0" w:type="dxa"/>
            <w:left w:w="108" w:type="dxa"/>
            <w:bottom w:w="0" w:type="dxa"/>
            <w:right w:w="108" w:type="dxa"/>
          </w:tblCellMar>
        </w:tblPrEx>
        <w:trPr>
          <w:trHeight w:val="310" w:hRule="atLeast"/>
        </w:trPr>
        <w:tc>
          <w:tcPr>
            <w:tcW w:w="26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因公出国经费</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146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3863"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p>
        </w:tc>
      </w:tr>
      <w:tr>
        <w:tblPrEx>
          <w:tblCellMar>
            <w:top w:w="0" w:type="dxa"/>
            <w:left w:w="108" w:type="dxa"/>
            <w:bottom w:w="0" w:type="dxa"/>
            <w:right w:w="108" w:type="dxa"/>
          </w:tblCellMar>
        </w:tblPrEx>
        <w:trPr>
          <w:trHeight w:val="310" w:hRule="atLeast"/>
        </w:trPr>
        <w:tc>
          <w:tcPr>
            <w:tcW w:w="26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公务用车购置经费</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146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3863"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p>
        </w:tc>
      </w:tr>
      <w:tr>
        <w:tblPrEx>
          <w:tblCellMar>
            <w:top w:w="0" w:type="dxa"/>
            <w:left w:w="108" w:type="dxa"/>
            <w:bottom w:w="0" w:type="dxa"/>
            <w:right w:w="108" w:type="dxa"/>
          </w:tblCellMar>
        </w:tblPrEx>
        <w:trPr>
          <w:trHeight w:val="1811" w:hRule="atLeast"/>
        </w:trPr>
        <w:tc>
          <w:tcPr>
            <w:tcW w:w="265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公务用车维护经费</w:t>
            </w:r>
          </w:p>
        </w:tc>
        <w:tc>
          <w:tcPr>
            <w:tcW w:w="2132" w:type="dxa"/>
            <w:tcBorders>
              <w:top w:val="nil"/>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10</w:t>
            </w:r>
          </w:p>
        </w:tc>
        <w:tc>
          <w:tcPr>
            <w:tcW w:w="2132" w:type="dxa"/>
            <w:tcBorders>
              <w:top w:val="nil"/>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8</w:t>
            </w:r>
          </w:p>
        </w:tc>
        <w:tc>
          <w:tcPr>
            <w:tcW w:w="1461" w:type="dxa"/>
            <w:tcBorders>
              <w:top w:val="nil"/>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-2</w:t>
            </w:r>
          </w:p>
        </w:tc>
        <w:tc>
          <w:tcPr>
            <w:tcW w:w="3863" w:type="dxa"/>
            <w:tcBorders>
              <w:top w:val="nil"/>
              <w:left w:val="nil"/>
              <w:bottom w:val="single" w:color="auto" w:sz="4" w:space="0"/>
              <w:right w:val="single" w:color="auto" w:sz="4" w:space="0"/>
            </w:tcBorders>
            <w:vAlign w:val="center"/>
          </w:tcPr>
          <w:p>
            <w:pPr>
              <w:rPr>
                <w:rFonts w:ascii="仿宋" w:hAnsi="仿宋" w:eastAsia="仿宋" w:cs="宋体"/>
                <w:szCs w:val="21"/>
              </w:rPr>
            </w:pPr>
            <w:r>
              <w:rPr>
                <w:rFonts w:hint="eastAsia" w:ascii="仿宋" w:hAnsi="仿宋" w:eastAsia="仿宋" w:cs="宋体"/>
                <w:szCs w:val="21"/>
              </w:rPr>
              <w:t>一是我单位严格按照三公经费只减不增的要求执行，控制公务用车相关支出费用；二是机构改革后，因部分职能划转后业务减少，造成费用减少。</w:t>
            </w:r>
          </w:p>
        </w:tc>
      </w:tr>
      <w:tr>
        <w:tblPrEx>
          <w:tblCellMar>
            <w:top w:w="0" w:type="dxa"/>
            <w:left w:w="108" w:type="dxa"/>
            <w:bottom w:w="0" w:type="dxa"/>
            <w:right w:w="108" w:type="dxa"/>
          </w:tblCellMar>
        </w:tblPrEx>
        <w:trPr>
          <w:trHeight w:val="992" w:hRule="atLeast"/>
        </w:trPr>
        <w:tc>
          <w:tcPr>
            <w:tcW w:w="265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公务接待费支出</w:t>
            </w:r>
          </w:p>
        </w:tc>
        <w:tc>
          <w:tcPr>
            <w:tcW w:w="2132" w:type="dxa"/>
            <w:tcBorders>
              <w:top w:val="nil"/>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cs="宋体"/>
                <w:szCs w:val="21"/>
              </w:rPr>
              <w:t>2</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2</w:t>
            </w:r>
          </w:p>
        </w:tc>
        <w:tc>
          <w:tcPr>
            <w:tcW w:w="146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w:t>
            </w:r>
          </w:p>
        </w:tc>
        <w:tc>
          <w:tcPr>
            <w:tcW w:w="3863"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 w:hAnsi="仿宋" w:eastAsia="仿宋" w:cs="宋体"/>
                <w:szCs w:val="21"/>
              </w:rPr>
              <w:t>我单位严格按照三公经费的要求执行，控制公务接待相关支出</w:t>
            </w:r>
          </w:p>
        </w:tc>
      </w:tr>
      <w:tr>
        <w:tblPrEx>
          <w:tblCellMar>
            <w:top w:w="0" w:type="dxa"/>
            <w:left w:w="108" w:type="dxa"/>
            <w:bottom w:w="0" w:type="dxa"/>
            <w:right w:w="108" w:type="dxa"/>
          </w:tblCellMar>
        </w:tblPrEx>
        <w:trPr>
          <w:trHeight w:val="2121" w:hRule="atLeast"/>
        </w:trPr>
        <w:tc>
          <w:tcPr>
            <w:tcW w:w="26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合计</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12</w:t>
            </w:r>
          </w:p>
        </w:tc>
        <w:tc>
          <w:tcPr>
            <w:tcW w:w="2132"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10</w:t>
            </w:r>
          </w:p>
        </w:tc>
        <w:tc>
          <w:tcPr>
            <w:tcW w:w="146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-2</w:t>
            </w:r>
          </w:p>
        </w:tc>
        <w:tc>
          <w:tcPr>
            <w:tcW w:w="3863"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 w:hAnsi="仿宋" w:eastAsia="仿宋" w:cs="宋体"/>
                <w:szCs w:val="21"/>
              </w:rPr>
              <w:t>2021年，我局针对三公经费支出制定了严格的管理制度，认真执行中央八项规定，因2021年公务用车维护减少，我单位2021年三公经费较上年减少2万元。</w:t>
            </w:r>
          </w:p>
        </w:tc>
      </w:tr>
    </w:tbl>
    <w:p>
      <w:pPr>
        <w:rPr>
          <w:rFonts w:ascii="宋体" w:hAnsi="宋体" w:cs="宋体"/>
          <w:sz w:val="32"/>
          <w:szCs w:val="32"/>
        </w:rPr>
      </w:pPr>
    </w:p>
    <w:p>
      <w:pPr>
        <w:spacing w:line="500" w:lineRule="exact"/>
        <w:rPr>
          <w:rFonts w:ascii="黑体" w:hAnsi="黑体" w:eastAsia="黑体"/>
          <w:sz w:val="32"/>
          <w:szCs w:val="32"/>
        </w:rPr>
      </w:pPr>
      <w:r>
        <w:rPr>
          <w:rFonts w:hint="eastAsia" w:ascii="宋体" w:hAnsi="宋体" w:cs="宋体"/>
          <w:sz w:val="32"/>
          <w:szCs w:val="32"/>
        </w:rPr>
        <w:t xml:space="preserve">   </w:t>
      </w:r>
      <w:r>
        <w:rPr>
          <w:rFonts w:hint="eastAsia" w:ascii="黑体" w:hAnsi="黑体" w:eastAsia="黑体"/>
          <w:sz w:val="32"/>
          <w:szCs w:val="32"/>
        </w:rPr>
        <w:t>五、绩效预算信息情况</w:t>
      </w:r>
    </w:p>
    <w:p>
      <w:pPr>
        <w:spacing w:line="5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第一部分</w:t>
      </w:r>
    </w:p>
    <w:p>
      <w:pPr>
        <w:spacing w:line="500" w:lineRule="exact"/>
        <w:ind w:firstLine="640" w:firstLineChars="200"/>
        <w:outlineLvl w:val="1"/>
        <w:rPr>
          <w:rFonts w:hAnsi="宋体"/>
          <w:sz w:val="28"/>
        </w:rPr>
      </w:pPr>
      <w:r>
        <w:rPr>
          <w:rFonts w:hint="eastAsia" w:ascii="楷体" w:hAnsi="楷体" w:eastAsia="楷体" w:cs="楷体"/>
          <w:sz w:val="32"/>
          <w:szCs w:val="32"/>
        </w:rPr>
        <w:t>（一）总体绩效目标</w:t>
      </w:r>
      <w:r>
        <w:rPr>
          <w:rFonts w:eastAsia="宋体"/>
          <w:sz w:val="21"/>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聚焦脱贫攻坚、特殊群体、群众关切，以做好基本民生保障、基层社会治理、基本社会服务等各项工作，不断提升人民群众获得感、幸福感、安全感为目标，让惠及百姓的政策落下去、实起来，织密扎牢民生保障“安全网”。2021年，民政工作要继续以</w:t>
      </w:r>
      <w:r>
        <w:rPr>
          <w:rFonts w:hint="eastAsia" w:ascii="仿宋" w:hAnsi="仿宋" w:eastAsia="仿宋" w:cs="仿宋"/>
          <w:sz w:val="32"/>
          <w:szCs w:val="32"/>
          <w:lang w:eastAsia="zh-CN"/>
        </w:rPr>
        <w:t>党的</w:t>
      </w:r>
      <w:r>
        <w:rPr>
          <w:rFonts w:hint="eastAsia" w:ascii="仿宋" w:hAnsi="仿宋" w:eastAsia="仿宋" w:cs="仿宋"/>
          <w:sz w:val="32"/>
          <w:szCs w:val="32"/>
        </w:rPr>
        <w:t>十九大精神为指导思想，以“保障民生、构建和谐”为主线，坚持主基调，实施主战略，深入开展党的群众路线教育实践活动。不断强化“以民为本、为民解困、为民服务”理念，深化“亲民、利民、为民”实践，着力改善民生，推进基层民主，加强社会管理，优化民政公共服务，努力铸造社会平衡稳定机制，切实保障困难群众、特困群体的基本权益，充分发挥民政在构建</w:t>
      </w:r>
      <w:r>
        <w:rPr>
          <w:rFonts w:hint="eastAsia" w:ascii="仿宋" w:hAnsi="仿宋" w:eastAsia="仿宋" w:cs="仿宋"/>
          <w:color w:val="auto"/>
          <w:sz w:val="32"/>
          <w:szCs w:val="32"/>
          <w:u w:val="none"/>
        </w:rPr>
        <w:t>社会主义</w:t>
      </w:r>
      <w:r>
        <w:rPr>
          <w:rFonts w:hint="eastAsia" w:ascii="仿宋" w:hAnsi="仿宋" w:eastAsia="仿宋" w:cs="仿宋"/>
          <w:sz w:val="32"/>
          <w:szCs w:val="32"/>
        </w:rPr>
        <w:t>和谐社会中的基础作用。</w:t>
      </w:r>
    </w:p>
    <w:p>
      <w:pPr>
        <w:spacing w:beforeLines="50" w:afterLines="50" w:line="500" w:lineRule="exact"/>
        <w:ind w:firstLine="640" w:firstLineChars="200"/>
        <w:outlineLvl w:val="1"/>
        <w:rPr>
          <w:rFonts w:hAnsi="宋体"/>
          <w:sz w:val="28"/>
        </w:rPr>
      </w:pPr>
      <w:bookmarkStart w:id="5" w:name="_Toc62133776"/>
      <w:r>
        <w:rPr>
          <w:rFonts w:hint="eastAsia" w:ascii="楷体" w:hAnsi="楷体" w:eastAsia="楷体" w:cs="楷体"/>
          <w:sz w:val="32"/>
          <w:szCs w:val="32"/>
        </w:rPr>
        <w:t>（二）分项绩效目标</w:t>
      </w:r>
      <w:bookmarkEnd w:id="5"/>
      <w:bookmarkStart w:id="43" w:name="_GoBack"/>
      <w:bookmarkEnd w:id="43"/>
      <w:r>
        <w:rPr>
          <w:rFonts w:eastAsia="宋体"/>
          <w:sz w:val="21"/>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1、聚焦脱贫攻坚，托住基本民生兜底保障线</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绩效目标：稳步推进城乡低保提标，精准落实困难群体特惠政策。落实特困人员供养制度，按标准发放基本生活费和护理费。</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农村低保标准考虑低保制度城乡统筹因素，年增长率控制在10%左右，2021年全县农村低保最低指导标准达到4800元/年以上；全县城市低保标准保持在7920元/年以上，不低于全国平均水平。特困人员基本生活标准不低于当地低保标准的1.3倍；部分或完全丧失生活自理能力的特困人员年照料护理标准，不低于所在市、县（市、区）年最低工资标准的10%。</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2、聚焦特殊群体，筑牢生活救助管理安全线</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将我省孤儿基本生活补贴最低养育标准提高到机构养育孤儿1450元/人/月，社会散居孤儿1000元/人/月，达到全国中等水平。从2021年继续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3、聚焦群众关切，提高基本社会服务幸福线</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绩效目标：实施社区和居家养老工程，提高养老服务质量，加快推进居家社区机构相协调、医养相结合的养老服务体系建设。加强和改进殡葬管理工作，支持全县殡葬服务设施和农村公益性公墓建设。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绩效指标：到2021年，社区和居家养老服务设施覆盖所有的城镇街道，养老机构护理型床位比例达到50%以上。推进全农县村公益性公墓建设，到2021年，实现乡（镇）中心型农村公益性公墓覆盖率达到10%。</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4、着眼强基固本，构建基层社会治理和谐线</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绩效目标：加强城乡社区建设，积极开展农村社区建设实验工作。促进全县社会组织高质量发展，加强社区社会工作专业人才队伍建设，积极推动政府购买社会组织服务和社会工作岗位。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绩效指标：到2021年，实现城市社区综合服务设施全覆盖，农村社区综合服务设施覆盖率达到50%，基本实现全县农村社区建设试点工作全覆盖。</w:t>
      </w:r>
    </w:p>
    <w:p>
      <w:pPr>
        <w:spacing w:beforeLines="50" w:afterLines="50" w:line="500" w:lineRule="exact"/>
        <w:ind w:firstLine="640" w:firstLineChars="200"/>
        <w:outlineLvl w:val="1"/>
        <w:rPr>
          <w:rFonts w:hAnsi="宋体"/>
          <w:sz w:val="28"/>
        </w:rPr>
      </w:pPr>
      <w:bookmarkStart w:id="6" w:name="_Toc62133777"/>
      <w:r>
        <w:rPr>
          <w:rFonts w:hint="eastAsia" w:ascii="楷体" w:hAnsi="楷体" w:eastAsia="楷体" w:cs="楷体"/>
          <w:sz w:val="32"/>
          <w:szCs w:val="32"/>
        </w:rPr>
        <w:t>（三）工作保障措施</w:t>
      </w:r>
      <w:bookmarkEnd w:id="6"/>
      <w:r>
        <w:rPr>
          <w:rFonts w:eastAsia="宋体"/>
          <w:sz w:val="21"/>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完善制度，建立高效工作机制。通过完善困难群众基本保障协调机制、精准认定精准核查机制、保障标准自然增长机制、养老服务机构星级评定机制、基层社会治理创新机制等，逐渐建立起适应我县经济与社会发展，适应人民群众生活需求的比较完善的城乡社会保障、社会服务和社会治理体系，促进全县经济与社会又好又快发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注重实效，加强预算绩效管理。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精编预算，做好专项资金保障。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补齐短板，加强基础设施建设。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5、加强培训，提高基层服务能力。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丰富手段，提高信息化水平。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加强内控，规范财务资产管理。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line="500" w:lineRule="exact"/>
        <w:rPr>
          <w:rFonts w:ascii="仿宋" w:hAnsi="仿宋" w:eastAsia="仿宋" w:cs="仿宋"/>
          <w:sz w:val="32"/>
          <w:szCs w:val="32"/>
        </w:rPr>
        <w:sectPr>
          <w:footerReference r:id="rId7" w:type="default"/>
          <w:pgSz w:w="16839" w:h="11907" w:orient="landscape"/>
          <w:pgMar w:top="1304" w:right="1984" w:bottom="1304" w:left="1134" w:header="851" w:footer="992" w:gutter="0"/>
          <w:pgNumType w:start="1"/>
          <w:cols w:space="720" w:num="1"/>
          <w:docGrid w:type="lines" w:linePitch="312" w:charSpace="0"/>
        </w:sectPr>
      </w:pPr>
    </w:p>
    <w:p>
      <w:pPr>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cs="楷体"/>
          <w:sz w:val="32"/>
          <w:szCs w:val="32"/>
        </w:rPr>
        <w:t>第二部分 预算项目绩效目标</w:t>
      </w:r>
    </w:p>
    <w:p>
      <w:pPr>
        <w:ind w:firstLine="643" w:firstLineChars="200"/>
        <w:outlineLvl w:val="3"/>
        <w:rPr>
          <w:rFonts w:ascii="仿宋" w:hAnsi="仿宋" w:eastAsia="仿宋" w:cs="仿宋"/>
          <w:b/>
          <w:sz w:val="32"/>
          <w:szCs w:val="32"/>
        </w:rPr>
      </w:pPr>
      <w:bookmarkStart w:id="7" w:name="_Toc62133778"/>
      <w:r>
        <w:rPr>
          <w:rFonts w:hint="eastAsia" w:ascii="仿宋" w:hAnsi="仿宋" w:eastAsia="仿宋" w:cs="仿宋"/>
          <w:b/>
          <w:sz w:val="32"/>
          <w:szCs w:val="32"/>
        </w:rPr>
        <w:t>1.2021年省级财政困难群众基本生活救助资金（冀财社【2020】210号）—农村低保金绩效目标表</w:t>
      </w:r>
      <w:bookmarkEnd w:id="7"/>
      <w:r>
        <w:rPr>
          <w:rFonts w:hint="eastAsia" w:eastAsia="宋体"/>
          <w:sz w:val="21"/>
        </w:rPr>
        <w:fldChar w:fldCharType="begin"/>
      </w:r>
      <w:r>
        <w:rPr>
          <w:rFonts w:hint="eastAsia" w:ascii="仿宋" w:hAnsi="仿宋" w:eastAsia="仿宋" w:cs="仿宋"/>
          <w:b/>
          <w:sz w:val="32"/>
          <w:szCs w:val="32"/>
        </w:rPr>
        <w:instrText xml:space="preserve"> TC 1、2021年省级财政困难群众基本生活救助资金（冀财社【2020】210号）—农村低保金绩效目标表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1306232117UAAG5CHQ2CH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农村低保金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279.80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279.80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用于农村困难群众最低生活保障支出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实行应保尽保、应退尽退的动态保障机制，确保符合条件的困难对象纳入保障范围。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进一步做好困难群众定期核查工作，确保资金及时足额发放。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调查服务保障对象对低保工作满意度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8" w:name="_Toc62133779"/>
      <w:r>
        <w:rPr>
          <w:rFonts w:hint="eastAsia" w:ascii="仿宋" w:hAnsi="仿宋" w:eastAsia="仿宋" w:cs="仿宋"/>
          <w:b/>
          <w:sz w:val="32"/>
          <w:szCs w:val="32"/>
        </w:rPr>
        <w:t>2.惠民殡葬补助经费绩效目标表</w:t>
      </w:r>
      <w:bookmarkEnd w:id="8"/>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2、惠民殡葬补助经费绩效目标表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1306232128EWKA9X4Z8PA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惠民殡葬补助经费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用于惠民殡葬补助相关支出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推进惠民殡葬政策实施，做好惠民殡葬工作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确保资金能够及时足额拨付到位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通过实施惠民殡葬补贴政策，进一步减轻了特殊困难群体的负担。</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惠民殡葬政策覆盖特殊困难群众百分比</w:t>
            </w:r>
          </w:p>
        </w:tc>
        <w:tc>
          <w:tcPr>
            <w:tcW w:w="2891" w:type="dxa"/>
            <w:vAlign w:val="center"/>
          </w:tcPr>
          <w:p>
            <w:pPr>
              <w:spacing w:line="300" w:lineRule="exact"/>
              <w:rPr>
                <w:rFonts w:ascii="方正书宋_GBK" w:eastAsia="方正书宋_GBK"/>
              </w:rPr>
            </w:pPr>
            <w:r>
              <w:rPr>
                <w:rFonts w:hint="eastAsia" w:ascii="方正书宋_GBK" w:eastAsia="方正书宋_GBK"/>
              </w:rPr>
              <w:t>已享受惠民政策特殊困难群体占该群体人数的比率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调查的服务对象对殡葬工作的满意度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9" w:name="_Toc62133780"/>
      <w:r>
        <w:rPr>
          <w:rFonts w:hint="eastAsia" w:ascii="仿宋" w:hAnsi="仿宋" w:eastAsia="仿宋" w:cs="仿宋"/>
          <w:b/>
          <w:sz w:val="32"/>
          <w:szCs w:val="32"/>
        </w:rPr>
        <w:t>3.“两委”换届经费绩效目标表</w:t>
      </w:r>
      <w:bookmarkEnd w:id="9"/>
      <w:r>
        <w:rPr>
          <w:rFonts w:hint="eastAsia" w:eastAsia="宋体"/>
          <w:sz w:val="21"/>
        </w:rPr>
        <w:fldChar w:fldCharType="begin"/>
      </w:r>
      <w:r>
        <w:rPr>
          <w:rFonts w:hint="eastAsia" w:ascii="仿宋" w:hAnsi="仿宋" w:eastAsia="仿宋" w:cs="仿宋"/>
          <w:b/>
          <w:sz w:val="32"/>
          <w:szCs w:val="32"/>
        </w:rPr>
        <w:instrText xml:space="preserve"> TC 3、\“两委\”换届经费绩效目标表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13062321449LZ4K54BFRS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换届经费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用于两委换届工作相关支出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确保按上级文件要求，做好前期准备工作。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确保换届经费按规定标准足额保障，及时拨付。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通过入村业务指导，确保完成我县高质量换届工作。</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按时完成换届指导工作的比例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调查的服务对象对工作开展的满意度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0" w:name="_Toc62133781"/>
      <w:r>
        <w:rPr>
          <w:rFonts w:hint="eastAsia" w:ascii="仿宋" w:hAnsi="仿宋" w:eastAsia="仿宋" w:cs="仿宋"/>
          <w:b/>
          <w:sz w:val="32"/>
          <w:szCs w:val="32"/>
        </w:rPr>
        <w:t>4.低保核查补助经费绩效目标表</w:t>
      </w:r>
      <w:bookmarkEnd w:id="10"/>
      <w:r>
        <w:rPr>
          <w:rFonts w:hint="eastAsia" w:eastAsia="宋体"/>
          <w:sz w:val="21"/>
        </w:rPr>
        <w:fldChar w:fldCharType="begin"/>
      </w:r>
      <w:r>
        <w:rPr>
          <w:rFonts w:hint="eastAsia" w:ascii="仿宋" w:hAnsi="仿宋" w:eastAsia="仿宋" w:cs="仿宋"/>
          <w:b/>
          <w:sz w:val="32"/>
          <w:szCs w:val="32"/>
        </w:rPr>
        <w:instrText xml:space="preserve"> TC 4、低保核查补助经费绩效目标表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130623214NN6MYVHR2LR5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低保核查补助经费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16.70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16.70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用于社会救助工作相关支出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实行动态管理机制，按政策规定比例进行入户核查。</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确保核查经费按规定标准足额保障，及时拨付。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通过入户核查，确保将符合条件的低保对象纳入保障范围。</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申请低保人员核实率</w:t>
            </w:r>
          </w:p>
        </w:tc>
        <w:tc>
          <w:tcPr>
            <w:tcW w:w="2891" w:type="dxa"/>
            <w:vAlign w:val="center"/>
          </w:tcPr>
          <w:p>
            <w:pPr>
              <w:spacing w:line="300" w:lineRule="exact"/>
              <w:rPr>
                <w:rFonts w:ascii="方正书宋_GBK" w:eastAsia="方正书宋_GBK"/>
              </w:rPr>
            </w:pPr>
            <w:r>
              <w:rPr>
                <w:rFonts w:hint="eastAsia" w:ascii="方正书宋_GBK" w:eastAsia="方正书宋_GBK"/>
              </w:rPr>
              <w:t>核实低保对象人数占应核查对象人数的比例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调查的服务保障对象对低保核查工作满意度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1" w:name="_Toc62133782"/>
      <w:r>
        <w:rPr>
          <w:rFonts w:hint="eastAsia" w:ascii="仿宋" w:hAnsi="仿宋" w:eastAsia="仿宋" w:cs="仿宋"/>
          <w:b/>
          <w:sz w:val="32"/>
          <w:szCs w:val="32"/>
        </w:rPr>
        <w:t>5.困难高龄、困难失能和半失能老人服务补贴绩效目标表</w:t>
      </w:r>
      <w:bookmarkEnd w:id="11"/>
      <w:r>
        <w:rPr>
          <w:rFonts w:hint="eastAsia" w:eastAsia="宋体"/>
          <w:sz w:val="21"/>
        </w:rPr>
        <w:fldChar w:fldCharType="begin"/>
      </w:r>
      <w:r>
        <w:rPr>
          <w:rFonts w:hint="eastAsia" w:ascii="仿宋" w:hAnsi="仿宋" w:eastAsia="仿宋" w:cs="仿宋"/>
          <w:b/>
          <w:sz w:val="32"/>
          <w:szCs w:val="32"/>
        </w:rPr>
        <w:instrText xml:space="preserve"> TC 5、困难高龄、困难失能和半失能老人服务补贴绩效目标表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130623215RFIKPKGODYSK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困难高龄、困难失能和半失能老人服务补贴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用于困难高龄、困难失能和半失能老人的生活补贴支出。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实行应保尽保、应退尽退的动态保障机制，确保符合条件的困难老人纳入保障范围。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进一步做好困难老人资金发放工作，保障困难老人的基本生活。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进一步做好困难老人定期核查工作，确保资金及时足额发放。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补贴发放率</w:t>
            </w:r>
          </w:p>
        </w:tc>
        <w:tc>
          <w:tcPr>
            <w:tcW w:w="2891" w:type="dxa"/>
            <w:vAlign w:val="center"/>
          </w:tcPr>
          <w:p>
            <w:pPr>
              <w:spacing w:line="300" w:lineRule="exact"/>
              <w:rPr>
                <w:rFonts w:ascii="方正书宋_GBK" w:eastAsia="方正书宋_GBK"/>
              </w:rPr>
            </w:pPr>
            <w:r>
              <w:rPr>
                <w:rFonts w:hint="eastAsia" w:ascii="方正书宋_GBK" w:eastAsia="方正书宋_GBK"/>
              </w:rPr>
              <w:t>发放失能生活补贴发放完成率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调查服务对象对老龄工作满意度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2" w:name="_Toc62133783"/>
      <w:r>
        <w:rPr>
          <w:rFonts w:hint="eastAsia" w:ascii="仿宋" w:hAnsi="仿宋" w:eastAsia="仿宋" w:cs="仿宋"/>
          <w:b/>
          <w:sz w:val="32"/>
          <w:szCs w:val="32"/>
        </w:rPr>
        <w:t>6.涞水县民政事业服务中心集中供养优抚对象生活费绩效目标表</w:t>
      </w:r>
      <w:bookmarkEnd w:id="12"/>
      <w:r>
        <w:rPr>
          <w:rFonts w:hint="eastAsia" w:eastAsia="宋体"/>
          <w:sz w:val="21"/>
        </w:rPr>
        <w:fldChar w:fldCharType="begin"/>
      </w:r>
      <w:r>
        <w:rPr>
          <w:rFonts w:hint="eastAsia" w:ascii="仿宋" w:hAnsi="仿宋" w:eastAsia="仿宋" w:cs="仿宋"/>
          <w:b/>
          <w:sz w:val="32"/>
          <w:szCs w:val="32"/>
        </w:rPr>
        <w:instrText xml:space="preserve"> TC 6、涞水县民政事业服务中心集中供养优抚对象生活费绩效目标表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130623217GD2TDRFQFT7D</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涞水县民政事业服务中心集中供养优抚对象生活费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用于集中供养优抚对象生活费相关支出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实行动态管理机制，按政策规定拨付优抚对象生活费用。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确保核查经费按规定标准足额保障，及时拨付。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通过保障优抚对象基本生活支出，保障了优抚对象的合法权益。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资金保障率</w:t>
            </w:r>
          </w:p>
        </w:tc>
        <w:tc>
          <w:tcPr>
            <w:tcW w:w="2891" w:type="dxa"/>
            <w:vAlign w:val="center"/>
          </w:tcPr>
          <w:p>
            <w:pPr>
              <w:spacing w:line="300" w:lineRule="exact"/>
              <w:rPr>
                <w:rFonts w:ascii="方正书宋_GBK" w:eastAsia="方正书宋_GBK"/>
              </w:rPr>
            </w:pPr>
            <w:r>
              <w:rPr>
                <w:rFonts w:hint="eastAsia" w:ascii="方正书宋_GBK" w:eastAsia="方正书宋_GBK"/>
              </w:rPr>
              <w:t>资金保障是否全部保障优抚对象日常支出</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13" w:name="_Toc62133784"/>
      <w:r>
        <w:rPr>
          <w:rFonts w:hint="eastAsia" w:ascii="仿宋" w:hAnsi="仿宋" w:eastAsia="仿宋" w:cs="仿宋"/>
          <w:b/>
          <w:sz w:val="32"/>
          <w:szCs w:val="32"/>
        </w:rPr>
        <w:t>7.2021年省级财政养老服务体系建设经费-彩票公益金（冀财社【2020】215号）绩效目标表</w:t>
      </w:r>
      <w:bookmarkEnd w:id="13"/>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7、2021年省级财政养老服务体系建设经费-彩票公益金（冀财社【2020】215号）绩效目标表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130623217GRMGKHAL6O4T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年省级财政养老服务体系建设经费</w:t>
            </w:r>
            <w:r>
              <w:rPr>
                <w:rFonts w:ascii="方正书宋_GBK" w:eastAsia="方正书宋_GBK"/>
              </w:rPr>
              <w:t>-</w:t>
            </w:r>
            <w:r>
              <w:rPr>
                <w:rFonts w:hint="eastAsia" w:ascii="方正书宋_GBK" w:eastAsia="方正书宋_GBK"/>
              </w:rPr>
              <w:t>彩票公益金（冀财社【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用于养老服务体系建设支出。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积极加强养老服务体系建设，保障老年人基本权益。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进一步做好养老体系建设资金发放工作，保障老年人权益。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进一步做好养老体系建设核查工作，确保资金及时足额发放。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服务对象对养老工作满意度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4" w:name="_Toc62133785"/>
      <w:r>
        <w:rPr>
          <w:rFonts w:hint="eastAsia" w:ascii="仿宋" w:hAnsi="仿宋" w:eastAsia="仿宋" w:cs="仿宋"/>
          <w:b/>
          <w:sz w:val="32"/>
          <w:szCs w:val="32"/>
        </w:rPr>
        <w:t>8.2021年省级财政困难群众基本生活救助资金（冀财社【2020】210号）—流浪乞讨人员救助绩效目标表</w:t>
      </w:r>
      <w:bookmarkEnd w:id="14"/>
      <w:r>
        <w:rPr>
          <w:rFonts w:hint="eastAsia" w:eastAsia="宋体"/>
          <w:sz w:val="21"/>
        </w:rPr>
        <w:fldChar w:fldCharType="begin"/>
      </w:r>
      <w:r>
        <w:rPr>
          <w:rFonts w:hint="eastAsia" w:ascii="仿宋" w:hAnsi="仿宋" w:eastAsia="仿宋" w:cs="仿宋"/>
          <w:b/>
          <w:sz w:val="32"/>
          <w:szCs w:val="32"/>
        </w:rPr>
        <w:instrText xml:space="preserve"> TC 8、2021年省级财政困难群众基本生活救助资金（冀财社【2020】210号）—流浪乞讨人员救助绩效目标表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130623217YYBGQHFPMXUO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流浪乞讨人员救助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做为流浪乞讨人员救助金支出。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做好流浪乞讨人员救助工作，保障流浪乞讨人员顺利回乡。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进一步做好流浪乞讨人员救助资金发放工作，保障流浪乞讨人员的基本生活。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进一步做好流浪乞讨人员救助工作，确保资金及时发放。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5" w:name="_Toc62133786"/>
      <w:r>
        <w:rPr>
          <w:rFonts w:hint="eastAsia" w:ascii="仿宋" w:hAnsi="仿宋" w:eastAsia="仿宋" w:cs="仿宋"/>
          <w:b/>
          <w:sz w:val="32"/>
          <w:szCs w:val="32"/>
        </w:rPr>
        <w:t>9.临时救助金绩效目标表</w:t>
      </w:r>
      <w:bookmarkEnd w:id="15"/>
      <w:r>
        <w:rPr>
          <w:rFonts w:hint="eastAsia" w:eastAsia="宋体"/>
          <w:sz w:val="21"/>
        </w:rPr>
        <w:fldChar w:fldCharType="begin"/>
      </w:r>
      <w:r>
        <w:rPr>
          <w:rFonts w:hint="eastAsia" w:ascii="仿宋" w:hAnsi="仿宋" w:eastAsia="仿宋" w:cs="仿宋"/>
          <w:b/>
          <w:sz w:val="32"/>
          <w:szCs w:val="32"/>
        </w:rPr>
        <w:instrText xml:space="preserve"> TC 9、临时救助金绩效目标表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1306232186TT1EGUPGB2R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临时救助金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用于由突发事件或疾病造成的困难的临时救济支出。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对由于突发事件或疾病造成的困难群众实施救助，保障其基本生活。</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进一步做好临时救助资金发放工作，保障困难群众的基本生活。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进一步做好临时救助的保障工作，确保资金及时足额发放。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临时救助资金社会化发放率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临时救助资金社会化发放率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调查服务保障对象对临时救助工作的满意度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6" w:name="_Toc62133787"/>
      <w:r>
        <w:rPr>
          <w:rFonts w:hint="eastAsia" w:ascii="仿宋" w:hAnsi="仿宋" w:eastAsia="仿宋" w:cs="仿宋"/>
          <w:b/>
          <w:sz w:val="32"/>
          <w:szCs w:val="32"/>
        </w:rPr>
        <w:t>10.农村最低生活保障金绩效目标表</w:t>
      </w:r>
      <w:bookmarkEnd w:id="16"/>
      <w:r>
        <w:rPr>
          <w:rFonts w:hint="eastAsia" w:eastAsia="宋体"/>
          <w:sz w:val="21"/>
        </w:rPr>
        <w:fldChar w:fldCharType="begin"/>
      </w:r>
      <w:r>
        <w:rPr>
          <w:rFonts w:hint="eastAsia" w:ascii="仿宋" w:hAnsi="仿宋" w:eastAsia="仿宋" w:cs="仿宋"/>
          <w:b/>
          <w:sz w:val="32"/>
          <w:szCs w:val="32"/>
        </w:rPr>
        <w:instrText xml:space="preserve"> TC 10、农村最低生活保障金绩效目标表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13062321CQ07S6O72D6CD</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农村最低生活保障金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767.00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767.00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用于农村困难群众最低生活保障支出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实行应保尽保、应退尽退的动态保障机制，确保符合条件的困难对象纳入保障范围。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进一步做好困难群众定期核查工作，确保资金及时足额发放。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7" w:name="_Toc62133788"/>
      <w:r>
        <w:rPr>
          <w:rFonts w:hint="eastAsia" w:ascii="仿宋" w:hAnsi="仿宋" w:eastAsia="仿宋" w:cs="仿宋"/>
          <w:b/>
          <w:sz w:val="32"/>
          <w:szCs w:val="32"/>
        </w:rPr>
        <w:t>11.流浪乞讨人员救助资金绩效目标表</w:t>
      </w:r>
      <w:bookmarkEnd w:id="17"/>
      <w:r>
        <w:rPr>
          <w:rFonts w:hint="eastAsia" w:eastAsia="宋体"/>
          <w:sz w:val="21"/>
        </w:rPr>
        <w:fldChar w:fldCharType="begin"/>
      </w:r>
      <w:r>
        <w:rPr>
          <w:rFonts w:hint="eastAsia" w:ascii="仿宋" w:hAnsi="仿宋" w:eastAsia="仿宋" w:cs="仿宋"/>
          <w:b/>
          <w:sz w:val="32"/>
          <w:szCs w:val="32"/>
        </w:rPr>
        <w:instrText xml:space="preserve"> TC 11、流浪乞讨人员救助资金绩效目标表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13062321D2UAGK4BIB6MD</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流浪乞讨人员救助资金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做为流浪乞讨人员救助金支出。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做好流浪乞讨人员救助工作，保障流浪乞讨人员顺利回乡。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进一步做好流浪乞讨人员救助资金发放工作，保障流浪乞讨人员的基本生活。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进一步做好流浪乞讨人员救助工作，确保资金及时发放。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调查救助对象对流浪乞讨工作满意度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8" w:name="_Toc62133789"/>
      <w:r>
        <w:rPr>
          <w:rFonts w:hint="eastAsia" w:ascii="仿宋" w:hAnsi="仿宋" w:eastAsia="仿宋" w:cs="仿宋"/>
          <w:b/>
          <w:sz w:val="32"/>
          <w:szCs w:val="32"/>
        </w:rPr>
        <w:t>12.2021年中央集中彩票公益金支持社会福利事业专项资金（冀财社【2020】178号）绩效目标表</w:t>
      </w:r>
      <w:bookmarkEnd w:id="18"/>
      <w:r>
        <w:rPr>
          <w:rFonts w:hint="eastAsia" w:eastAsia="宋体"/>
          <w:sz w:val="21"/>
        </w:rPr>
        <w:fldChar w:fldCharType="begin"/>
      </w:r>
      <w:r>
        <w:rPr>
          <w:rFonts w:hint="eastAsia" w:ascii="仿宋" w:hAnsi="仿宋" w:eastAsia="仿宋" w:cs="仿宋"/>
          <w:b/>
          <w:sz w:val="32"/>
          <w:szCs w:val="32"/>
        </w:rPr>
        <w:instrText xml:space="preserve"> TC 12、2021年中央集中彩票公益金支持社会福利事业专项资金（冀财社【2020】178号）绩效目标表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13062321E2458C92Z16MF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年中央集中彩票公益金支持社会福利事业专项资金（冀财社【</w:t>
            </w:r>
            <w:r>
              <w:rPr>
                <w:rFonts w:ascii="方正书宋_GBK" w:eastAsia="方正书宋_GBK"/>
              </w:rPr>
              <w:t>2020</w:t>
            </w:r>
            <w:r>
              <w:rPr>
                <w:rFonts w:hint="eastAsia" w:ascii="方正书宋_GBK" w:eastAsia="方正书宋_GBK"/>
              </w:rPr>
              <w:t>】</w:t>
            </w:r>
            <w:r>
              <w:rPr>
                <w:rFonts w:ascii="方正书宋_GBK" w:eastAsia="方正书宋_GBK"/>
              </w:rPr>
              <w:t>178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用于社会福利事业支出。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支持社会福利事业，保障资金合理发放。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进一步做好资金的发放工作，确保专款专用。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进一步做好福彩资助工作，确保资金及时、足额发放到位。</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服务对象对此次工作的满意度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19" w:name="_Toc62133790"/>
      <w:r>
        <w:rPr>
          <w:rFonts w:hint="eastAsia" w:ascii="仿宋" w:hAnsi="仿宋" w:eastAsia="仿宋" w:cs="仿宋"/>
          <w:b/>
          <w:sz w:val="32"/>
          <w:szCs w:val="32"/>
        </w:rPr>
        <w:t>13.涞水县民政局房屋租赁费绩效目标表</w:t>
      </w:r>
      <w:bookmarkEnd w:id="19"/>
      <w:r>
        <w:rPr>
          <w:rFonts w:hint="eastAsia" w:eastAsia="宋体"/>
          <w:sz w:val="21"/>
        </w:rPr>
        <w:fldChar w:fldCharType="begin"/>
      </w:r>
      <w:r>
        <w:rPr>
          <w:rFonts w:hint="eastAsia" w:ascii="仿宋" w:hAnsi="仿宋" w:eastAsia="仿宋" w:cs="仿宋"/>
          <w:b/>
          <w:sz w:val="32"/>
          <w:szCs w:val="32"/>
        </w:rPr>
        <w:instrText xml:space="preserve"> TC 13、涞水县民政局房屋租赁费绩效目标表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13062321E2MH4BG0W6STR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涞水县民政局房屋租赁费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用于房屋租赁费相关支出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保障局机关工作能够正常运转</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确保资金能够及时足额拨付到位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通过改善办公环境，不断提高职工满意度，进一步提高服务水平。</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资金支付及时度</w:t>
            </w:r>
          </w:p>
        </w:tc>
        <w:tc>
          <w:tcPr>
            <w:tcW w:w="2891" w:type="dxa"/>
            <w:vAlign w:val="center"/>
          </w:tcPr>
          <w:p>
            <w:pPr>
              <w:spacing w:line="300" w:lineRule="exact"/>
              <w:rPr>
                <w:rFonts w:ascii="方正书宋_GBK" w:eastAsia="方正书宋_GBK"/>
              </w:rPr>
            </w:pPr>
            <w:r>
              <w:rPr>
                <w:rFonts w:hint="eastAsia" w:ascii="方正书宋_GBK" w:eastAsia="方正书宋_GBK"/>
              </w:rPr>
              <w:t>资金是否按照合同约定按时支付</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工作人员对工作环境的满意度</w:t>
            </w:r>
          </w:p>
        </w:tc>
        <w:tc>
          <w:tcPr>
            <w:tcW w:w="2891" w:type="dxa"/>
            <w:vAlign w:val="center"/>
          </w:tcPr>
          <w:p>
            <w:pPr>
              <w:spacing w:line="300" w:lineRule="exact"/>
              <w:rPr>
                <w:rFonts w:ascii="方正书宋_GBK" w:eastAsia="方正书宋_GBK"/>
              </w:rPr>
            </w:pPr>
            <w:r>
              <w:rPr>
                <w:rFonts w:hint="eastAsia" w:ascii="方正书宋_GBK" w:eastAsia="方正书宋_GBK"/>
              </w:rPr>
              <w:t>对工作环境特别满意的人员占全部工作人员的百分比</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0" w:name="_Toc62133791"/>
      <w:r>
        <w:rPr>
          <w:rFonts w:hint="eastAsia" w:ascii="仿宋" w:hAnsi="仿宋" w:eastAsia="仿宋" w:cs="仿宋"/>
          <w:b/>
          <w:sz w:val="32"/>
          <w:szCs w:val="32"/>
        </w:rPr>
        <w:t>14.特困人员护理费绩效目标表</w:t>
      </w:r>
      <w:bookmarkEnd w:id="20"/>
      <w:r>
        <w:rPr>
          <w:rFonts w:hint="eastAsia" w:eastAsia="宋体"/>
          <w:sz w:val="21"/>
        </w:rPr>
        <w:fldChar w:fldCharType="begin"/>
      </w:r>
      <w:r>
        <w:rPr>
          <w:rFonts w:hint="eastAsia" w:ascii="仿宋" w:hAnsi="仿宋" w:eastAsia="仿宋" w:cs="仿宋"/>
          <w:b/>
          <w:sz w:val="32"/>
          <w:szCs w:val="32"/>
        </w:rPr>
        <w:instrText xml:space="preserve"> TC 14、特困人员护理费绩效目标表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13062321EKTBYCSCZ9DOO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特困人员护理费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282.00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282.00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用于特困人员护理费的发放。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实行应保尽保、应退尽退的动态保障机制，确保符合条件的困难对象纳入保障范围。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进一步做好特困人员定期核查工作，确保资金及时足额发放。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调查服务保障对象对护理费发放工作满意度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21" w:name="_Toc62133792"/>
      <w:r>
        <w:rPr>
          <w:rFonts w:hint="eastAsia" w:ascii="仿宋" w:hAnsi="仿宋" w:eastAsia="仿宋" w:cs="仿宋"/>
          <w:b/>
          <w:sz w:val="32"/>
          <w:szCs w:val="32"/>
        </w:rPr>
        <w:t>15.特困人员丧葬费绩效目标表</w:t>
      </w:r>
      <w:bookmarkEnd w:id="21"/>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15、特困人员丧葬费绩效目标表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13062321H1VAG7W23G360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用于特困人员丧葬费支出。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积极做好特困人员丧葬费发放工作。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及时核查特困人员死亡情况，不漏发特困人员丧葬费。</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进一步做好特困人员丧葬费发放工作，确保资金及时发放。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资金发放足额率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资金发放足额保障率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调查服务保障对象家属对此项工作的满意度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2" w:name="_Toc62133793"/>
      <w:r>
        <w:rPr>
          <w:rFonts w:hint="eastAsia" w:ascii="仿宋" w:hAnsi="仿宋" w:eastAsia="仿宋" w:cs="仿宋"/>
          <w:b/>
          <w:sz w:val="32"/>
          <w:szCs w:val="32"/>
        </w:rPr>
        <w:t>16.塔岗社区日间照料中心基础设施购置所需资金绩效目标表</w:t>
      </w:r>
      <w:bookmarkEnd w:id="22"/>
      <w:r>
        <w:rPr>
          <w:rFonts w:hint="eastAsia" w:eastAsia="宋体"/>
          <w:sz w:val="21"/>
        </w:rPr>
        <w:fldChar w:fldCharType="begin"/>
      </w:r>
      <w:r>
        <w:rPr>
          <w:rFonts w:hint="eastAsia" w:ascii="仿宋" w:hAnsi="仿宋" w:eastAsia="仿宋" w:cs="仿宋"/>
          <w:b/>
          <w:sz w:val="32"/>
          <w:szCs w:val="32"/>
        </w:rPr>
        <w:instrText xml:space="preserve"> TC 16、塔岗社区日间照料中心基础设施购置所需资金绩效目标表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13062321H3BRMMHUN4105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塔岗社区日间照料中心基础设施购置所需资金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用于塔岗社区日间照料中心设备采购相关支出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通过新建日间照料中心，提高了我县养老领域保障水平，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确保设备采购经费足额保障，及时拨付。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通过社区日间照料中心的开办，实现了社区老人老有所养、老有所乐的社会目标。</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rPr>
                <w:rFonts w:ascii="方正书宋_GBK" w:eastAsia="方正书宋_GBK"/>
              </w:rPr>
            </w:pPr>
            <w:r>
              <w:rPr>
                <w:rFonts w:hint="eastAsia" w:ascii="方正书宋_GBK" w:eastAsia="方正书宋_GBK"/>
              </w:rPr>
              <w:t>关注老齡人合法权益，得到广大受众的认可。</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23" w:name="_Toc62133794"/>
      <w:r>
        <w:rPr>
          <w:rFonts w:hint="eastAsia" w:ascii="仿宋" w:hAnsi="仿宋" w:eastAsia="仿宋" w:cs="仿宋"/>
          <w:b/>
          <w:sz w:val="32"/>
          <w:szCs w:val="32"/>
        </w:rPr>
        <w:t>17.福彩公益金资助其他公益项目绩效目标表</w:t>
      </w:r>
      <w:bookmarkEnd w:id="23"/>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17、福彩公益金资助其他公益项目绩效目标表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13062321HC8D4F1WFRZTN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福彩公益金资助其他公益项目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对社会福利领域需要资金自助的项目进行资助。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通过对社会保障事业的资助，进一步推进我县社会保障事业的稳定发展，取得更好的社会效益。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通过对村（居）级公益事业的资助，有效缓解了村级财力不足带来的困难，村（居）民幸福指数不断提高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进一步做好公益事业的资助工作，确保资金及时发放。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资助对象对福彩工作的满意度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4" w:name="_Toc62133795"/>
      <w:r>
        <w:rPr>
          <w:rFonts w:hint="eastAsia" w:ascii="仿宋" w:hAnsi="仿宋" w:eastAsia="仿宋" w:cs="仿宋"/>
          <w:b/>
          <w:sz w:val="32"/>
          <w:szCs w:val="32"/>
        </w:rPr>
        <w:t>18.定期定量及代管人员经费绩效目标表</w:t>
      </w:r>
      <w:bookmarkEnd w:id="24"/>
      <w:r>
        <w:rPr>
          <w:rFonts w:hint="eastAsia" w:eastAsia="宋体"/>
          <w:sz w:val="21"/>
        </w:rPr>
        <w:fldChar w:fldCharType="begin"/>
      </w:r>
      <w:r>
        <w:rPr>
          <w:rFonts w:hint="eastAsia" w:ascii="仿宋" w:hAnsi="仿宋" w:eastAsia="仿宋" w:cs="仿宋"/>
          <w:b/>
          <w:sz w:val="32"/>
          <w:szCs w:val="32"/>
        </w:rPr>
        <w:instrText xml:space="preserve"> TC 18、定期定量及代管人员经费绩效目标表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13062321K6KXDPPGA5HFQ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定期定量及代管人员经费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用于我县</w:t>
            </w:r>
            <w:r>
              <w:rPr>
                <w:rFonts w:ascii="方正书宋_GBK" w:eastAsia="方正书宋_GBK"/>
              </w:rPr>
              <w:t>40%</w:t>
            </w:r>
            <w:r>
              <w:rPr>
                <w:rFonts w:hint="eastAsia" w:ascii="方正书宋_GBK" w:eastAsia="方正书宋_GBK"/>
              </w:rPr>
              <w:t>人员和职工遗属和代管退休人员基本补助支出。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保障我县</w:t>
            </w:r>
            <w:r>
              <w:rPr>
                <w:rFonts w:ascii="方正书宋_GBK" w:eastAsia="方正书宋_GBK"/>
              </w:rPr>
              <w:t>40%</w:t>
            </w:r>
            <w:r>
              <w:rPr>
                <w:rFonts w:hint="eastAsia" w:ascii="方正书宋_GBK" w:eastAsia="方正书宋_GBK"/>
              </w:rPr>
              <w:t>人员和职工遗属和代管退休人员基本补助金的及时发放。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进一步做好管理定期定量及代管人员经费的工作，保障资金及时到位。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进一步做好定期定量人员及代管人员的核查工作，准确及时的发放补助资金。</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定期定量和代管人员对服务的满意度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5" w:name="_Toc62133796"/>
      <w:r>
        <w:rPr>
          <w:rFonts w:hint="eastAsia" w:ascii="仿宋" w:hAnsi="仿宋" w:eastAsia="仿宋" w:cs="仿宋"/>
          <w:b/>
          <w:sz w:val="32"/>
          <w:szCs w:val="32"/>
        </w:rPr>
        <w:t>19.福彩公益金资助养老体系建设项目绩效目标表</w:t>
      </w:r>
      <w:bookmarkEnd w:id="25"/>
      <w:r>
        <w:rPr>
          <w:rFonts w:hint="eastAsia" w:eastAsia="宋体"/>
          <w:sz w:val="21"/>
        </w:rPr>
        <w:fldChar w:fldCharType="begin"/>
      </w:r>
      <w:r>
        <w:rPr>
          <w:rFonts w:hint="eastAsia" w:ascii="仿宋" w:hAnsi="仿宋" w:eastAsia="仿宋" w:cs="仿宋"/>
          <w:b/>
          <w:sz w:val="32"/>
          <w:szCs w:val="32"/>
        </w:rPr>
        <w:instrText xml:space="preserve"> TC 19、福彩公益金资助养老体系建设项目绩效目标表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13062321KE1TXIXRO8UE5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福彩公益金资助养老体系建设项目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用于养老服务体系建设支出。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加大养老服务体系建设资助力度，不断提升老年人服务保障水平。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进一步做好养老体系建设资金发放工作，保障老年人权益。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进一步做好养老体系建设相关工作，确保资金及时足额发放。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服务对象对福彩工作的满意度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6" w:name="_Toc62133797"/>
      <w:r>
        <w:rPr>
          <w:rFonts w:hint="eastAsia" w:ascii="仿宋" w:hAnsi="仿宋" w:eastAsia="仿宋" w:cs="仿宋"/>
          <w:b/>
          <w:sz w:val="32"/>
          <w:szCs w:val="32"/>
        </w:rPr>
        <w:t>20.2021年省级财政困难群众基本生活救助资金（冀财社【2020】210号）—特困人员救助供养绩效目标表</w:t>
      </w:r>
      <w:bookmarkEnd w:id="26"/>
      <w:r>
        <w:rPr>
          <w:rFonts w:hint="eastAsia" w:eastAsia="宋体"/>
          <w:sz w:val="21"/>
        </w:rPr>
        <w:fldChar w:fldCharType="begin"/>
      </w:r>
      <w:r>
        <w:rPr>
          <w:rFonts w:hint="eastAsia" w:ascii="仿宋" w:hAnsi="仿宋" w:eastAsia="仿宋" w:cs="仿宋"/>
          <w:b/>
          <w:sz w:val="32"/>
          <w:szCs w:val="32"/>
        </w:rPr>
        <w:instrText xml:space="preserve"> TC 20、2021年省级财政困难群众基本生活救助资金（冀财社【2020】210号）—特困人员救助供养绩效目标表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13062321KEAFOI6XYV0QO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特困人员救助供养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560.00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560.00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做为特困人员救助供养支出。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做到应保尽保、应退进退，保障特困人员合法权益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进一步做好特困人员救助资金发放工作，保障特困人员的基本生活。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进一步做好特困人员救助工作，确保资金及时发放。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服务保障对象对特困供养工作满意度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7" w:name="_Toc62133798"/>
      <w:r>
        <w:rPr>
          <w:rFonts w:hint="eastAsia" w:ascii="仿宋" w:hAnsi="仿宋" w:eastAsia="仿宋" w:cs="仿宋"/>
          <w:b/>
          <w:sz w:val="32"/>
          <w:szCs w:val="32"/>
        </w:rPr>
        <w:t>21.2021年省级财政困难群众基本生活救助资金（冀财社【2020】210号）—孤儿基本生活费绩效目标表</w:t>
      </w:r>
      <w:bookmarkEnd w:id="27"/>
      <w:r>
        <w:rPr>
          <w:rFonts w:hint="eastAsia" w:eastAsia="宋体"/>
          <w:sz w:val="21"/>
        </w:rPr>
        <w:fldChar w:fldCharType="begin"/>
      </w:r>
      <w:r>
        <w:rPr>
          <w:rFonts w:hint="eastAsia" w:ascii="仿宋" w:hAnsi="仿宋" w:eastAsia="仿宋" w:cs="仿宋"/>
          <w:b/>
          <w:sz w:val="32"/>
          <w:szCs w:val="32"/>
        </w:rPr>
        <w:instrText xml:space="preserve"> TC 21、2021年省级财政困难群众基本生活救助资金（冀财社【2020】210号）—孤儿基本生活费绩效目标表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13062321KXYW0UFUW328L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孤儿基本生活费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91.20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91.20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用于保障孤儿的基本生活费支出。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实行应保尽保的保障机制，确保符合条件的孤儿纳入保障范围。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进一步做好孤儿生活费资金发放工作，保障孤儿的基本生活。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进一步做好孤儿定期核查工作，确保资金及时足额发放。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调查服务保障对象对孤儿工作的满意度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8" w:name="_Toc62133799"/>
      <w:r>
        <w:rPr>
          <w:rFonts w:hint="eastAsia" w:ascii="仿宋" w:hAnsi="仿宋" w:eastAsia="仿宋" w:cs="仿宋"/>
          <w:b/>
          <w:sz w:val="32"/>
          <w:szCs w:val="32"/>
        </w:rPr>
        <w:t>22.2021年省级财政困难群众基本生活救助资金（冀财社【2020】）210号—残疾人两项补贴绩效目标表</w:t>
      </w:r>
      <w:bookmarkEnd w:id="28"/>
      <w:r>
        <w:rPr>
          <w:rFonts w:hint="eastAsia" w:eastAsia="宋体"/>
          <w:sz w:val="21"/>
        </w:rPr>
        <w:fldChar w:fldCharType="begin"/>
      </w:r>
      <w:r>
        <w:rPr>
          <w:rFonts w:hint="eastAsia" w:ascii="仿宋" w:hAnsi="仿宋" w:eastAsia="仿宋" w:cs="仿宋"/>
          <w:b/>
          <w:sz w:val="32"/>
          <w:szCs w:val="32"/>
        </w:rPr>
        <w:instrText xml:space="preserve"> TC 22、2021年省级财政困难群众基本生活救助资金（冀财社【2020】）210号—残疾人两项补贴绩效目标表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13062321LFFE0NSZZW83A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用于困难残疾人和重度残疾人的补贴。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实行应保尽保的保障机制，确保符合条件的残疾人纳入保障范围。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进一步做好残疾人补贴资金发放工作，保障残疾人的合法权益。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进一步做好残疾人定期核查工作，确保资金及时足额发放。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调查享受补贴对象对此项工作的满意度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服务对象保障对象对残疾人工作的满意度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29" w:name="_Toc62133800"/>
      <w:r>
        <w:rPr>
          <w:rFonts w:hint="eastAsia" w:ascii="仿宋" w:hAnsi="仿宋" w:eastAsia="仿宋" w:cs="仿宋"/>
          <w:b/>
          <w:sz w:val="32"/>
          <w:szCs w:val="32"/>
        </w:rPr>
        <w:t>23.高龄津贴所需资金绩效目标表</w:t>
      </w:r>
      <w:bookmarkEnd w:id="29"/>
      <w:r>
        <w:rPr>
          <w:rFonts w:hint="eastAsia" w:eastAsia="宋体"/>
          <w:sz w:val="21"/>
        </w:rPr>
        <w:fldChar w:fldCharType="begin"/>
      </w:r>
      <w:r>
        <w:rPr>
          <w:rFonts w:hint="eastAsia" w:ascii="仿宋" w:hAnsi="仿宋" w:eastAsia="仿宋" w:cs="仿宋"/>
          <w:b/>
          <w:sz w:val="32"/>
          <w:szCs w:val="32"/>
        </w:rPr>
        <w:instrText xml:space="preserve"> TC 23、高龄津贴所需资金绩效目标表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13062321ME4QAWH7FYN9W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高龄津贴所需资金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用于我县</w:t>
            </w:r>
            <w:r>
              <w:rPr>
                <w:rFonts w:ascii="方正书宋_GBK" w:eastAsia="方正书宋_GBK"/>
              </w:rPr>
              <w:t>80</w:t>
            </w:r>
            <w:r>
              <w:rPr>
                <w:rFonts w:hint="eastAsia" w:ascii="方正书宋_GBK" w:eastAsia="方正书宋_GBK"/>
              </w:rPr>
              <w:t>周岁以上的老人补贴资金发放。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保障我县</w:t>
            </w:r>
            <w:r>
              <w:rPr>
                <w:rFonts w:ascii="方正书宋_GBK" w:eastAsia="方正书宋_GBK"/>
              </w:rPr>
              <w:t>80</w:t>
            </w:r>
            <w:r>
              <w:rPr>
                <w:rFonts w:hint="eastAsia" w:ascii="方正书宋_GBK" w:eastAsia="方正书宋_GBK"/>
              </w:rPr>
              <w:t>周岁以上老人享受到补贴。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进一步做好高龄津贴资金发放工作，保障高龄老人基本权益。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进一步做好高龄老人定期核查工作，确保资金及时足额发放。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高龄津贴补助率</w:t>
            </w:r>
          </w:p>
        </w:tc>
        <w:tc>
          <w:tcPr>
            <w:tcW w:w="2891" w:type="dxa"/>
            <w:vAlign w:val="center"/>
          </w:tcPr>
          <w:p>
            <w:pPr>
              <w:spacing w:line="300" w:lineRule="exact"/>
              <w:rPr>
                <w:rFonts w:ascii="方正书宋_GBK" w:eastAsia="方正书宋_GBK"/>
              </w:rPr>
            </w:pPr>
            <w:r>
              <w:rPr>
                <w:rFonts w:hint="eastAsia" w:ascii="方正书宋_GBK" w:eastAsia="方正书宋_GBK"/>
              </w:rPr>
              <w:t>已享受补助人数占应享受人数的比率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服务对象满意比例</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30" w:name="_Toc62133801"/>
      <w:r>
        <w:rPr>
          <w:rFonts w:hint="eastAsia" w:ascii="仿宋" w:hAnsi="仿宋" w:eastAsia="仿宋" w:cs="仿宋"/>
          <w:b/>
          <w:sz w:val="32"/>
          <w:szCs w:val="32"/>
        </w:rPr>
        <w:t>24.山区7所养老院运营补贴绩效目标表</w:t>
      </w:r>
      <w:bookmarkEnd w:id="30"/>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24、山区7所养老院运营补贴绩效目标表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13062321MKBF0BEM4YKQ0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山区</w:t>
            </w:r>
            <w:r>
              <w:rPr>
                <w:rFonts w:ascii="方正书宋_GBK" w:eastAsia="方正书宋_GBK"/>
              </w:rPr>
              <w:t>7</w:t>
            </w:r>
            <w:r>
              <w:rPr>
                <w:rFonts w:hint="eastAsia" w:ascii="方正书宋_GBK" w:eastAsia="方正书宋_GBK"/>
              </w:rPr>
              <w:t>所养老院运营补贴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用于幸福院运营相关支出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通过新建幸福院，提高了我县养老领域保障水平，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确保幸福院经费足额保障，及时拨付。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通过运营经费的保障，实现了山区老人老有所养、老有所依的社会目标。</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资金保障率</w:t>
            </w:r>
          </w:p>
        </w:tc>
        <w:tc>
          <w:tcPr>
            <w:tcW w:w="2891" w:type="dxa"/>
            <w:vAlign w:val="center"/>
          </w:tcPr>
          <w:p>
            <w:pPr>
              <w:spacing w:line="300" w:lineRule="exact"/>
              <w:rPr>
                <w:rFonts w:ascii="方正书宋_GBK" w:eastAsia="方正书宋_GBK"/>
              </w:rPr>
            </w:pPr>
            <w:r>
              <w:rPr>
                <w:rFonts w:hint="eastAsia" w:ascii="方正书宋_GBK" w:eastAsia="方正书宋_GBK"/>
              </w:rPr>
              <w:t>资金保障是否全部保障幸福院日常支出</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调查的入住服务保障对象满意度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1" w:name="_Toc62133802"/>
      <w:r>
        <w:rPr>
          <w:rFonts w:hint="eastAsia" w:ascii="仿宋" w:hAnsi="仿宋" w:eastAsia="仿宋" w:cs="仿宋"/>
          <w:b/>
          <w:sz w:val="32"/>
          <w:szCs w:val="32"/>
        </w:rPr>
        <w:t>25.2021年省级财政困难群众基本生活救助资金（冀财社【2020】210号）—临时救助绩效目标表</w:t>
      </w:r>
      <w:bookmarkEnd w:id="31"/>
      <w:r>
        <w:rPr>
          <w:rFonts w:hint="eastAsia" w:eastAsia="宋体"/>
          <w:sz w:val="21"/>
        </w:rPr>
        <w:fldChar w:fldCharType="begin"/>
      </w:r>
      <w:r>
        <w:rPr>
          <w:rFonts w:hint="eastAsia" w:ascii="仿宋" w:hAnsi="仿宋" w:eastAsia="仿宋" w:cs="仿宋"/>
          <w:b/>
          <w:sz w:val="32"/>
          <w:szCs w:val="32"/>
        </w:rPr>
        <w:instrText xml:space="preserve"> TC 25、2021年省级财政困难群众基本生活救助资金（冀财社【2020】210号）—临时救助绩效目标表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13062321OA0SWESY1ZF38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年省级财政困难群众基本生活救助资金（冀财社【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r>
              <w:rPr>
                <w:rFonts w:hint="cs" w:ascii="方正书宋_GBK" w:eastAsia="方正书宋_GBK"/>
                <w:cs/>
              </w:rPr>
              <w:t>—</w:t>
            </w:r>
            <w:r>
              <w:rPr>
                <w:rFonts w:hint="eastAsia" w:ascii="方正书宋_GBK" w:eastAsia="方正书宋_GBK"/>
              </w:rPr>
              <w:t>临时救助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用于由突发事件或疾病造成的生活困难群众生活保障支出。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对由突发事假或疾病造成生活困难的群众，保障其基本生活。</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进一步做好困难群众定期核查工作，确保资金及时足额发放。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调查服务保障对象对临时救助工作满意度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2" w:name="_Toc62133803"/>
      <w:r>
        <w:rPr>
          <w:rFonts w:hint="eastAsia" w:ascii="仿宋" w:hAnsi="仿宋" w:eastAsia="仿宋" w:cs="仿宋"/>
          <w:b/>
          <w:sz w:val="32"/>
          <w:szCs w:val="32"/>
        </w:rPr>
        <w:t>26.2021年省级财政养老服务体系建设经费-一般公共预算（冀财社【2020】215号）绩效目标表</w:t>
      </w:r>
      <w:bookmarkEnd w:id="32"/>
      <w:r>
        <w:rPr>
          <w:rFonts w:hint="eastAsia" w:eastAsia="宋体"/>
          <w:sz w:val="21"/>
        </w:rPr>
        <w:fldChar w:fldCharType="begin"/>
      </w:r>
      <w:r>
        <w:rPr>
          <w:rFonts w:hint="eastAsia" w:ascii="仿宋" w:hAnsi="仿宋" w:eastAsia="仿宋" w:cs="仿宋"/>
          <w:b/>
          <w:sz w:val="32"/>
          <w:szCs w:val="32"/>
        </w:rPr>
        <w:instrText xml:space="preserve"> TC 26、2021年省级财政养老服务体系建设经费-一般公共预算（冀财社【2020】215号）绩效目标表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13062321PGFSY7HKKIAO5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年省级财政养老服务体系建设经费</w:t>
            </w:r>
            <w:r>
              <w:rPr>
                <w:rFonts w:ascii="方正书宋_GBK" w:eastAsia="方正书宋_GBK"/>
              </w:rPr>
              <w:t>-</w:t>
            </w:r>
            <w:r>
              <w:rPr>
                <w:rFonts w:hint="eastAsia" w:ascii="方正书宋_GBK" w:eastAsia="方正书宋_GBK"/>
              </w:rPr>
              <w:t>一般公共预算（冀财社【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59.00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59.00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用于养老服务体系建设支出。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积极加强养老服务体系建设，保障老年人基本权益。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进一步做好养老体系建设资金发放工作，保障老年人权益。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进一步做好养老体系建设核查工作，确保资金及时足额发放。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调查服务对象对养老工作满意度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3" w:name="_Toc62133804"/>
      <w:r>
        <w:rPr>
          <w:rFonts w:hint="eastAsia" w:ascii="仿宋" w:hAnsi="仿宋" w:eastAsia="仿宋" w:cs="仿宋"/>
          <w:b/>
          <w:sz w:val="32"/>
          <w:szCs w:val="32"/>
        </w:rPr>
        <w:t>27.福彩公益金助困、助学项目绩效目标表</w:t>
      </w:r>
      <w:bookmarkEnd w:id="33"/>
      <w:r>
        <w:rPr>
          <w:rFonts w:hint="eastAsia" w:eastAsia="宋体"/>
          <w:sz w:val="21"/>
        </w:rPr>
        <w:fldChar w:fldCharType="begin"/>
      </w:r>
      <w:r>
        <w:rPr>
          <w:rFonts w:hint="eastAsia" w:ascii="仿宋" w:hAnsi="仿宋" w:eastAsia="仿宋" w:cs="仿宋"/>
          <w:b/>
          <w:sz w:val="32"/>
          <w:szCs w:val="32"/>
        </w:rPr>
        <w:instrText xml:space="preserve"> TC 27、福彩公益金助困、助学项目绩效目标表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13062321PTTTN5Y46KR4Z</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福彩公益金助困、助学项目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用于社会救助工作相关支出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通过对困难家庭实施资助，有效缓解了困难家庭因病、因灾造成的家庭困难，取得更好的社会效益。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践行福彩公益金发行宗旨</w:t>
            </w:r>
            <w:r>
              <w:rPr>
                <w:rFonts w:hint="cs" w:ascii="方正书宋_GBK" w:eastAsia="方正书宋_GBK"/>
                <w:cs/>
              </w:rPr>
              <w:t>“</w:t>
            </w:r>
            <w:r>
              <w:rPr>
                <w:rFonts w:hint="eastAsia" w:ascii="方正书宋_GBK" w:eastAsia="方正书宋_GBK"/>
              </w:rPr>
              <w:t>扶老、助残、救孤、济困</w:t>
            </w:r>
            <w:r>
              <w:rPr>
                <w:rFonts w:hint="cs" w:ascii="方正书宋_GBK" w:eastAsia="方正书宋_GBK"/>
                <w:cs/>
              </w:rPr>
              <w:t>”</w:t>
            </w:r>
            <w:r>
              <w:rPr>
                <w:rFonts w:hint="eastAsia" w:ascii="方正书宋_GBK" w:eastAsia="方正书宋_GBK"/>
              </w:rPr>
              <w:t>，及时将资助金下拨到位。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通过加大宣传力度，不断提高福彩销售量。</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资助资金发放率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助困和助学资金发放完成率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调查的资助对象对工作的对象满意度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4" w:name="_Toc62133805"/>
      <w:r>
        <w:rPr>
          <w:rFonts w:hint="eastAsia" w:ascii="仿宋" w:hAnsi="仿宋" w:eastAsia="仿宋" w:cs="仿宋"/>
          <w:b/>
          <w:sz w:val="32"/>
          <w:szCs w:val="32"/>
        </w:rPr>
        <w:t>28.2121年中央财政困难群众救助资金（冀财社【2020】187号）—城镇低保金绩效目标表</w:t>
      </w:r>
      <w:bookmarkEnd w:id="34"/>
      <w:r>
        <w:rPr>
          <w:rFonts w:hint="eastAsia" w:eastAsia="宋体"/>
          <w:sz w:val="21"/>
        </w:rPr>
        <w:fldChar w:fldCharType="begin"/>
      </w:r>
      <w:r>
        <w:rPr>
          <w:rFonts w:hint="eastAsia" w:ascii="仿宋" w:hAnsi="仿宋" w:eastAsia="仿宋" w:cs="仿宋"/>
          <w:b/>
          <w:sz w:val="32"/>
          <w:szCs w:val="32"/>
        </w:rPr>
        <w:instrText xml:space="preserve"> TC 28、2121年中央财政困难群众救助资金（冀财社【2020】187号）—城镇低保金绩效目标表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13062321R7H7CTBVDOGXV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2121</w:t>
            </w:r>
            <w:r>
              <w:rPr>
                <w:rFonts w:hint="eastAsia" w:ascii="方正书宋_GBK" w:eastAsia="方正书宋_GBK"/>
              </w:rPr>
              <w:t>年中央财政困难群众救助资金（冀财社【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w:t>
            </w:r>
            <w:r>
              <w:rPr>
                <w:rFonts w:hint="cs" w:ascii="方正书宋_GBK" w:eastAsia="方正书宋_GBK"/>
                <w:cs/>
              </w:rPr>
              <w:t>—</w:t>
            </w:r>
            <w:r>
              <w:rPr>
                <w:rFonts w:hint="eastAsia" w:ascii="方正书宋_GBK" w:eastAsia="方正书宋_GBK"/>
              </w:rPr>
              <w:t>城镇低保金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用于我县城镇困难群众最低生活保障支出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实行应保尽保、应退尽退的动态保障机制，确保符合条件的困难对象纳入保障范围。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进一步做好困难群众定期核查工作，确保资金及时足额发放。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调查服务保障对象对低保工作的满意度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35" w:name="_Toc62133806"/>
      <w:r>
        <w:rPr>
          <w:rFonts w:hint="eastAsia" w:ascii="仿宋" w:hAnsi="仿宋" w:eastAsia="仿宋" w:cs="仿宋"/>
          <w:b/>
          <w:sz w:val="32"/>
          <w:szCs w:val="32"/>
        </w:rPr>
        <w:t>29.涞水县民政事业服务中心定额补助绩效目标表</w:t>
      </w:r>
      <w:bookmarkEnd w:id="35"/>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29、涞水县民政事业服务中心定额补助绩效目标表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13062321TGBCFQU4415C7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涞水县民政事业服务中心定额补助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75.00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75.00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用于涞水县民政事业服务中心日常运营相关支出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推进老年人福利事业健康快速发展，保障我县老人老有所养，老有所依，老有所乐，老有所为</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保障民政事业服务中心能够正常运转，确保资金能够及时足额拨付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不断提高管护水平，保障入住老人安享晚年。</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集中供养率</w:t>
            </w:r>
          </w:p>
        </w:tc>
        <w:tc>
          <w:tcPr>
            <w:tcW w:w="2891" w:type="dxa"/>
            <w:vAlign w:val="center"/>
          </w:tcPr>
          <w:p>
            <w:pPr>
              <w:spacing w:line="300" w:lineRule="exact"/>
              <w:rPr>
                <w:rFonts w:ascii="方正书宋_GBK" w:eastAsia="方正书宋_GBK"/>
              </w:rPr>
            </w:pPr>
            <w:r>
              <w:rPr>
                <w:rFonts w:hint="eastAsia" w:ascii="方正书宋_GBK" w:eastAsia="方正书宋_GBK"/>
              </w:rPr>
              <w:t>实际入住机构人数占应入住人数的比率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6" w:name="_Toc62133807"/>
      <w:r>
        <w:rPr>
          <w:rFonts w:hint="eastAsia" w:ascii="仿宋" w:hAnsi="仿宋" w:eastAsia="仿宋" w:cs="仿宋"/>
          <w:b/>
          <w:sz w:val="32"/>
          <w:szCs w:val="32"/>
        </w:rPr>
        <w:t>30.涞水县婚姻登记处工作经费绩效目标表</w:t>
      </w:r>
      <w:bookmarkEnd w:id="36"/>
      <w:r>
        <w:rPr>
          <w:rFonts w:hint="eastAsia" w:eastAsia="宋体"/>
          <w:sz w:val="21"/>
        </w:rPr>
        <w:fldChar w:fldCharType="begin"/>
      </w:r>
      <w:r>
        <w:rPr>
          <w:rFonts w:hint="eastAsia" w:ascii="仿宋" w:hAnsi="仿宋" w:eastAsia="仿宋" w:cs="仿宋"/>
          <w:b/>
          <w:sz w:val="32"/>
          <w:szCs w:val="32"/>
        </w:rPr>
        <w:instrText xml:space="preserve"> TC 30、涞水县婚姻登记处工作经费绩效目标表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13062321XP4WTA0T1IOUF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涞水县婚姻登记处工作经费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用于婚姻登记工作相关支出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保障婚姻登记工作能够顺利开展</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确保资金能够及时足额拨付到位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提高服务水平，确保婚姻登记合格率百分百。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婚姻登记合格率</w:t>
            </w:r>
          </w:p>
        </w:tc>
        <w:tc>
          <w:tcPr>
            <w:tcW w:w="2891" w:type="dxa"/>
            <w:vAlign w:val="center"/>
          </w:tcPr>
          <w:p>
            <w:pPr>
              <w:spacing w:line="300" w:lineRule="exact"/>
              <w:rPr>
                <w:rFonts w:ascii="方正书宋_GBK" w:eastAsia="方正书宋_GBK"/>
              </w:rPr>
            </w:pPr>
            <w:r>
              <w:rPr>
                <w:rFonts w:hint="eastAsia" w:ascii="方正书宋_GBK" w:eastAsia="方正书宋_GBK"/>
              </w:rPr>
              <w:t>婚姻登记符合相关政策要求的数量占登记总数的比例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调查的服务对象对婚姻登记工作满意度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7" w:name="_Toc62133808"/>
      <w:r>
        <w:rPr>
          <w:rFonts w:hint="eastAsia" w:ascii="仿宋" w:hAnsi="仿宋" w:eastAsia="仿宋" w:cs="仿宋"/>
          <w:b/>
          <w:sz w:val="32"/>
          <w:szCs w:val="32"/>
        </w:rPr>
        <w:t>31.地名工作专项经费绩效目标表</w:t>
      </w:r>
      <w:bookmarkEnd w:id="37"/>
      <w:r>
        <w:rPr>
          <w:rFonts w:hint="eastAsia" w:eastAsia="宋体"/>
          <w:sz w:val="21"/>
        </w:rPr>
        <w:fldChar w:fldCharType="begin"/>
      </w:r>
      <w:r>
        <w:rPr>
          <w:rFonts w:hint="eastAsia" w:ascii="仿宋" w:hAnsi="仿宋" w:eastAsia="仿宋" w:cs="仿宋"/>
          <w:b/>
          <w:sz w:val="32"/>
          <w:szCs w:val="32"/>
        </w:rPr>
        <w:instrText xml:space="preserve"> TC 31、地名工作专项经费绩效目标表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13062321XUQO2HRLT1WV1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地名工作专项经费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用于地名工作相关支出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优化空间布局，促进边界平和和和谐发展，为社会提供更方便快捷的地名服务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进一步做好地名工作，确保资金能够及时足额拨付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通过定期普查，确保县域内地名标志完整。</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门牌证完整率</w:t>
            </w:r>
          </w:p>
        </w:tc>
        <w:tc>
          <w:tcPr>
            <w:tcW w:w="2891" w:type="dxa"/>
            <w:vAlign w:val="center"/>
          </w:tcPr>
          <w:p>
            <w:pPr>
              <w:spacing w:line="300" w:lineRule="exact"/>
              <w:rPr>
                <w:rFonts w:ascii="方正书宋_GBK" w:eastAsia="方正书宋_GBK"/>
              </w:rPr>
            </w:pPr>
            <w:r>
              <w:rPr>
                <w:rFonts w:hint="eastAsia" w:ascii="方正书宋_GBK" w:eastAsia="方正书宋_GBK"/>
              </w:rPr>
              <w:t>已更换的门牌证占应更换总数的比例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调查的服务对象对地名工作满意度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8" w:name="_Toc62133809"/>
      <w:r>
        <w:rPr>
          <w:rFonts w:hint="eastAsia" w:ascii="仿宋" w:hAnsi="仿宋" w:eastAsia="仿宋" w:cs="仿宋"/>
          <w:b/>
          <w:sz w:val="32"/>
          <w:szCs w:val="32"/>
        </w:rPr>
        <w:t>32.维稳经费绩效目标表</w:t>
      </w:r>
      <w:bookmarkEnd w:id="38"/>
      <w:r>
        <w:rPr>
          <w:rFonts w:hint="eastAsia" w:eastAsia="宋体"/>
          <w:sz w:val="21"/>
        </w:rPr>
        <w:fldChar w:fldCharType="begin"/>
      </w:r>
      <w:r>
        <w:rPr>
          <w:rFonts w:hint="eastAsia" w:ascii="仿宋" w:hAnsi="仿宋" w:eastAsia="仿宋" w:cs="仿宋"/>
          <w:b/>
          <w:sz w:val="32"/>
          <w:szCs w:val="32"/>
        </w:rPr>
        <w:instrText xml:space="preserve"> TC 32、维稳经费绩效目标表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13062321Y65BRVW7KLX9L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用于维稳工作相关支出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做好各项来信来访工作，确保维稳工作有序进行，保障社会和谐稳定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做好经费保障工作，确保按时报销差旅费费用。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通过进京值班，做好接劝访工作，有效化解了大规模信访隐患。</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rPr>
                <w:rFonts w:ascii="方正书宋_GBK" w:eastAsia="方正书宋_GBK"/>
              </w:rPr>
            </w:pPr>
            <w:r>
              <w:rPr>
                <w:rFonts w:hint="eastAsia" w:ascii="方正书宋_GBK" w:eastAsia="方正书宋_GBK"/>
              </w:rPr>
              <w:t>通过接劝访解释工作促进社会稳定水平逐步提高</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39" w:name="_Toc62133810"/>
      <w:r>
        <w:rPr>
          <w:rFonts w:hint="eastAsia" w:ascii="仿宋" w:hAnsi="仿宋" w:eastAsia="仿宋" w:cs="仿宋"/>
          <w:b/>
          <w:sz w:val="32"/>
          <w:szCs w:val="32"/>
        </w:rPr>
        <w:t>33.2021年中央困难群众救助资金（冀财社【2020】187号）—农村低保金绩效目标表</w:t>
      </w:r>
      <w:bookmarkEnd w:id="39"/>
      <w:r>
        <w:rPr>
          <w:rFonts w:hint="eastAsia" w:eastAsia="宋体"/>
          <w:sz w:val="21"/>
        </w:rPr>
        <w:fldChar w:fldCharType="begin"/>
      </w:r>
      <w:r>
        <w:rPr>
          <w:rFonts w:hint="eastAsia" w:ascii="仿宋" w:hAnsi="仿宋" w:eastAsia="仿宋" w:cs="仿宋"/>
          <w:b/>
          <w:sz w:val="32"/>
          <w:szCs w:val="32"/>
        </w:rPr>
        <w:instrText xml:space="preserve"> TC 33、2021年中央困难群众救助资金（冀财社【2020】187号）—农村低保金绩效目标表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13062321YD4HCUP8N104U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年中央困难群众救助资金（冀财社【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w:t>
            </w:r>
            <w:r>
              <w:rPr>
                <w:rFonts w:hint="cs" w:ascii="方正书宋_GBK" w:eastAsia="方正书宋_GBK"/>
                <w:cs/>
              </w:rPr>
              <w:t>—</w:t>
            </w:r>
            <w:r>
              <w:rPr>
                <w:rFonts w:hint="eastAsia" w:ascii="方正书宋_GBK" w:eastAsia="方正书宋_GBK"/>
              </w:rPr>
              <w:t>农村低保金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2603.00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2603.00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用于城镇困难群众最低生活保障支出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实行应保尽保、应退尽退的动态保障机制，确保符合条件的困难对象纳入保障范围。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进一步做好困难群众资金发放工作，保障困难群众的基本生活。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进一步做好困难群众定期核查工作，确保资金及时足额发放。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2891" w:type="dxa"/>
            <w:vAlign w:val="center"/>
          </w:tcPr>
          <w:p>
            <w:pPr>
              <w:spacing w:line="300" w:lineRule="exact"/>
              <w:rPr>
                <w:rFonts w:ascii="方正书宋_GBK" w:eastAsia="方正书宋_GBK"/>
              </w:rPr>
            </w:pPr>
            <w:r>
              <w:rPr>
                <w:rFonts w:hint="eastAsia" w:ascii="方正书宋_GBK" w:eastAsia="方正书宋_GBK"/>
              </w:rPr>
              <w:t>低保资金社会化发放率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服务保障对象对低保对象满意度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依据上级文件制定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40" w:name="_Toc62133811"/>
      <w:r>
        <w:rPr>
          <w:rFonts w:hint="eastAsia" w:ascii="仿宋" w:hAnsi="仿宋" w:eastAsia="仿宋" w:cs="仿宋"/>
          <w:b/>
          <w:sz w:val="32"/>
          <w:szCs w:val="32"/>
        </w:rPr>
        <w:t>34.城乡社区工作者职业津贴奖励绩效目标表</w:t>
      </w:r>
      <w:bookmarkEnd w:id="40"/>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34、城乡社区工作者职业津贴奖励绩效目标表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13062321YRNNOQBDZVOV4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城乡社区工作者职业津贴奖励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1.68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1.68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用于社会工作者奖励津贴相关支出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实行动态管理机制，按政策规定标准拨付奖励金。</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确保资金按规定标准足额保障，及时拨付。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通过奖励津贴的发放，有效激励投身社工组织，促进我县志愿服务工作。</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资金保障率</w:t>
            </w:r>
          </w:p>
        </w:tc>
        <w:tc>
          <w:tcPr>
            <w:tcW w:w="2891" w:type="dxa"/>
            <w:vAlign w:val="center"/>
          </w:tcPr>
          <w:p>
            <w:pPr>
              <w:spacing w:line="300" w:lineRule="exact"/>
              <w:rPr>
                <w:rFonts w:ascii="方正书宋_GBK" w:eastAsia="方正书宋_GBK"/>
              </w:rPr>
            </w:pPr>
            <w:r>
              <w:rPr>
                <w:rFonts w:hint="eastAsia" w:ascii="方正书宋_GBK" w:eastAsia="方正书宋_GBK"/>
              </w:rPr>
              <w:t>资金保障是否全部保障应保支出</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调查的服务保障对象满意度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ascii="仿宋" w:hAnsi="仿宋" w:eastAsia="仿宋" w:cs="仿宋"/>
          <w:b/>
          <w:sz w:val="32"/>
          <w:szCs w:val="32"/>
        </w:rPr>
      </w:pPr>
      <w:bookmarkStart w:id="41" w:name="_Toc62133812"/>
      <w:r>
        <w:rPr>
          <w:rFonts w:hint="eastAsia" w:ascii="仿宋" w:hAnsi="仿宋" w:eastAsia="仿宋" w:cs="仿宋"/>
          <w:b/>
          <w:sz w:val="32"/>
          <w:szCs w:val="32"/>
        </w:rPr>
        <w:t>35.涞水县殡葬管理所定额补助绩效目标表</w:t>
      </w:r>
      <w:bookmarkEnd w:id="41"/>
      <w:r>
        <w:rPr>
          <w:rFonts w:hint="eastAsia" w:eastAsia="宋体"/>
          <w:sz w:val="21"/>
        </w:rPr>
        <w:fldChar w:fldCharType="begin"/>
      </w:r>
      <w:r>
        <w:rPr>
          <w:rFonts w:hint="eastAsia" w:ascii="仿宋" w:hAnsi="仿宋" w:eastAsia="仿宋" w:cs="仿宋"/>
          <w:b/>
          <w:sz w:val="32"/>
          <w:szCs w:val="32"/>
        </w:rPr>
        <w:instrText xml:space="preserve"> TC 35、涞水县殡葬管理所定额补助绩效目标表 \f C \l 1 </w:instrText>
      </w:r>
      <w:r>
        <w:rPr>
          <w:rFonts w:hint="eastAsia" w:ascii="仿宋" w:hAnsi="仿宋" w:eastAsia="仿宋" w:cs="仿宋"/>
          <w:b/>
          <w:sz w:val="32"/>
          <w:szCs w:val="32"/>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13062321YUKR1L9XVNZ9G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涞水县殡葬管理所定额补助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用于殡葬工作运营相关支出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进一步深化殡葬改革，保障殡葬工作正常开展</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确保资金能够及时足额拨付到位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通过定额补助的发放，确保殡馆所正常运营。</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资金支付的及时程度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调查的服务对象对殡葬工作满意度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643" w:firstLineChars="200"/>
        <w:outlineLvl w:val="3"/>
        <w:rPr>
          <w:rFonts w:hAnsi="宋体"/>
          <w:b/>
          <w:sz w:val="28"/>
        </w:rPr>
      </w:pPr>
      <w:bookmarkStart w:id="42" w:name="_Toc62133813"/>
      <w:r>
        <w:rPr>
          <w:rFonts w:hint="eastAsia" w:ascii="仿宋" w:hAnsi="仿宋" w:eastAsia="仿宋" w:cs="仿宋"/>
          <w:b/>
          <w:sz w:val="32"/>
          <w:szCs w:val="32"/>
        </w:rPr>
        <w:t>36.地名工作经费绩效目标表</w:t>
      </w:r>
      <w:bookmarkEnd w:id="42"/>
      <w:r>
        <w:rPr>
          <w:rFonts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36、地名工作经费绩效目标表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314涞水县民政局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13062321ZOAQZGTA7T789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地名工作经费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用于地名工作相关支出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优化空间布局，促进边界平和和和谐发展，为社会提供更方便快捷的地名服务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进一步做好地名工作，确保资金能够及时足额拨付</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通过定期普查，确保地名标志完整。</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支付资金占应付资金的比例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经费足额拨付率</w:t>
            </w:r>
          </w:p>
        </w:tc>
        <w:tc>
          <w:tcPr>
            <w:tcW w:w="2891" w:type="dxa"/>
            <w:vAlign w:val="center"/>
          </w:tcPr>
          <w:p>
            <w:pPr>
              <w:spacing w:line="300" w:lineRule="exact"/>
              <w:rPr>
                <w:rFonts w:ascii="方正书宋_GBK" w:eastAsia="方正书宋_GBK"/>
              </w:rPr>
            </w:pPr>
            <w:r>
              <w:rPr>
                <w:rFonts w:hint="eastAsia" w:ascii="方正书宋_GBK" w:eastAsia="方正书宋_GBK"/>
              </w:rPr>
              <w:t>拨付经费占应拨付经费的比例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经费标准按规定执行率</w:t>
            </w:r>
          </w:p>
        </w:tc>
        <w:tc>
          <w:tcPr>
            <w:tcW w:w="2891" w:type="dxa"/>
            <w:vAlign w:val="center"/>
          </w:tcPr>
          <w:p>
            <w:pPr>
              <w:spacing w:line="300" w:lineRule="exact"/>
              <w:rPr>
                <w:rFonts w:ascii="方正书宋_GBK" w:eastAsia="方正书宋_GBK"/>
              </w:rPr>
            </w:pPr>
            <w:r>
              <w:rPr>
                <w:rFonts w:hint="eastAsia" w:ascii="方正书宋_GBK" w:eastAsia="方正书宋_GBK"/>
              </w:rPr>
              <w:t>经费标准是符合政策规定要求比例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门牌证完整率</w:t>
            </w:r>
          </w:p>
        </w:tc>
        <w:tc>
          <w:tcPr>
            <w:tcW w:w="2891" w:type="dxa"/>
            <w:vAlign w:val="center"/>
          </w:tcPr>
          <w:p>
            <w:pPr>
              <w:spacing w:line="300" w:lineRule="exact"/>
              <w:rPr>
                <w:rFonts w:ascii="方正书宋_GBK" w:eastAsia="方正书宋_GBK"/>
              </w:rPr>
            </w:pPr>
            <w:r>
              <w:rPr>
                <w:rFonts w:hint="eastAsia" w:ascii="方正书宋_GBK" w:eastAsia="方正书宋_GBK"/>
              </w:rPr>
              <w:t>已更换的门牌证占应更换总数的比例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已完成工作占应完成工作数量的比例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调查的服务对象对地名工作的满意度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依据省级相关政策确定</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500" w:lineRule="atLeast"/>
        <w:ind w:right="-2026" w:rightChars="-844"/>
        <w:rPr>
          <w:rFonts w:ascii="黑体" w:hAnsi="黑体" w:eastAsia="黑体"/>
          <w:sz w:val="32"/>
          <w:szCs w:val="32"/>
        </w:rPr>
      </w:pPr>
      <w:r>
        <w:rPr>
          <w:rFonts w:hint="eastAsia" w:ascii="黑体" w:hAnsi="黑体" w:eastAsia="黑体"/>
          <w:sz w:val="32"/>
          <w:szCs w:val="32"/>
        </w:rPr>
        <w:t>六、政府采购预算情况</w:t>
      </w:r>
    </w:p>
    <w:p>
      <w:pPr>
        <w:spacing w:line="500" w:lineRule="atLeast"/>
        <w:ind w:firstLine="480" w:firstLineChars="150"/>
        <w:rPr>
          <w:rFonts w:ascii="仿宋" w:hAnsi="仿宋" w:eastAsia="仿宋"/>
          <w:sz w:val="32"/>
          <w:szCs w:val="32"/>
        </w:rPr>
      </w:pPr>
      <w:r>
        <w:rPr>
          <w:rFonts w:hint="eastAsia" w:ascii="仿宋" w:hAnsi="仿宋" w:eastAsia="仿宋"/>
          <w:sz w:val="32"/>
          <w:szCs w:val="32"/>
        </w:rPr>
        <w:t>2021年我部门无安排政府采购预算项目。</w:t>
      </w:r>
    </w:p>
    <w:p>
      <w:pPr>
        <w:ind w:firstLine="602" w:firstLineChars="200"/>
        <w:jc w:val="center"/>
        <w:outlineLvl w:val="0"/>
        <w:rPr>
          <w:rFonts w:hAnsi="宋体"/>
          <w:sz w:val="18"/>
          <w:szCs w:val="18"/>
        </w:rPr>
      </w:pPr>
      <w:r>
        <w:rPr>
          <w:rFonts w:hint="eastAsia" w:ascii="仿宋_GB2312" w:hAnsi="仿宋_GB2312" w:eastAsia="仿宋_GB2312" w:cs="仿宋_GB2312"/>
          <w:b/>
          <w:bCs/>
          <w:sz w:val="30"/>
          <w:szCs w:val="30"/>
        </w:rPr>
        <w:t>部门政府采购预算表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3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采购</w:t>
            </w:r>
          </w:p>
          <w:p>
            <w:pPr>
              <w:spacing w:line="300" w:lineRule="exact"/>
              <w:jc w:val="center"/>
              <w:rPr>
                <w:rFonts w:ascii="宋体" w:hAnsi="宋体" w:cs="宋体"/>
                <w:b/>
                <w:sz w:val="18"/>
                <w:szCs w:val="18"/>
              </w:rPr>
            </w:pPr>
            <w:r>
              <w:rPr>
                <w:rFonts w:hint="eastAsia" w:ascii="宋体" w:hAnsi="宋体" w:cs="宋体"/>
                <w:b/>
                <w:sz w:val="18"/>
                <w:szCs w:val="18"/>
              </w:rPr>
              <w:t>物品</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w:t>
            </w:r>
          </w:p>
          <w:p>
            <w:pPr>
              <w:spacing w:line="3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300" w:lineRule="exact"/>
              <w:jc w:val="center"/>
              <w:rPr>
                <w:rFonts w:ascii="宋体" w:hAnsi="宋体" w:cs="宋体"/>
                <w:b/>
                <w:sz w:val="18"/>
                <w:szCs w:val="18"/>
              </w:rPr>
            </w:pPr>
            <w:r>
              <w:rPr>
                <w:rFonts w:hint="eastAsia" w:ascii="宋体" w:hAnsi="宋体" w:cs="宋体"/>
                <w:b/>
                <w:sz w:val="18"/>
                <w:szCs w:val="18"/>
              </w:rPr>
              <w:t>项目</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300" w:lineRule="exact"/>
              <w:jc w:val="center"/>
              <w:rPr>
                <w:rFonts w:ascii="宋体" w:hAnsi="宋体" w:cs="宋体"/>
                <w:b/>
                <w:sz w:val="18"/>
                <w:szCs w:val="18"/>
              </w:rPr>
            </w:pPr>
            <w:r>
              <w:rPr>
                <w:rFonts w:hint="eastAsia" w:ascii="宋体" w:hAnsi="宋体" w:cs="宋体"/>
                <w:b/>
                <w:sz w:val="18"/>
                <w:szCs w:val="18"/>
              </w:rPr>
              <w:t>预算</w:t>
            </w:r>
          </w:p>
          <w:p>
            <w:pPr>
              <w:spacing w:line="3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300" w:lineRule="exact"/>
              <w:outlineLvl w:val="0"/>
              <w:rPr>
                <w:rFonts w:ascii="宋体" w:hAnsi="宋体" w:cs="宋体"/>
                <w:sz w:val="18"/>
                <w:szCs w:val="18"/>
              </w:rPr>
            </w:pPr>
          </w:p>
        </w:tc>
        <w:tc>
          <w:tcPr>
            <w:tcW w:w="979" w:type="dxa"/>
            <w:vMerge w:val="continue"/>
            <w:vAlign w:val="center"/>
          </w:tcPr>
          <w:p>
            <w:pPr>
              <w:spacing w:line="300" w:lineRule="exact"/>
              <w:outlineLvl w:val="0"/>
              <w:rPr>
                <w:rFonts w:ascii="宋体" w:hAnsi="宋体" w:cs="宋体"/>
                <w:sz w:val="18"/>
                <w:szCs w:val="18"/>
              </w:rPr>
            </w:pPr>
          </w:p>
        </w:tc>
        <w:tc>
          <w:tcPr>
            <w:tcW w:w="480" w:type="dxa"/>
            <w:vMerge w:val="continue"/>
            <w:vAlign w:val="center"/>
          </w:tcPr>
          <w:p>
            <w:pPr>
              <w:spacing w:line="300" w:lineRule="exact"/>
              <w:outlineLvl w:val="0"/>
              <w:rPr>
                <w:rFonts w:ascii="宋体" w:hAnsi="宋体" w:cs="宋体"/>
                <w:sz w:val="18"/>
                <w:szCs w:val="18"/>
              </w:rPr>
            </w:pPr>
          </w:p>
        </w:tc>
        <w:tc>
          <w:tcPr>
            <w:tcW w:w="322" w:type="dxa"/>
            <w:vMerge w:val="continue"/>
            <w:vAlign w:val="center"/>
          </w:tcPr>
          <w:p>
            <w:pPr>
              <w:spacing w:line="300" w:lineRule="exact"/>
              <w:outlineLvl w:val="0"/>
              <w:rPr>
                <w:rFonts w:ascii="宋体" w:hAnsi="宋体" w:cs="宋体"/>
                <w:sz w:val="18"/>
                <w:szCs w:val="18"/>
              </w:rPr>
            </w:pPr>
          </w:p>
        </w:tc>
        <w:tc>
          <w:tcPr>
            <w:tcW w:w="419" w:type="dxa"/>
            <w:vMerge w:val="continue"/>
            <w:vAlign w:val="center"/>
          </w:tcPr>
          <w:p>
            <w:pPr>
              <w:spacing w:line="300" w:lineRule="exact"/>
              <w:outlineLvl w:val="0"/>
              <w:rPr>
                <w:rFonts w:ascii="宋体" w:hAnsi="宋体" w:cs="宋体"/>
                <w:sz w:val="18"/>
                <w:szCs w:val="18"/>
              </w:rPr>
            </w:pPr>
          </w:p>
        </w:tc>
        <w:tc>
          <w:tcPr>
            <w:tcW w:w="542" w:type="dxa"/>
            <w:vAlign w:val="center"/>
          </w:tcPr>
          <w:p>
            <w:pPr>
              <w:spacing w:line="3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3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3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3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3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3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300" w:lineRule="exact"/>
              <w:jc w:val="center"/>
              <w:rPr>
                <w:rFonts w:ascii="宋体" w:hAnsi="宋体" w:cs="宋体"/>
                <w:b/>
                <w:sz w:val="18"/>
                <w:szCs w:val="18"/>
              </w:rPr>
            </w:pPr>
          </w:p>
        </w:tc>
        <w:tc>
          <w:tcPr>
            <w:tcW w:w="687" w:type="dxa"/>
            <w:vAlign w:val="center"/>
          </w:tcPr>
          <w:p>
            <w:pPr>
              <w:spacing w:line="300" w:lineRule="exact"/>
              <w:jc w:val="right"/>
              <w:rPr>
                <w:rFonts w:ascii="宋体" w:hAnsi="宋体" w:cs="宋体"/>
                <w:b/>
                <w:sz w:val="18"/>
                <w:szCs w:val="18"/>
              </w:rPr>
            </w:pPr>
          </w:p>
        </w:tc>
        <w:tc>
          <w:tcPr>
            <w:tcW w:w="596" w:type="dxa"/>
            <w:vAlign w:val="center"/>
          </w:tcPr>
          <w:p>
            <w:pPr>
              <w:spacing w:line="300" w:lineRule="exact"/>
              <w:rPr>
                <w:rFonts w:ascii="宋体" w:hAnsi="宋体" w:cs="宋体"/>
                <w:b/>
                <w:sz w:val="18"/>
                <w:szCs w:val="18"/>
              </w:rPr>
            </w:pPr>
          </w:p>
        </w:tc>
        <w:tc>
          <w:tcPr>
            <w:tcW w:w="979" w:type="dxa"/>
            <w:vAlign w:val="center"/>
          </w:tcPr>
          <w:p>
            <w:pPr>
              <w:spacing w:line="300" w:lineRule="exact"/>
              <w:rPr>
                <w:rFonts w:ascii="宋体" w:hAnsi="宋体" w:cs="宋体"/>
                <w:b/>
                <w:sz w:val="18"/>
                <w:szCs w:val="18"/>
              </w:rPr>
            </w:pPr>
          </w:p>
        </w:tc>
        <w:tc>
          <w:tcPr>
            <w:tcW w:w="480" w:type="dxa"/>
            <w:vAlign w:val="center"/>
          </w:tcPr>
          <w:p>
            <w:pPr>
              <w:spacing w:line="300" w:lineRule="exact"/>
              <w:jc w:val="center"/>
              <w:rPr>
                <w:rFonts w:ascii="宋体" w:hAnsi="宋体" w:cs="宋体"/>
                <w:b/>
                <w:sz w:val="18"/>
                <w:szCs w:val="18"/>
              </w:rPr>
            </w:pPr>
          </w:p>
        </w:tc>
        <w:tc>
          <w:tcPr>
            <w:tcW w:w="322" w:type="dxa"/>
            <w:vAlign w:val="center"/>
          </w:tcPr>
          <w:p>
            <w:pPr>
              <w:spacing w:line="300" w:lineRule="exact"/>
              <w:jc w:val="right"/>
              <w:rPr>
                <w:rFonts w:ascii="宋体" w:hAnsi="宋体" w:cs="宋体"/>
                <w:b/>
                <w:sz w:val="18"/>
                <w:szCs w:val="18"/>
              </w:rPr>
            </w:pPr>
          </w:p>
        </w:tc>
        <w:tc>
          <w:tcPr>
            <w:tcW w:w="419" w:type="dxa"/>
            <w:vAlign w:val="center"/>
          </w:tcPr>
          <w:p>
            <w:pPr>
              <w:spacing w:line="300" w:lineRule="exact"/>
              <w:jc w:val="right"/>
              <w:rPr>
                <w:rFonts w:ascii="宋体" w:hAnsi="宋体" w:cs="宋体"/>
                <w:b/>
                <w:sz w:val="18"/>
                <w:szCs w:val="18"/>
              </w:rPr>
            </w:pPr>
          </w:p>
        </w:tc>
        <w:tc>
          <w:tcPr>
            <w:tcW w:w="542" w:type="dxa"/>
            <w:vAlign w:val="center"/>
          </w:tcPr>
          <w:p>
            <w:pPr>
              <w:spacing w:line="300" w:lineRule="exact"/>
              <w:jc w:val="right"/>
              <w:rPr>
                <w:rFonts w:ascii="宋体" w:hAnsi="宋体" w:cs="宋体"/>
                <w:b/>
                <w:sz w:val="18"/>
                <w:szCs w:val="18"/>
              </w:rPr>
            </w:pPr>
          </w:p>
        </w:tc>
        <w:tc>
          <w:tcPr>
            <w:tcW w:w="822" w:type="dxa"/>
            <w:vAlign w:val="center"/>
          </w:tcPr>
          <w:p>
            <w:pPr>
              <w:spacing w:line="300" w:lineRule="exact"/>
              <w:rPr>
                <w:rFonts w:ascii="宋体" w:hAnsi="宋体" w:cs="宋体"/>
                <w:b/>
                <w:sz w:val="18"/>
                <w:szCs w:val="18"/>
              </w:rPr>
            </w:pPr>
          </w:p>
        </w:tc>
        <w:tc>
          <w:tcPr>
            <w:tcW w:w="679" w:type="dxa"/>
            <w:vAlign w:val="center"/>
          </w:tcPr>
          <w:p>
            <w:pPr>
              <w:spacing w:line="300" w:lineRule="exact"/>
              <w:jc w:val="right"/>
              <w:rPr>
                <w:rFonts w:ascii="宋体" w:hAnsi="宋体" w:cs="宋体"/>
                <w:b/>
                <w:sz w:val="18"/>
                <w:szCs w:val="18"/>
              </w:rPr>
            </w:pPr>
          </w:p>
        </w:tc>
        <w:tc>
          <w:tcPr>
            <w:tcW w:w="640" w:type="dxa"/>
            <w:vAlign w:val="center"/>
          </w:tcPr>
          <w:p>
            <w:pPr>
              <w:spacing w:line="300" w:lineRule="exact"/>
              <w:jc w:val="right"/>
              <w:rPr>
                <w:rFonts w:ascii="宋体" w:hAnsi="宋体" w:cs="宋体"/>
                <w:b/>
                <w:sz w:val="18"/>
                <w:szCs w:val="18"/>
              </w:rPr>
            </w:pPr>
          </w:p>
        </w:tc>
        <w:tc>
          <w:tcPr>
            <w:tcW w:w="1080" w:type="dxa"/>
            <w:vAlign w:val="center"/>
          </w:tcPr>
          <w:p>
            <w:pPr>
              <w:spacing w:line="300" w:lineRule="exact"/>
              <w:jc w:val="right"/>
              <w:rPr>
                <w:rFonts w:ascii="宋体" w:hAnsi="宋体" w:cs="宋体"/>
                <w:b/>
                <w:sz w:val="18"/>
                <w:szCs w:val="18"/>
              </w:rPr>
            </w:pPr>
          </w:p>
        </w:tc>
        <w:tc>
          <w:tcPr>
            <w:tcW w:w="1106" w:type="dxa"/>
            <w:vAlign w:val="center"/>
          </w:tcPr>
          <w:p>
            <w:pPr>
              <w:spacing w:line="3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300" w:lineRule="exact"/>
              <w:rPr>
                <w:rFonts w:ascii="宋体" w:hAnsi="宋体" w:cs="宋体"/>
                <w:sz w:val="18"/>
                <w:szCs w:val="18"/>
              </w:rPr>
            </w:pPr>
          </w:p>
        </w:tc>
        <w:tc>
          <w:tcPr>
            <w:tcW w:w="687" w:type="dxa"/>
            <w:vAlign w:val="center"/>
          </w:tcPr>
          <w:p>
            <w:pPr>
              <w:spacing w:line="300" w:lineRule="exact"/>
              <w:jc w:val="right"/>
              <w:rPr>
                <w:rFonts w:ascii="宋体" w:hAnsi="宋体" w:cs="宋体"/>
                <w:sz w:val="18"/>
                <w:szCs w:val="18"/>
              </w:rPr>
            </w:pPr>
          </w:p>
        </w:tc>
        <w:tc>
          <w:tcPr>
            <w:tcW w:w="596" w:type="dxa"/>
            <w:vAlign w:val="center"/>
          </w:tcPr>
          <w:p>
            <w:pPr>
              <w:spacing w:line="300" w:lineRule="exact"/>
              <w:rPr>
                <w:rFonts w:ascii="宋体" w:hAnsi="宋体" w:cs="宋体"/>
                <w:sz w:val="18"/>
                <w:szCs w:val="18"/>
              </w:rPr>
            </w:pPr>
          </w:p>
        </w:tc>
        <w:tc>
          <w:tcPr>
            <w:tcW w:w="979" w:type="dxa"/>
            <w:vAlign w:val="center"/>
          </w:tcPr>
          <w:p>
            <w:pPr>
              <w:spacing w:line="300" w:lineRule="exact"/>
              <w:rPr>
                <w:rFonts w:ascii="宋体" w:hAnsi="宋体" w:cs="宋体"/>
                <w:sz w:val="18"/>
                <w:szCs w:val="18"/>
              </w:rPr>
            </w:pPr>
          </w:p>
        </w:tc>
        <w:tc>
          <w:tcPr>
            <w:tcW w:w="480" w:type="dxa"/>
            <w:vAlign w:val="center"/>
          </w:tcPr>
          <w:p>
            <w:pPr>
              <w:spacing w:line="300" w:lineRule="exact"/>
              <w:jc w:val="center"/>
              <w:rPr>
                <w:rFonts w:ascii="宋体" w:hAnsi="宋体" w:cs="宋体"/>
                <w:sz w:val="18"/>
                <w:szCs w:val="18"/>
              </w:rPr>
            </w:pPr>
          </w:p>
        </w:tc>
        <w:tc>
          <w:tcPr>
            <w:tcW w:w="322" w:type="dxa"/>
            <w:vAlign w:val="center"/>
          </w:tcPr>
          <w:p>
            <w:pPr>
              <w:spacing w:line="300" w:lineRule="exact"/>
              <w:jc w:val="right"/>
              <w:rPr>
                <w:rFonts w:ascii="宋体" w:hAnsi="宋体" w:cs="宋体"/>
                <w:sz w:val="18"/>
                <w:szCs w:val="18"/>
              </w:rPr>
            </w:pPr>
          </w:p>
        </w:tc>
        <w:tc>
          <w:tcPr>
            <w:tcW w:w="419" w:type="dxa"/>
            <w:vAlign w:val="center"/>
          </w:tcPr>
          <w:p>
            <w:pPr>
              <w:spacing w:line="300" w:lineRule="exact"/>
              <w:jc w:val="right"/>
              <w:rPr>
                <w:rFonts w:ascii="宋体" w:hAnsi="宋体" w:cs="宋体"/>
                <w:sz w:val="18"/>
                <w:szCs w:val="18"/>
              </w:rPr>
            </w:pPr>
          </w:p>
        </w:tc>
        <w:tc>
          <w:tcPr>
            <w:tcW w:w="542" w:type="dxa"/>
            <w:vAlign w:val="center"/>
          </w:tcPr>
          <w:p>
            <w:pPr>
              <w:spacing w:line="300" w:lineRule="exact"/>
              <w:jc w:val="right"/>
              <w:rPr>
                <w:rFonts w:ascii="宋体" w:hAnsi="宋体" w:cs="宋体"/>
                <w:sz w:val="18"/>
                <w:szCs w:val="18"/>
              </w:rPr>
            </w:pPr>
          </w:p>
        </w:tc>
        <w:tc>
          <w:tcPr>
            <w:tcW w:w="822" w:type="dxa"/>
            <w:vAlign w:val="center"/>
          </w:tcPr>
          <w:p>
            <w:pPr>
              <w:spacing w:line="300" w:lineRule="exact"/>
              <w:jc w:val="right"/>
              <w:rPr>
                <w:rFonts w:ascii="宋体" w:hAnsi="宋体" w:cs="宋体"/>
                <w:sz w:val="18"/>
                <w:szCs w:val="18"/>
              </w:rPr>
            </w:pPr>
          </w:p>
        </w:tc>
        <w:tc>
          <w:tcPr>
            <w:tcW w:w="679" w:type="dxa"/>
            <w:vAlign w:val="center"/>
          </w:tcPr>
          <w:p>
            <w:pPr>
              <w:spacing w:line="300" w:lineRule="exact"/>
              <w:jc w:val="right"/>
              <w:rPr>
                <w:rFonts w:ascii="宋体" w:hAnsi="宋体" w:cs="宋体"/>
                <w:sz w:val="18"/>
                <w:szCs w:val="18"/>
              </w:rPr>
            </w:pPr>
          </w:p>
        </w:tc>
        <w:tc>
          <w:tcPr>
            <w:tcW w:w="640" w:type="dxa"/>
            <w:vAlign w:val="center"/>
          </w:tcPr>
          <w:p>
            <w:pPr>
              <w:spacing w:line="300" w:lineRule="exact"/>
              <w:jc w:val="right"/>
              <w:rPr>
                <w:rFonts w:ascii="宋体" w:hAnsi="宋体" w:cs="宋体"/>
                <w:sz w:val="18"/>
                <w:szCs w:val="18"/>
              </w:rPr>
            </w:pPr>
          </w:p>
        </w:tc>
        <w:tc>
          <w:tcPr>
            <w:tcW w:w="1080" w:type="dxa"/>
            <w:vAlign w:val="center"/>
          </w:tcPr>
          <w:p>
            <w:pPr>
              <w:spacing w:line="300" w:lineRule="exact"/>
              <w:jc w:val="right"/>
              <w:rPr>
                <w:rFonts w:ascii="宋体" w:hAnsi="宋体" w:cs="宋体"/>
                <w:sz w:val="18"/>
                <w:szCs w:val="18"/>
              </w:rPr>
            </w:pPr>
          </w:p>
        </w:tc>
        <w:tc>
          <w:tcPr>
            <w:tcW w:w="1106" w:type="dxa"/>
            <w:vAlign w:val="center"/>
          </w:tcPr>
          <w:p>
            <w:pPr>
              <w:spacing w:line="300" w:lineRule="exact"/>
              <w:jc w:val="right"/>
              <w:rPr>
                <w:rFonts w:ascii="宋体" w:hAnsi="宋体" w:cs="宋体"/>
                <w:sz w:val="18"/>
                <w:szCs w:val="18"/>
              </w:rPr>
            </w:pPr>
          </w:p>
        </w:tc>
      </w:tr>
    </w:tbl>
    <w:p>
      <w:pPr>
        <w:rPr>
          <w:rFonts w:ascii="仿宋" w:hAnsi="仿宋" w:eastAsia="仿宋"/>
          <w:sz w:val="32"/>
          <w:szCs w:val="32"/>
        </w:rPr>
      </w:pPr>
      <w:r>
        <w:rPr>
          <w:rFonts w:hint="eastAsia" w:ascii="楷体_GB2312" w:hAnsi="楷体_GB2312" w:eastAsia="楷体_GB2312" w:cs="楷体_GB2312"/>
          <w:b/>
          <w:bCs/>
          <w:sz w:val="28"/>
          <w:szCs w:val="28"/>
        </w:rPr>
        <w:t>注：无政府采购预算，空表列示。</w:t>
      </w:r>
    </w:p>
    <w:p>
      <w:pPr>
        <w:spacing w:line="500" w:lineRule="exact"/>
        <w:rPr>
          <w:rFonts w:ascii="黑体" w:hAnsi="黑体" w:eastAsia="黑体"/>
          <w:sz w:val="32"/>
          <w:szCs w:val="32"/>
        </w:rPr>
      </w:pPr>
    </w:p>
    <w:p>
      <w:pPr>
        <w:spacing w:line="500" w:lineRule="exact"/>
        <w:rPr>
          <w:rFonts w:ascii="黑体" w:hAnsi="黑体" w:eastAsia="黑体"/>
          <w:sz w:val="32"/>
          <w:szCs w:val="32"/>
        </w:rPr>
      </w:pPr>
      <w:r>
        <w:rPr>
          <w:rFonts w:hint="eastAsia" w:ascii="黑体" w:hAnsi="黑体" w:eastAsia="黑体"/>
          <w:sz w:val="32"/>
          <w:szCs w:val="32"/>
        </w:rPr>
        <w:t>七、国有资产信息情况</w:t>
      </w:r>
    </w:p>
    <w:p>
      <w:pPr>
        <w:spacing w:line="500" w:lineRule="exact"/>
        <w:ind w:firstLine="627" w:firstLineChars="196"/>
        <w:rPr>
          <w:rFonts w:ascii="仿宋" w:hAnsi="仿宋" w:eastAsia="仿宋"/>
          <w:sz w:val="32"/>
          <w:szCs w:val="32"/>
        </w:rPr>
      </w:pPr>
      <w:r>
        <w:rPr>
          <w:rFonts w:hint="eastAsia" w:ascii="仿宋" w:hAnsi="仿宋" w:eastAsia="仿宋"/>
          <w:sz w:val="32"/>
          <w:szCs w:val="32"/>
        </w:rPr>
        <w:t>本部门2020年末固定资金总额360.4万元，主要包括：车辆占有量6辆，价值87.4万元；单价在20万元以上的设备173.4万元（殡馆所火化炉尾气处理机1台、祭品焚烧炉1台），其它固定资产99.6万元。</w:t>
      </w:r>
      <w:r>
        <w:rPr>
          <w:rFonts w:hint="eastAsia" w:ascii="仿宋" w:hAnsi="仿宋" w:eastAsia="仿宋" w:cs="仿宋"/>
          <w:sz w:val="32"/>
          <w:szCs w:val="32"/>
        </w:rPr>
        <w:t>我部门2021年度无固定资产购置计划。</w:t>
      </w:r>
    </w:p>
    <w:p>
      <w:pPr>
        <w:pStyle w:val="9"/>
        <w:shd w:val="clear" w:color="auto" w:fill="FFFFFF"/>
        <w:spacing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9"/>
        <w:shd w:val="clear" w:color="auto" w:fill="FFFFFF"/>
        <w:spacing w:line="520" w:lineRule="exact"/>
        <w:ind w:firstLine="64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截止时间：2020年12月31日</w:t>
      </w:r>
      <w:r>
        <w:rPr>
          <w:rFonts w:hint="eastAsia" w:ascii="仿宋" w:hAnsi="仿宋" w:eastAsia="仿宋" w:cs="仿宋"/>
          <w:sz w:val="32"/>
          <w:szCs w:val="32"/>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gridCol w:w="1020"/>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b/>
                <w:bCs/>
                <w:color w:val="000000"/>
                <w:sz w:val="32"/>
                <w:szCs w:val="32"/>
              </w:rPr>
              <w:t>项　　目</w:t>
            </w:r>
          </w:p>
        </w:tc>
        <w:tc>
          <w:tcPr>
            <w:tcW w:w="1020" w:type="dxa"/>
            <w:vAlign w:val="center"/>
          </w:tcPr>
          <w:p>
            <w:pPr>
              <w:jc w:val="center"/>
              <w:rPr>
                <w:rFonts w:ascii="仿宋" w:hAnsi="仿宋" w:eastAsia="仿宋" w:cs="仿宋"/>
                <w:sz w:val="32"/>
                <w:szCs w:val="32"/>
              </w:rPr>
            </w:pPr>
            <w:r>
              <w:rPr>
                <w:rFonts w:hint="eastAsia" w:ascii="仿宋" w:hAnsi="仿宋" w:eastAsia="仿宋" w:cs="仿宋"/>
                <w:b/>
                <w:bCs/>
                <w:color w:val="000000"/>
                <w:sz w:val="32"/>
                <w:szCs w:val="32"/>
              </w:rPr>
              <w:t>数量</w:t>
            </w:r>
          </w:p>
        </w:tc>
        <w:tc>
          <w:tcPr>
            <w:tcW w:w="3858" w:type="dxa"/>
            <w:vAlign w:val="center"/>
          </w:tcPr>
          <w:p>
            <w:pPr>
              <w:jc w:val="center"/>
              <w:rPr>
                <w:rFonts w:ascii="仿宋" w:hAnsi="仿宋" w:eastAsia="仿宋" w:cs="仿宋"/>
                <w:sz w:val="32"/>
                <w:szCs w:val="32"/>
              </w:rPr>
            </w:pPr>
            <w:r>
              <w:rPr>
                <w:rFonts w:hint="eastAsia" w:ascii="仿宋" w:hAnsi="仿宋" w:eastAsia="仿宋" w:cs="仿宋"/>
                <w:b/>
                <w:bCs/>
                <w:color w:val="00000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sz w:val="32"/>
                <w:szCs w:val="32"/>
              </w:rPr>
              <w:t>3000</w:t>
            </w:r>
            <w:r>
              <w:rPr>
                <w:rFonts w:hint="eastAsia" w:ascii="仿宋" w:hAnsi="仿宋" w:eastAsia="仿宋" w:cs="仿宋"/>
                <w:b/>
                <w:bCs/>
                <w:color w:val="000000"/>
                <w:sz w:val="32"/>
                <w:szCs w:val="32"/>
              </w:rPr>
              <w:t>固定资产总额</w:t>
            </w:r>
          </w:p>
        </w:tc>
        <w:tc>
          <w:tcPr>
            <w:tcW w:w="102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3858" w:type="dxa"/>
            <w:vAlign w:val="center"/>
          </w:tcPr>
          <w:p>
            <w:pPr>
              <w:jc w:val="center"/>
              <w:rPr>
                <w:rFonts w:ascii="仿宋" w:hAnsi="仿宋" w:eastAsia="仿宋" w:cs="仿宋"/>
                <w:sz w:val="32"/>
                <w:szCs w:val="32"/>
              </w:rPr>
            </w:pPr>
            <w:r>
              <w:rPr>
                <w:rFonts w:hint="eastAsia" w:ascii="仿宋" w:hAnsi="仿宋" w:eastAsia="仿宋" w:cs="仿宋"/>
                <w:b/>
                <w:color w:val="000000"/>
                <w:sz w:val="32"/>
                <w:szCs w:val="32"/>
              </w:rPr>
              <w:t>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1、房屋（平方米）</w:t>
            </w:r>
          </w:p>
        </w:tc>
        <w:tc>
          <w:tcPr>
            <w:tcW w:w="1020" w:type="dxa"/>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3858" w:type="dxa"/>
            <w:vAlign w:val="center"/>
          </w:tcPr>
          <w:p>
            <w:pPr>
              <w:jc w:val="center"/>
              <w:rPr>
                <w:rFonts w:ascii="仿宋" w:hAnsi="仿宋" w:eastAsia="仿宋" w:cs="仿宋"/>
                <w:sz w:val="32"/>
                <w:szCs w:val="32"/>
              </w:rPr>
            </w:pPr>
            <w:r>
              <w:rPr>
                <w:rFonts w:hint="eastAsia" w:ascii="仿宋" w:hAnsi="仿宋" w:eastAsia="仿宋" w:cs="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2、车辆（台、辆）</w:t>
            </w:r>
          </w:p>
        </w:tc>
        <w:tc>
          <w:tcPr>
            <w:tcW w:w="102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6</w:t>
            </w:r>
          </w:p>
        </w:tc>
        <w:tc>
          <w:tcPr>
            <w:tcW w:w="3858"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 xml:space="preserve">  3、单价在20万元以上的设备</w:t>
            </w:r>
          </w:p>
        </w:tc>
        <w:tc>
          <w:tcPr>
            <w:tcW w:w="102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3858" w:type="dxa"/>
            <w:vAlign w:val="center"/>
          </w:tcPr>
          <w:p>
            <w:pPr>
              <w:jc w:val="center"/>
              <w:rPr>
                <w:rFonts w:ascii="仿宋" w:hAnsi="仿宋" w:eastAsia="仿宋" w:cs="仿宋"/>
                <w:sz w:val="32"/>
                <w:szCs w:val="32"/>
              </w:rPr>
            </w:pPr>
            <w:r>
              <w:rPr>
                <w:rFonts w:hint="eastAsia" w:ascii="仿宋" w:hAnsi="仿宋" w:eastAsia="仿宋" w:cs="仿宋"/>
                <w:sz w:val="32"/>
                <w:szCs w:val="32"/>
              </w:rPr>
              <w:t>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0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4、其他固定资产</w:t>
            </w:r>
          </w:p>
        </w:tc>
        <w:tc>
          <w:tcPr>
            <w:tcW w:w="1020" w:type="dxa"/>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3858" w:type="dxa"/>
            <w:vAlign w:val="center"/>
          </w:tcPr>
          <w:p>
            <w:pPr>
              <w:jc w:val="center"/>
              <w:rPr>
                <w:rFonts w:ascii="仿宋" w:hAnsi="仿宋" w:eastAsia="仿宋" w:cs="仿宋"/>
                <w:sz w:val="32"/>
                <w:szCs w:val="32"/>
              </w:rPr>
            </w:pPr>
            <w:r>
              <w:rPr>
                <w:rFonts w:hint="eastAsia" w:ascii="仿宋" w:hAnsi="仿宋" w:eastAsia="仿宋" w:cs="仿宋"/>
                <w:sz w:val="32"/>
                <w:szCs w:val="32"/>
              </w:rPr>
              <w:t>99.6</w:t>
            </w:r>
          </w:p>
        </w:tc>
      </w:tr>
    </w:tbl>
    <w:p>
      <w:pPr>
        <w:spacing w:line="500" w:lineRule="exact"/>
        <w:ind w:firstLine="643" w:firstLineChars="200"/>
        <w:rPr>
          <w:rFonts w:ascii="黑体" w:hAnsi="黑体" w:eastAsia="黑体" w:cs="黑体"/>
          <w:b/>
          <w:sz w:val="32"/>
          <w:szCs w:val="32"/>
        </w:rPr>
      </w:pPr>
    </w:p>
    <w:p>
      <w:pPr>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八、专业名词解释</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1、一般公共预算财政拨款收入：县级财政当年拨付的资金。</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2、其他收入：指除上述财政拨款收入以外的收入。主要是存款利息收入。</w:t>
      </w:r>
    </w:p>
    <w:p>
      <w:pPr>
        <w:pStyle w:val="9"/>
        <w:widowControl/>
        <w:spacing w:line="500" w:lineRule="exact"/>
        <w:ind w:firstLine="576" w:firstLineChars="180"/>
        <w:rPr>
          <w:rFonts w:ascii="仿宋" w:hAnsi="仿宋" w:eastAsia="仿宋" w:cs="仿宋"/>
          <w:sz w:val="32"/>
          <w:szCs w:val="32"/>
        </w:rPr>
      </w:pPr>
      <w:r>
        <w:rPr>
          <w:rFonts w:hint="eastAsia" w:ascii="仿宋" w:hAnsi="仿宋" w:eastAsia="仿宋" w:cs="仿宋"/>
          <w:kern w:val="2"/>
          <w:sz w:val="32"/>
          <w:szCs w:val="32"/>
        </w:rPr>
        <w:t>3、基本支出：指为保障机构正常运转、完成日常工作任务而发生的</w:t>
      </w:r>
      <w:r>
        <w:rPr>
          <w:rFonts w:hint="eastAsia" w:ascii="仿宋" w:hAnsi="仿宋" w:eastAsia="仿宋" w:cs="仿宋"/>
          <w:sz w:val="32"/>
          <w:szCs w:val="32"/>
        </w:rPr>
        <w:t>人员支出和公用支出。</w:t>
      </w:r>
    </w:p>
    <w:p>
      <w:pPr>
        <w:pStyle w:val="9"/>
        <w:widowControl/>
        <w:spacing w:line="500" w:lineRule="exact"/>
        <w:rPr>
          <w:rFonts w:ascii="仿宋" w:hAnsi="仿宋" w:eastAsia="仿宋" w:cs="仿宋"/>
          <w:sz w:val="32"/>
          <w:szCs w:val="32"/>
        </w:rPr>
      </w:pPr>
      <w:r>
        <w:rPr>
          <w:rFonts w:hint="eastAsia" w:ascii="仿宋" w:hAnsi="仿宋" w:eastAsia="仿宋" w:cs="仿宋"/>
          <w:kern w:val="2"/>
          <w:sz w:val="32"/>
          <w:szCs w:val="32"/>
        </w:rPr>
        <w:t xml:space="preserve">    4、项目支出：指在基本支出之外为完成特定行政任务和事业发展</w:t>
      </w:r>
      <w:r>
        <w:rPr>
          <w:rFonts w:hint="eastAsia" w:ascii="仿宋" w:hAnsi="仿宋" w:eastAsia="仿宋" w:cs="仿宋"/>
          <w:sz w:val="32"/>
          <w:szCs w:val="32"/>
        </w:rPr>
        <w:t>目标所发生的支出。</w:t>
      </w:r>
    </w:p>
    <w:p>
      <w:pPr>
        <w:pStyle w:val="9"/>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我部门无其他需要说明的事项</w:t>
      </w:r>
      <w:r>
        <w:rPr>
          <w:rFonts w:hint="eastAsia" w:ascii="仿宋" w:hAnsi="仿宋" w:eastAsia="仿宋" w:cs="仿宋"/>
          <w:sz w:val="32"/>
          <w:szCs w:val="32"/>
        </w:rPr>
        <w:t>。</w:t>
      </w:r>
    </w:p>
    <w:p>
      <w:pPr>
        <w:ind w:right="-2026" w:rightChars="-844"/>
        <w:rPr>
          <w:rFonts w:ascii="仿宋" w:hAnsi="仿宋" w:eastAsia="仿宋"/>
          <w:sz w:val="32"/>
          <w:szCs w:val="32"/>
        </w:rPr>
      </w:pPr>
      <w:r>
        <w:rPr>
          <w:rFonts w:hint="eastAsia" w:ascii="仿宋" w:hAnsi="仿宋" w:eastAsia="仿宋"/>
          <w:sz w:val="32"/>
          <w:szCs w:val="32"/>
        </w:rPr>
        <w:t xml:space="preserve">                                  </w:t>
      </w:r>
    </w:p>
    <w:p>
      <w:pPr>
        <w:spacing w:line="500" w:lineRule="exact"/>
        <w:ind w:firstLine="560"/>
        <w:rPr>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5</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60</w:t>
                </w:r>
                <w:r>
                  <w:rPr>
                    <w:rFonts w:hint="eastAsia" w:eastAsia="宋体"/>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4"/>
      </w:rPr>
    </w:pPr>
    <w:r>
      <w:fldChar w:fldCharType="begin"/>
    </w:r>
    <w:r>
      <w:rPr>
        <w:rStyle w:val="14"/>
      </w:rPr>
      <w:instrText xml:space="preserve">PAGE  </w:instrText>
    </w:r>
    <w:r>
      <w:fldChar w:fldCharType="separate"/>
    </w:r>
    <w:r>
      <w:rPr>
        <w:rStyle w:val="14"/>
      </w:rPr>
      <w:t>59</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DhlNzY1OGY2YjIxNmMxZmEyNGJkZTMwOGY2YjkwOWEifQ=="/>
  </w:docVars>
  <w:rsids>
    <w:rsidRoot w:val="00781D3A"/>
    <w:rsid w:val="001C0AE6"/>
    <w:rsid w:val="001D7814"/>
    <w:rsid w:val="00435433"/>
    <w:rsid w:val="00472F0F"/>
    <w:rsid w:val="004F686E"/>
    <w:rsid w:val="004F7814"/>
    <w:rsid w:val="006B610F"/>
    <w:rsid w:val="00781D3A"/>
    <w:rsid w:val="00791CF2"/>
    <w:rsid w:val="00821C63"/>
    <w:rsid w:val="008236D4"/>
    <w:rsid w:val="009C206B"/>
    <w:rsid w:val="00A560CA"/>
    <w:rsid w:val="00B92765"/>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E621EFA"/>
    <w:rsid w:val="11685F8F"/>
    <w:rsid w:val="1F001077"/>
    <w:rsid w:val="22A43D77"/>
    <w:rsid w:val="2E881555"/>
    <w:rsid w:val="37CF26CA"/>
    <w:rsid w:val="48BA73C9"/>
    <w:rsid w:val="4A6E08DD"/>
    <w:rsid w:val="5A5602B7"/>
    <w:rsid w:val="5B01542B"/>
    <w:rsid w:val="618868A7"/>
    <w:rsid w:val="61A84515"/>
    <w:rsid w:val="61A9130D"/>
    <w:rsid w:val="773B5FE0"/>
    <w:rsid w:val="7DBA3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40"/>
    <w:unhideWhenUsed/>
    <w:qFormat/>
    <w:uiPriority w:val="99"/>
    <w:pPr>
      <w:tabs>
        <w:tab w:val="center" w:pos="4153"/>
        <w:tab w:val="right" w:pos="8306"/>
      </w:tabs>
      <w:snapToGrid w:val="0"/>
    </w:pPr>
    <w:rPr>
      <w:sz w:val="18"/>
      <w:szCs w:val="18"/>
    </w:rPr>
  </w:style>
  <w:style w:type="paragraph" w:styleId="4">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link w:val="41"/>
    <w:unhideWhenUsed/>
    <w:qFormat/>
    <w:uiPriority w:val="99"/>
    <w:pPr>
      <w:widowControl w:val="0"/>
      <w:snapToGrid w:val="0"/>
    </w:pPr>
    <w:rPr>
      <w:rFonts w:ascii="Calibri" w:hAnsi="Calibri" w:eastAsia="宋体"/>
      <w:kern w:val="2"/>
      <w:sz w:val="18"/>
      <w:szCs w:val="18"/>
      <w:lang w:eastAsia="zh-CN"/>
    </w:rPr>
  </w:style>
  <w:style w:type="paragraph" w:styleId="8">
    <w:name w:val="toc 2"/>
    <w:basedOn w:val="1"/>
    <w:next w:val="1"/>
    <w:qFormat/>
    <w:uiPriority w:val="0"/>
    <w:pPr>
      <w:ind w:left="240"/>
    </w:pPr>
  </w:style>
  <w:style w:type="paragraph" w:styleId="9">
    <w:name w:val="Normal (Web)"/>
    <w:basedOn w:val="1"/>
    <w:qFormat/>
    <w:uiPriority w:val="0"/>
    <w:pPr>
      <w:widowControl w:val="0"/>
    </w:pPr>
    <w:rPr>
      <w:rFonts w:ascii="Calibri" w:hAnsi="Calibri" w:eastAsia="宋体"/>
      <w:lang w:eastAsia="zh-CN"/>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unhideWhenUsed/>
    <w:qFormat/>
    <w:uiPriority w:val="99"/>
  </w:style>
  <w:style w:type="character" w:styleId="15">
    <w:name w:val="Hyperlink"/>
    <w:basedOn w:val="12"/>
    <w:qFormat/>
    <w:uiPriority w:val="99"/>
    <w:rPr>
      <w:color w:val="0000FF"/>
      <w:u w:val="single"/>
    </w:rPr>
  </w:style>
  <w:style w:type="character" w:styleId="16">
    <w:name w:val="footnote reference"/>
    <w:basedOn w:val="12"/>
    <w:unhideWhenUsed/>
    <w:qFormat/>
    <w:uiPriority w:val="99"/>
    <w:rPr>
      <w:vertAlign w:val="superscript"/>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9">
    <w:name w:val="页眉 Char"/>
    <w:basedOn w:val="12"/>
    <w:link w:val="4"/>
    <w:qFormat/>
    <w:uiPriority w:val="99"/>
    <w:rPr>
      <w:rFonts w:eastAsia="Times New Roman"/>
      <w:sz w:val="18"/>
      <w:szCs w:val="18"/>
      <w:lang w:eastAsia="uk-UA"/>
    </w:rPr>
  </w:style>
  <w:style w:type="character" w:customStyle="1" w:styleId="40">
    <w:name w:val="页脚 Char"/>
    <w:basedOn w:val="12"/>
    <w:link w:val="3"/>
    <w:qFormat/>
    <w:uiPriority w:val="99"/>
    <w:rPr>
      <w:rFonts w:eastAsia="Times New Roman"/>
      <w:sz w:val="18"/>
      <w:szCs w:val="18"/>
      <w:lang w:eastAsia="uk-UA"/>
    </w:rPr>
  </w:style>
  <w:style w:type="character" w:customStyle="1" w:styleId="41">
    <w:name w:val="脚注文本 Char"/>
    <w:basedOn w:val="12"/>
    <w:link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E39FA8A-0D5E-4C72-88C2-A4A5C9D016A3}">
  <ds:schemaRefs/>
</ds:datastoreItem>
</file>

<file path=customXml/itemProps11.xml><?xml version="1.0" encoding="utf-8"?>
<ds:datastoreItem xmlns:ds="http://schemas.openxmlformats.org/officeDocument/2006/customXml" ds:itemID="{927546BB-28A9-4183-9889-130B2B46E760}">
  <ds:schemaRefs/>
</ds:datastoreItem>
</file>

<file path=customXml/itemProps12.xml><?xml version="1.0" encoding="utf-8"?>
<ds:datastoreItem xmlns:ds="http://schemas.openxmlformats.org/officeDocument/2006/customXml" ds:itemID="{4074F53B-6AA8-493B-96FF-0D7EB858216C}">
  <ds:schemaRefs/>
</ds:datastoreItem>
</file>

<file path=customXml/itemProps13.xml><?xml version="1.0" encoding="utf-8"?>
<ds:datastoreItem xmlns:ds="http://schemas.openxmlformats.org/officeDocument/2006/customXml" ds:itemID="{526561F4-D429-4474-A75E-30A59CF88000}">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8807E301-CE3E-48B0-8F1B-BE48F29E1736}">
  <ds:schemaRefs/>
</ds:datastoreItem>
</file>

<file path=customXml/itemProps16.xml><?xml version="1.0" encoding="utf-8"?>
<ds:datastoreItem xmlns:ds="http://schemas.openxmlformats.org/officeDocument/2006/customXml" ds:itemID="{B8034E79-3EC9-4FB4-8900-8DB566ED87F2}">
  <ds:schemaRefs/>
</ds:datastoreItem>
</file>

<file path=customXml/itemProps17.xml><?xml version="1.0" encoding="utf-8"?>
<ds:datastoreItem xmlns:ds="http://schemas.openxmlformats.org/officeDocument/2006/customXml" ds:itemID="{9B2DCA2B-261B-4FC5-92E2-74D6E9C53092}">
  <ds:schemaRefs/>
</ds:datastoreItem>
</file>

<file path=customXml/itemProps18.xml><?xml version="1.0" encoding="utf-8"?>
<ds:datastoreItem xmlns:ds="http://schemas.openxmlformats.org/officeDocument/2006/customXml" ds:itemID="{4D21B174-EFD5-481F-8023-ECD2C99EA6A5}">
  <ds:schemaRefs/>
</ds:datastoreItem>
</file>

<file path=customXml/itemProps19.xml><?xml version="1.0" encoding="utf-8"?>
<ds:datastoreItem xmlns:ds="http://schemas.openxmlformats.org/officeDocument/2006/customXml" ds:itemID="{B9E9C162-3959-4E09-8552-3788A3BCB94D}">
  <ds:schemaRefs/>
</ds:datastoreItem>
</file>

<file path=customXml/itemProps2.xml><?xml version="1.0" encoding="utf-8"?>
<ds:datastoreItem xmlns:ds="http://schemas.openxmlformats.org/officeDocument/2006/customXml" ds:itemID="{335668B4-649C-41E0-BC80-7D94ABF681A2}">
  <ds:schemaRefs/>
</ds:datastoreItem>
</file>

<file path=customXml/itemProps20.xml><?xml version="1.0" encoding="utf-8"?>
<ds:datastoreItem xmlns:ds="http://schemas.openxmlformats.org/officeDocument/2006/customXml" ds:itemID="{F2B0114A-1BF3-408C-A937-DBD594359DD7}">
  <ds:schemaRefs/>
</ds:datastoreItem>
</file>

<file path=customXml/itemProps21.xml><?xml version="1.0" encoding="utf-8"?>
<ds:datastoreItem xmlns:ds="http://schemas.openxmlformats.org/officeDocument/2006/customXml" ds:itemID="{DFFE41CD-7795-417D-8B3D-7B7E92ADCE28}">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89DA21E-0CDF-4E3D-84F6-1D172BF7F4B9}">
  <ds:schemaRefs/>
</ds:datastoreItem>
</file>

<file path=customXml/itemProps24.xml><?xml version="1.0" encoding="utf-8"?>
<ds:datastoreItem xmlns:ds="http://schemas.openxmlformats.org/officeDocument/2006/customXml" ds:itemID="{C864F1CC-9C8C-41E6-8FD8-C85E12A44050}">
  <ds:schemaRefs/>
</ds:datastoreItem>
</file>

<file path=customXml/itemProps25.xml><?xml version="1.0" encoding="utf-8"?>
<ds:datastoreItem xmlns:ds="http://schemas.openxmlformats.org/officeDocument/2006/customXml" ds:itemID="{DD8D39B1-E032-4B64-9020-66CD65ABCD3B}">
  <ds:schemaRefs/>
</ds:datastoreItem>
</file>

<file path=customXml/itemProps26.xml><?xml version="1.0" encoding="utf-8"?>
<ds:datastoreItem xmlns:ds="http://schemas.openxmlformats.org/officeDocument/2006/customXml" ds:itemID="{6A6DB8E6-5EDD-4508-B255-AD07BCA264C9}">
  <ds:schemaRefs/>
</ds:datastoreItem>
</file>

<file path=customXml/itemProps27.xml><?xml version="1.0" encoding="utf-8"?>
<ds:datastoreItem xmlns:ds="http://schemas.openxmlformats.org/officeDocument/2006/customXml" ds:itemID="{C66F43F9-0AB8-4241-BA67-D8AE60CF6C21}">
  <ds:schemaRefs/>
</ds:datastoreItem>
</file>

<file path=customXml/itemProps28.xml><?xml version="1.0" encoding="utf-8"?>
<ds:datastoreItem xmlns:ds="http://schemas.openxmlformats.org/officeDocument/2006/customXml" ds:itemID="{C593EC27-B89C-46A8-9CF9-3B5AE2B23C20}">
  <ds:schemaRefs/>
</ds:datastoreItem>
</file>

<file path=customXml/itemProps29.xml><?xml version="1.0" encoding="utf-8"?>
<ds:datastoreItem xmlns:ds="http://schemas.openxmlformats.org/officeDocument/2006/customXml" ds:itemID="{BAA19A8D-5B92-489B-B169-BAD91A103344}">
  <ds:schemaRefs/>
</ds:datastoreItem>
</file>

<file path=customXml/itemProps3.xml><?xml version="1.0" encoding="utf-8"?>
<ds:datastoreItem xmlns:ds="http://schemas.openxmlformats.org/officeDocument/2006/customXml" ds:itemID="{7DA1E944-597F-4D9A-ADC8-E3A5D62388E9}">
  <ds:schemaRefs/>
</ds:datastoreItem>
</file>

<file path=customXml/itemProps30.xml><?xml version="1.0" encoding="utf-8"?>
<ds:datastoreItem xmlns:ds="http://schemas.openxmlformats.org/officeDocument/2006/customXml" ds:itemID="{66CC41B6-D28D-4EED-B564-F0D3D013B8B1}">
  <ds:schemaRefs/>
</ds:datastoreItem>
</file>

<file path=customXml/itemProps31.xml><?xml version="1.0" encoding="utf-8"?>
<ds:datastoreItem xmlns:ds="http://schemas.openxmlformats.org/officeDocument/2006/customXml" ds:itemID="{BF249A3C-5046-4792-B1C7-86A45BD0F7B3}">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328F8FAA-F9B6-48DE-ABD9-772610F9386F}">
  <ds:schemaRefs/>
</ds:datastoreItem>
</file>

<file path=customXml/itemProps34.xml><?xml version="1.0" encoding="utf-8"?>
<ds:datastoreItem xmlns:ds="http://schemas.openxmlformats.org/officeDocument/2006/customXml" ds:itemID="{1C4E702D-2594-4689-8404-84AFD7E73E52}">
  <ds:schemaRefs/>
</ds:datastoreItem>
</file>

<file path=customXml/itemProps35.xml><?xml version="1.0" encoding="utf-8"?>
<ds:datastoreItem xmlns:ds="http://schemas.openxmlformats.org/officeDocument/2006/customXml" ds:itemID="{E56AD1C2-FB4D-4572-86C7-2470DBB3943B}">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6C8F0DDD-DA95-49D7-BEC9-54BED6023821}">
  <ds:schemaRefs/>
</ds:datastoreItem>
</file>

<file path=customXml/itemProps38.xml><?xml version="1.0" encoding="utf-8"?>
<ds:datastoreItem xmlns:ds="http://schemas.openxmlformats.org/officeDocument/2006/customXml" ds:itemID="{CB6B8C05-D526-4E72-8AB4-B1FB0F487636}">
  <ds:schemaRefs/>
</ds:datastoreItem>
</file>

<file path=customXml/itemProps39.xml><?xml version="1.0" encoding="utf-8"?>
<ds:datastoreItem xmlns:ds="http://schemas.openxmlformats.org/officeDocument/2006/customXml" ds:itemID="{C486A553-0F69-4945-B340-E49BCA32411A}">
  <ds:schemaRefs/>
</ds:datastoreItem>
</file>

<file path=customXml/itemProps4.xml><?xml version="1.0" encoding="utf-8"?>
<ds:datastoreItem xmlns:ds="http://schemas.openxmlformats.org/officeDocument/2006/customXml" ds:itemID="{5EFC46A3-03BA-4ECF-B65E-51918400F753}">
  <ds:schemaRefs/>
</ds:datastoreItem>
</file>

<file path=customXml/itemProps40.xml><?xml version="1.0" encoding="utf-8"?>
<ds:datastoreItem xmlns:ds="http://schemas.openxmlformats.org/officeDocument/2006/customXml" ds:itemID="{BC8B0B68-B399-4D6D-AE2B-284CCF1A5CB6}">
  <ds:schemaRefs/>
</ds:datastoreItem>
</file>

<file path=customXml/itemProps5.xml><?xml version="1.0" encoding="utf-8"?>
<ds:datastoreItem xmlns:ds="http://schemas.openxmlformats.org/officeDocument/2006/customXml" ds:itemID="{3300B263-A8B2-4577-A8B1-07D060066AC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55A60376-5F1A-4B58-BE70-A0B8CD8AC393}">
  <ds:schemaRefs/>
</ds:datastoreItem>
</file>

<file path=customXml/itemProps8.xml><?xml version="1.0" encoding="utf-8"?>
<ds:datastoreItem xmlns:ds="http://schemas.openxmlformats.org/officeDocument/2006/customXml" ds:itemID="{FF40C868-CD10-4565-BD6F-28B55B247751}">
  <ds:schemaRefs/>
</ds:datastoreItem>
</file>

<file path=customXml/itemProps9.xml><?xml version="1.0" encoding="utf-8"?>
<ds:datastoreItem xmlns:ds="http://schemas.openxmlformats.org/officeDocument/2006/customXml" ds:itemID="{240D75C0-5405-407A-9D88-451A6C5332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6475</Words>
  <Characters>36912</Characters>
  <Lines>307</Lines>
  <Paragraphs>86</Paragraphs>
  <TotalTime>4</TotalTime>
  <ScaleCrop>false</ScaleCrop>
  <LinksUpToDate>false</LinksUpToDate>
  <CharactersWithSpaces>43301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2023-11-16T07:15:44Z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