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黑体" w:asciiTheme="majorEastAsia" w:hAnsiTheme="majorEastAsia" w:eastAsiaTheme="majorEastAsia"/>
          <w:b/>
          <w:bCs/>
          <w:sz w:val="44"/>
          <w:szCs w:val="44"/>
        </w:rPr>
      </w:pPr>
      <w:r>
        <w:rPr>
          <w:rFonts w:hint="eastAsia" w:cs="黑体" w:asciiTheme="majorEastAsia" w:hAnsiTheme="majorEastAsia" w:eastAsiaTheme="majorEastAsia"/>
          <w:b/>
          <w:bCs/>
          <w:sz w:val="44"/>
          <w:szCs w:val="44"/>
        </w:rPr>
        <w:t>涞水县城市管理综合行政执法局</w:t>
      </w:r>
    </w:p>
    <w:p>
      <w:pPr>
        <w:spacing w:line="560" w:lineRule="exact"/>
        <w:jc w:val="center"/>
        <w:rPr>
          <w:rFonts w:cs="黑体" w:asciiTheme="majorEastAsia" w:hAnsiTheme="majorEastAsia" w:eastAsiaTheme="majorEastAsia"/>
          <w:b/>
          <w:bCs/>
          <w:sz w:val="44"/>
          <w:szCs w:val="44"/>
        </w:rPr>
      </w:pPr>
      <w:r>
        <w:rPr>
          <w:rFonts w:hint="eastAsia" w:cs="黑体" w:asciiTheme="majorEastAsia" w:hAnsiTheme="majorEastAsia" w:eastAsiaTheme="majorEastAsia"/>
          <w:b/>
          <w:bCs/>
          <w:sz w:val="44"/>
          <w:szCs w:val="44"/>
        </w:rPr>
        <w:t>2020年部门预算信息公开</w:t>
      </w:r>
    </w:p>
    <w:p>
      <w:pPr>
        <w:snapToGrid w:val="0"/>
        <w:spacing w:line="560" w:lineRule="exact"/>
        <w:ind w:firstLine="640" w:firstLineChars="200"/>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中华人民共和国</w:t>
      </w:r>
      <w:r>
        <w:rPr>
          <w:rFonts w:hint="eastAsia" w:ascii="仿宋_GB2312" w:hAnsi="仿宋_GB2312" w:eastAsia="仿宋_GB2312" w:cs="仿宋_GB2312"/>
          <w:sz w:val="32"/>
          <w:szCs w:val="32"/>
        </w:rPr>
        <w:t>预算法》、《地方预决算公开操作规程》和《河北省省级预算公开办法》规定，现将涞水县城市管理综合行政执法局2020年部门预算公开如下：</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3" w:firstLineChars="200"/>
        <w:textAlignment w:val="auto"/>
        <w:outlineLvl w:val="9"/>
        <w:rPr>
          <w:rFonts w:ascii="黑体" w:hAnsi="黑体" w:eastAsia="黑体" w:cs="黑体"/>
          <w:b/>
          <w:bCs/>
          <w:sz w:val="32"/>
          <w:szCs w:val="32"/>
        </w:rPr>
      </w:pPr>
      <w:r>
        <w:rPr>
          <w:rFonts w:hint="eastAsia" w:ascii="黑体" w:hAnsi="黑体" w:eastAsia="黑体" w:cs="黑体"/>
          <w:b/>
          <w:bCs/>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3" w:firstLineChars="200"/>
        <w:textAlignment w:val="auto"/>
        <w:outlineLvl w:val="9"/>
        <w:rPr>
          <w:rFonts w:ascii="黑体" w:hAnsi="黑体" w:eastAsia="黑体" w:cs="黑体"/>
          <w:b/>
          <w:bCs/>
          <w:sz w:val="32"/>
          <w:szCs w:val="32"/>
        </w:rPr>
      </w:pPr>
      <w:r>
        <w:rPr>
          <w:rFonts w:hint="eastAsia" w:ascii="黑体" w:hAnsi="黑体" w:eastAsia="黑体" w:cs="黑体"/>
          <w:b/>
          <w:bCs/>
          <w:sz w:val="32"/>
          <w:szCs w:val="32"/>
        </w:rPr>
        <w:t>基本职责</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（一）</w:t>
      </w:r>
      <w:r>
        <w:rPr>
          <w:rFonts w:hint="eastAsia" w:ascii="仿宋_GB2312" w:hAnsi="仿宋_GB2312" w:eastAsia="仿宋_GB2312" w:cs="仿宋_GB2312"/>
          <w:sz w:val="32"/>
          <w:szCs w:val="32"/>
        </w:rPr>
        <w:t>行使市容环境卫生管理方面法律、法规、规章制度的行政处罚权。强制拆除不符合城市容貌标准、环境卫生标准的建筑物或设施；</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（二）</w:t>
      </w:r>
      <w:r>
        <w:rPr>
          <w:rFonts w:hint="eastAsia" w:ascii="仿宋_GB2312" w:hAnsi="仿宋_GB2312" w:eastAsia="仿宋_GB2312" w:cs="仿宋_GB2312"/>
          <w:sz w:val="32"/>
          <w:szCs w:val="32"/>
        </w:rPr>
        <w:t>行使城市绿化管理方面法律、法规、规章规定的行政处罚权；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（三）</w:t>
      </w:r>
      <w:r>
        <w:rPr>
          <w:rFonts w:hint="eastAsia" w:ascii="仿宋_GB2312" w:hAnsi="仿宋_GB2312" w:eastAsia="仿宋_GB2312" w:cs="仿宋_GB2312"/>
          <w:sz w:val="32"/>
          <w:szCs w:val="32"/>
        </w:rPr>
        <w:t>城市城建界内，符合办理建设工程规划许可证条件，而未办理建设工程规划许可证进行建设的法律、法规、规章规定的行政处罚权；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（四）</w:t>
      </w:r>
      <w:r>
        <w:rPr>
          <w:rFonts w:hint="eastAsia" w:ascii="仿宋_GB2312" w:hAnsi="仿宋_GB2312" w:eastAsia="仿宋_GB2312" w:cs="仿宋_GB2312"/>
          <w:sz w:val="32"/>
          <w:szCs w:val="32"/>
        </w:rPr>
        <w:t>城市城建界内未取得施工许可证或者开工报告未经批准擅自施工的法律、法规、规章规定的行政处罚权；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（五）</w:t>
      </w:r>
      <w:r>
        <w:rPr>
          <w:rFonts w:hint="eastAsia" w:ascii="仿宋_GB2312" w:hAnsi="仿宋_GB2312" w:eastAsia="仿宋_GB2312" w:cs="仿宋_GB2312"/>
          <w:sz w:val="32"/>
          <w:szCs w:val="32"/>
        </w:rPr>
        <w:t>行使环境保护管理方面的城市城建界内社会生活噪声污染、建筑施工噪声污染、占道加工、露天烧烤污染等行为法律、法规、规章规定的行政处罚权；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（六）</w:t>
      </w:r>
      <w:r>
        <w:rPr>
          <w:rFonts w:hint="eastAsia" w:ascii="仿宋_GB2312" w:hAnsi="仿宋_GB2312" w:eastAsia="仿宋_GB2312" w:cs="仿宋_GB2312"/>
          <w:sz w:val="32"/>
          <w:szCs w:val="32"/>
        </w:rPr>
        <w:t>市场监管方面城市城建界内户外公共场所经营的无证、无照经营、违规设置户外广告行为法律、法规、规章规定的行政处罚权；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楷体" w:hAnsi="楷体" w:eastAsia="楷体" w:cs="楷体"/>
          <w:sz w:val="32"/>
          <w:szCs w:val="32"/>
        </w:rPr>
        <w:t>（七）</w:t>
      </w:r>
      <w:r>
        <w:rPr>
          <w:rFonts w:hint="eastAsia" w:ascii="仿宋_GB2312" w:hAnsi="仿宋_GB2312" w:eastAsia="仿宋_GB2312" w:cs="仿宋_GB2312"/>
          <w:sz w:val="32"/>
          <w:szCs w:val="32"/>
        </w:rPr>
        <w:t>行使公安交通管理方面在公园、广场等公共场所内违反机动车停放、临时停车规定侵占城市道路行为法律、法规、规章规定的行政处罚权。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宋体" w:hAnsi="宋体" w:eastAsia="宋体" w:cs="宋体"/>
          <w:sz w:val="32"/>
          <w:szCs w:val="32"/>
        </w:rPr>
        <w:t>（八）</w:t>
      </w:r>
      <w:r>
        <w:rPr>
          <w:rFonts w:hint="eastAsia" w:ascii="仿宋_GB2312" w:hAnsi="仿宋_GB2312" w:eastAsia="仿宋_GB2312" w:cs="仿宋_GB2312"/>
          <w:sz w:val="32"/>
          <w:szCs w:val="32"/>
        </w:rPr>
        <w:t>行使省政府决定调整的城市管理领域的其他行政处罚权。</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黑体" w:hAnsi="黑体" w:eastAsia="黑体" w:cs="黑体"/>
          <w:b/>
          <w:bCs/>
          <w:sz w:val="32"/>
          <w:szCs w:val="32"/>
        </w:rPr>
        <w:t>机构设置</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仿宋_GB2312" w:hAnsi="仿宋_GB2312" w:eastAsia="仿宋_GB2312" w:cs="仿宋_GB2312"/>
          <w:sz w:val="32"/>
          <w:szCs w:val="32"/>
        </w:rPr>
      </w:pPr>
      <w:r>
        <w:rPr>
          <w:rFonts w:hint="eastAsia" w:ascii="仿宋_GB2312" w:eastAsia="仿宋_GB2312"/>
          <w:sz w:val="32"/>
          <w:szCs w:val="32"/>
        </w:rPr>
        <w:t>涞水县城市管理综合行政</w:t>
      </w:r>
      <w:r>
        <w:rPr>
          <w:rFonts w:hint="eastAsia" w:ascii="仿宋_GB2312" w:hAnsi="仿宋_GB2312" w:eastAsia="仿宋_GB2312" w:cs="仿宋_GB2312"/>
          <w:sz w:val="32"/>
          <w:szCs w:val="32"/>
        </w:rPr>
        <w:t>执法局下设综合办公室、财务室、市容执法队、规划执法队、法制科、数字化指挥中心，各部门职责如下：</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楷体" w:hAnsi="楷体" w:eastAsia="楷体" w:cs="楷体"/>
          <w:sz w:val="32"/>
          <w:szCs w:val="32"/>
        </w:rPr>
      </w:pPr>
      <w:r>
        <w:rPr>
          <w:rFonts w:hint="eastAsia" w:ascii="楷体" w:hAnsi="楷体" w:eastAsia="楷体" w:cs="楷体"/>
          <w:sz w:val="32"/>
          <w:szCs w:val="32"/>
        </w:rPr>
        <w:t>（一）办公室</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rPr>
        <w:t xml:space="preserve">    职责：1、负责协调日常工作；负责各类信息的上传下达，做好来文来电的收发、登记、传递、交办等工作；负责组织好信息上报。2、负责组织职工学习和各种会议，准备学习资料，做好会议工作和考勤。</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楷体" w:hAnsi="楷体" w:eastAsia="楷体" w:cs="楷体"/>
          <w:sz w:val="32"/>
          <w:szCs w:val="32"/>
        </w:rPr>
      </w:pPr>
      <w:r>
        <w:rPr>
          <w:rFonts w:hint="eastAsia" w:ascii="楷体" w:hAnsi="楷体" w:eastAsia="楷体" w:cs="楷体"/>
          <w:sz w:val="32"/>
          <w:szCs w:val="32"/>
        </w:rPr>
        <w:t>（二）财务室</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职责：1、认真执行《</w:t>
      </w:r>
      <w:r>
        <w:rPr>
          <w:rFonts w:hint="eastAsia" w:ascii="仿宋_GB2312" w:eastAsia="仿宋_GB2312"/>
          <w:sz w:val="32"/>
          <w:szCs w:val="32"/>
          <w:lang w:eastAsia="zh-CN"/>
        </w:rPr>
        <w:t>中华人民共和国</w:t>
      </w:r>
      <w:bookmarkStart w:id="8" w:name="_GoBack"/>
      <w:bookmarkEnd w:id="8"/>
      <w:r>
        <w:rPr>
          <w:rFonts w:hint="eastAsia" w:ascii="仿宋_GB2312" w:eastAsia="仿宋_GB2312"/>
          <w:sz w:val="32"/>
          <w:szCs w:val="32"/>
        </w:rPr>
        <w:t>会计法》，遵守财经纪律，管好用好各项资金。2、做好日常财务处理工作，加强财务核算，认真搞好财务分析为领导提供有效依据。</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楷体" w:hAnsi="楷体" w:eastAsia="楷体" w:cs="楷体"/>
          <w:sz w:val="32"/>
          <w:szCs w:val="32"/>
        </w:rPr>
      </w:pPr>
      <w:r>
        <w:rPr>
          <w:rFonts w:hint="eastAsia" w:ascii="楷体" w:hAnsi="楷体" w:eastAsia="楷体" w:cs="楷体"/>
          <w:sz w:val="32"/>
          <w:szCs w:val="32"/>
        </w:rPr>
        <w:t>（三）综合执法队</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职责：1、行使市容环境卫生管理方面法律、法规、规章规定的行政处罚权，强制拆除不符合城市市容标准、环境卫生标准的建筑物或设施。2、行使市政公用设施管理方面法律、法规、规章规定的行政处罚权。3、行使环境保护管理方面法律、法规、规章规定的对产生社会噪声污染，建筑施工噪声污染行为的行政处罚权；对城市饮食服务业超标排污行为的行政处罚权；对向城市建成区范围内排水管网、河道、水面排污、倾倒工业废渣、城市垃圾和其他废弃物的行政处罚权。4、行使工商行政管理方面法律、法规、规章规定的对城区范围内店外或专业市场外经营、无照商贩的行政处罚权。</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楷体" w:hAnsi="楷体" w:eastAsia="楷体" w:cs="楷体"/>
          <w:sz w:val="32"/>
          <w:szCs w:val="32"/>
        </w:rPr>
      </w:pPr>
      <w:r>
        <w:rPr>
          <w:rFonts w:hint="eastAsia" w:ascii="楷体" w:hAnsi="楷体" w:eastAsia="楷体" w:cs="楷体"/>
          <w:sz w:val="32"/>
          <w:szCs w:val="32"/>
        </w:rPr>
        <w:t>（四）规划执法队</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textAlignment w:val="auto"/>
        <w:outlineLvl w:val="9"/>
        <w:rPr>
          <w:rFonts w:ascii="仿宋_GB2312" w:eastAsia="仿宋_GB2312"/>
          <w:sz w:val="32"/>
          <w:szCs w:val="32"/>
        </w:rPr>
      </w:pPr>
      <w:r>
        <w:rPr>
          <w:rFonts w:hint="eastAsia" w:ascii="仿宋_GB2312" w:eastAsia="仿宋_GB2312"/>
          <w:sz w:val="32"/>
          <w:szCs w:val="32"/>
        </w:rPr>
        <w:t xml:space="preserve">    职责：1、行使城市规划管理方面法律、法规、规章规定的行政处罚权，对未取得《建设工程规划许可证》或者违反《建设工程规划许可证》规定进行建设，严重影响城市规划行为的行政处罚权。2、行使城市绿化管理方面法律、法规、规章规定的行政处罚权。</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楷体" w:hAnsi="楷体" w:eastAsia="楷体" w:cs="楷体"/>
          <w:sz w:val="32"/>
          <w:szCs w:val="32"/>
        </w:rPr>
      </w:pPr>
      <w:r>
        <w:rPr>
          <w:rFonts w:hint="eastAsia" w:ascii="楷体" w:hAnsi="楷体" w:eastAsia="楷体" w:cs="楷体"/>
          <w:sz w:val="32"/>
          <w:szCs w:val="32"/>
        </w:rPr>
        <w:t>（五）数字化指挥中心</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职责：1、认真</w:t>
      </w:r>
      <w:r>
        <w:rPr>
          <w:rFonts w:hint="eastAsia" w:ascii="仿宋_GB2312" w:hAnsi="宋体" w:eastAsia="仿宋_GB2312"/>
          <w:sz w:val="32"/>
          <w:szCs w:val="32"/>
        </w:rPr>
        <w:t>贯彻</w:t>
      </w:r>
      <w:r>
        <w:rPr>
          <w:rFonts w:hint="eastAsia" w:ascii="仿宋_GB2312" w:eastAsia="仿宋_GB2312"/>
          <w:sz w:val="32"/>
          <w:szCs w:val="32"/>
        </w:rPr>
        <w:t>国家和省市有关数字化城市管理的法律规章、行业标准、建设管理模式规范，认真执行涞水县网络数字化城市管理工作实施方案和有关政策。2、负责制定和完善数字化城市管理服务中心运行规范和规章制度。3、负责做好数字化城市管理服务中心安全防范信息安全和设备管理维护等工作。</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jc w:val="left"/>
        <w:textAlignment w:val="auto"/>
        <w:outlineLvl w:val="9"/>
        <w:rPr>
          <w:rFonts w:ascii="楷体" w:hAnsi="楷体" w:eastAsia="楷体" w:cs="楷体"/>
          <w:sz w:val="32"/>
          <w:szCs w:val="32"/>
        </w:rPr>
      </w:pPr>
      <w:r>
        <w:rPr>
          <w:rFonts w:hint="eastAsia" w:ascii="楷体" w:hAnsi="楷体" w:eastAsia="楷体" w:cs="楷体"/>
          <w:sz w:val="32"/>
          <w:szCs w:val="32"/>
        </w:rPr>
        <w:t>（六）法制科</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640" w:firstLineChars="200"/>
        <w:textAlignment w:val="auto"/>
        <w:outlineLvl w:val="9"/>
        <w:rPr>
          <w:rFonts w:ascii="仿宋_GB2312" w:eastAsia="仿宋_GB2312"/>
          <w:sz w:val="32"/>
          <w:szCs w:val="32"/>
        </w:rPr>
      </w:pPr>
      <w:r>
        <w:rPr>
          <w:rFonts w:hint="eastAsia" w:ascii="仿宋_GB2312" w:eastAsia="仿宋_GB2312"/>
          <w:sz w:val="32"/>
          <w:szCs w:val="32"/>
        </w:rPr>
        <w:t>职责：负责行政执法人员的业务及法律知识的培训。</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576"/>
        <w:textAlignment w:val="auto"/>
        <w:outlineLvl w:val="9"/>
        <w:rPr>
          <w:rFonts w:ascii="黑体" w:hAnsi="黑体" w:eastAsia="黑体" w:cs="黑体"/>
          <w:b/>
          <w:bCs/>
          <w:sz w:val="32"/>
          <w:szCs w:val="32"/>
        </w:rPr>
      </w:pPr>
      <w:r>
        <w:rPr>
          <w:rFonts w:hint="eastAsia" w:ascii="黑体" w:hAnsi="黑体" w:eastAsia="黑体" w:cs="黑体"/>
          <w:b/>
          <w:bCs/>
          <w:sz w:val="32"/>
          <w:szCs w:val="32"/>
        </w:rPr>
        <w:t>单位编制情况</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576"/>
        <w:textAlignment w:val="auto"/>
        <w:outlineLvl w:val="9"/>
        <w:rPr>
          <w:rFonts w:ascii="仿宋_GB2312" w:eastAsia="仿宋_GB2312"/>
          <w:sz w:val="32"/>
          <w:szCs w:val="32"/>
        </w:rPr>
      </w:pPr>
      <w:r>
        <w:rPr>
          <w:rFonts w:hint="eastAsia" w:ascii="仿宋_GB2312" w:hAnsi="宋体" w:eastAsia="仿宋_GB2312"/>
          <w:sz w:val="32"/>
          <w:szCs w:val="32"/>
        </w:rPr>
        <w:t>我部门编制人数 33个，行政编制数0 个，事业编制数 33个。实有在职人员 44 人，退休人员 11 人。</w:t>
      </w:r>
    </w:p>
    <w:tbl>
      <w:tblPr>
        <w:tblStyle w:val="5"/>
        <w:tblpPr w:leftFromText="180" w:rightFromText="180" w:vertAnchor="text" w:horzAnchor="page" w:tblpX="1382" w:tblpY="590"/>
        <w:tblOverlap w:val="never"/>
        <w:tblW w:w="9920" w:type="dxa"/>
        <w:tblInd w:w="0" w:type="dxa"/>
        <w:tblLayout w:type="fixed"/>
        <w:tblCellMar>
          <w:top w:w="0" w:type="dxa"/>
          <w:left w:w="108" w:type="dxa"/>
          <w:bottom w:w="0" w:type="dxa"/>
          <w:right w:w="108" w:type="dxa"/>
        </w:tblCellMar>
      </w:tblPr>
      <w:tblGrid>
        <w:gridCol w:w="1094"/>
        <w:gridCol w:w="2604"/>
        <w:gridCol w:w="1892"/>
        <w:gridCol w:w="1924"/>
        <w:gridCol w:w="2406"/>
      </w:tblGrid>
      <w:tr>
        <w:tblPrEx>
          <w:tblCellMar>
            <w:top w:w="0" w:type="dxa"/>
            <w:left w:w="108" w:type="dxa"/>
            <w:bottom w:w="0" w:type="dxa"/>
            <w:right w:w="108" w:type="dxa"/>
          </w:tblCellMar>
        </w:tblPrEx>
        <w:trPr>
          <w:trHeight w:val="118" w:hRule="atLeast"/>
        </w:trPr>
        <w:tc>
          <w:tcPr>
            <w:tcW w:w="9920" w:type="dxa"/>
            <w:gridSpan w:val="5"/>
            <w:tcBorders>
              <w:top w:val="nil"/>
              <w:left w:val="nil"/>
              <w:bottom w:val="single" w:color="auto" w:sz="4" w:space="0"/>
              <w:right w:val="nil"/>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部门基本情况表</w:t>
            </w:r>
          </w:p>
        </w:tc>
      </w:tr>
      <w:tr>
        <w:tblPrEx>
          <w:tblCellMar>
            <w:top w:w="0" w:type="dxa"/>
            <w:left w:w="108" w:type="dxa"/>
            <w:bottom w:w="0" w:type="dxa"/>
            <w:right w:w="108" w:type="dxa"/>
          </w:tblCellMar>
        </w:tblPrEx>
        <w:trPr>
          <w:trHeight w:val="560" w:hRule="atLeast"/>
        </w:trPr>
        <w:tc>
          <w:tcPr>
            <w:tcW w:w="109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序号</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单位名称</w:t>
            </w:r>
          </w:p>
        </w:tc>
        <w:tc>
          <w:tcPr>
            <w:tcW w:w="1892"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单位性质</w:t>
            </w:r>
          </w:p>
        </w:tc>
        <w:tc>
          <w:tcPr>
            <w:tcW w:w="1924"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单位规格</w:t>
            </w:r>
          </w:p>
        </w:tc>
        <w:tc>
          <w:tcPr>
            <w:tcW w:w="2406" w:type="dxa"/>
            <w:vMerge w:val="restart"/>
            <w:tcBorders>
              <w:top w:val="nil"/>
              <w:left w:val="single" w:color="auto" w:sz="4" w:space="0"/>
              <w:bottom w:val="single" w:color="000000"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经费保障形式</w:t>
            </w:r>
          </w:p>
        </w:tc>
      </w:tr>
      <w:tr>
        <w:tblPrEx>
          <w:tblCellMar>
            <w:top w:w="0" w:type="dxa"/>
            <w:left w:w="108" w:type="dxa"/>
            <w:bottom w:w="0" w:type="dxa"/>
            <w:right w:w="108" w:type="dxa"/>
          </w:tblCellMar>
        </w:tblPrEx>
        <w:trPr>
          <w:trHeight w:val="560" w:hRule="atLeast"/>
        </w:trPr>
        <w:tc>
          <w:tcPr>
            <w:tcW w:w="1094"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 w:hAnsi="仿宋" w:eastAsia="仿宋" w:cs="仿宋"/>
                <w:color w:val="000000"/>
                <w:kern w:val="0"/>
                <w:sz w:val="32"/>
                <w:szCs w:val="32"/>
              </w:rPr>
            </w:pPr>
          </w:p>
        </w:tc>
        <w:tc>
          <w:tcPr>
            <w:tcW w:w="2604"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 w:hAnsi="仿宋" w:eastAsia="仿宋" w:cs="仿宋"/>
                <w:color w:val="000000"/>
                <w:kern w:val="0"/>
                <w:sz w:val="32"/>
                <w:szCs w:val="32"/>
              </w:rPr>
            </w:pPr>
          </w:p>
        </w:tc>
        <w:tc>
          <w:tcPr>
            <w:tcW w:w="1892"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 w:hAnsi="仿宋" w:eastAsia="仿宋" w:cs="仿宋"/>
                <w:color w:val="000000"/>
                <w:kern w:val="0"/>
                <w:sz w:val="32"/>
                <w:szCs w:val="32"/>
              </w:rPr>
            </w:pPr>
          </w:p>
        </w:tc>
        <w:tc>
          <w:tcPr>
            <w:tcW w:w="1924"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 w:hAnsi="仿宋" w:eastAsia="仿宋" w:cs="仿宋"/>
                <w:color w:val="000000"/>
                <w:kern w:val="0"/>
                <w:sz w:val="32"/>
                <w:szCs w:val="32"/>
              </w:rPr>
            </w:pPr>
          </w:p>
        </w:tc>
        <w:tc>
          <w:tcPr>
            <w:tcW w:w="2406" w:type="dxa"/>
            <w:vMerge w:val="continue"/>
            <w:tcBorders>
              <w:top w:val="nil"/>
              <w:left w:val="single" w:color="auto" w:sz="4" w:space="0"/>
              <w:bottom w:val="single" w:color="000000" w:sz="4" w:space="0"/>
              <w:right w:val="single" w:color="auto" w:sz="4" w:space="0"/>
            </w:tcBorders>
            <w:vAlign w:val="center"/>
          </w:tcPr>
          <w:p>
            <w:pPr>
              <w:widowControl/>
              <w:spacing w:line="560" w:lineRule="exact"/>
              <w:jc w:val="left"/>
              <w:rPr>
                <w:rFonts w:ascii="仿宋" w:hAnsi="仿宋" w:eastAsia="仿宋" w:cs="仿宋"/>
                <w:color w:val="000000"/>
                <w:kern w:val="0"/>
                <w:sz w:val="32"/>
                <w:szCs w:val="32"/>
              </w:rPr>
            </w:pPr>
          </w:p>
        </w:tc>
      </w:tr>
      <w:tr>
        <w:tblPrEx>
          <w:tblCellMar>
            <w:top w:w="0" w:type="dxa"/>
            <w:left w:w="108" w:type="dxa"/>
            <w:bottom w:w="0" w:type="dxa"/>
            <w:right w:w="108" w:type="dxa"/>
          </w:tblCellMar>
        </w:tblPrEx>
        <w:trPr>
          <w:trHeight w:val="165" w:hRule="atLeast"/>
        </w:trPr>
        <w:tc>
          <w:tcPr>
            <w:tcW w:w="1094"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1</w:t>
            </w:r>
          </w:p>
        </w:tc>
        <w:tc>
          <w:tcPr>
            <w:tcW w:w="2604"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涞水县城市管理综合行政执法局</w:t>
            </w:r>
          </w:p>
        </w:tc>
        <w:tc>
          <w:tcPr>
            <w:tcW w:w="1892"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事业</w:t>
            </w:r>
          </w:p>
        </w:tc>
        <w:tc>
          <w:tcPr>
            <w:tcW w:w="1924"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正科级</w:t>
            </w:r>
          </w:p>
        </w:tc>
        <w:tc>
          <w:tcPr>
            <w:tcW w:w="240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财政性资金基本保障</w:t>
            </w:r>
          </w:p>
        </w:tc>
      </w:tr>
    </w:tbl>
    <w:p>
      <w:pPr>
        <w:spacing w:line="560" w:lineRule="exact"/>
        <w:rPr>
          <w:rFonts w:ascii="仿宋_GB2312" w:hAnsi="仿宋_GB2312" w:eastAsia="仿宋_GB2312" w:cs="仿宋_GB2312"/>
          <w:b/>
          <w:bCs/>
          <w:sz w:val="32"/>
          <w:szCs w:val="32"/>
        </w:rPr>
      </w:pPr>
    </w:p>
    <w:p>
      <w:pPr>
        <w:spacing w:line="560" w:lineRule="exact"/>
        <w:ind w:firstLine="627" w:firstLineChars="196"/>
        <w:rPr>
          <w:rFonts w:ascii="仿宋_GB2312" w:hAnsi="仿宋_GB2312" w:eastAsia="仿宋_GB2312" w:cs="仿宋_GB2312"/>
          <w:b/>
          <w:bCs/>
          <w:sz w:val="32"/>
          <w:szCs w:val="32"/>
        </w:rPr>
      </w:pPr>
      <w:r>
        <w:rPr>
          <w:rFonts w:hint="eastAsia" w:ascii="黑体" w:hAnsi="黑体" w:eastAsia="黑体" w:cs="黑体"/>
          <w:sz w:val="32"/>
          <w:szCs w:val="32"/>
        </w:rPr>
        <w:t>二、部门预算安排的总体情况</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sz w:val="32"/>
          <w:szCs w:val="32"/>
        </w:rPr>
        <w:t>收入情况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2020年预算收入总额2078.31万元，均为一般公共预算拨款，其中财政拨款收入1923.81万元，基金预算拨款0万元，国有资本经营预算拨款0万元，财政专户核拨 0万元，其他来源收入0万元，经营收入0万元，附属单位上缴收入0万元。</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sz w:val="32"/>
          <w:szCs w:val="32"/>
        </w:rPr>
        <w:t>支出情况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2020年预算支出总额2078.31万元，其中：基本支出503.54万元，包含人员经费支出359.57万元、日常公用经费支出143.97万元，项目支出1574.77万元，上缴上级支出0万元，经营支出0万元，对附属单位补助支出0万元。</w:t>
      </w:r>
    </w:p>
    <w:p>
      <w:pPr>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较上年增减变化情况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0年</w:t>
      </w:r>
      <w:r>
        <w:rPr>
          <w:rFonts w:hint="eastAsia" w:ascii="仿宋_GB2312" w:hAnsi="仿宋_GB2312" w:eastAsia="仿宋_GB2312" w:cs="仿宋_GB2312"/>
          <w:sz w:val="32"/>
          <w:szCs w:val="32"/>
          <w:lang w:eastAsia="zh-CN"/>
        </w:rPr>
        <w:t>基本支出与</w:t>
      </w:r>
      <w:r>
        <w:rPr>
          <w:rFonts w:hint="eastAsia" w:ascii="仿宋_GB2312" w:hAnsi="仿宋_GB2312" w:eastAsia="仿宋_GB2312" w:cs="仿宋_GB2312"/>
          <w:sz w:val="32"/>
          <w:szCs w:val="32"/>
          <w:lang w:val="en-US" w:eastAsia="zh-CN"/>
        </w:rPr>
        <w:t>2019年比较无变化，项目支出</w:t>
      </w:r>
      <w:r>
        <w:rPr>
          <w:rFonts w:hint="eastAsia" w:ascii="仿宋_GB2312" w:hAnsi="仿宋_GB2312" w:eastAsia="仿宋_GB2312" w:cs="仿宋_GB2312"/>
          <w:sz w:val="32"/>
          <w:szCs w:val="32"/>
        </w:rPr>
        <w:t>比201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年减少126.88万元，减少原因为罚没收入安排支出减少</w:t>
      </w:r>
      <w:r>
        <w:rPr>
          <w:rFonts w:hint="eastAsia" w:ascii="仿宋_GB2312" w:hAnsi="仿宋_GB2312" w:eastAsia="仿宋_GB2312" w:cs="仿宋_GB2312"/>
          <w:sz w:val="32"/>
          <w:szCs w:val="32"/>
          <w:lang w:eastAsia="zh-CN"/>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三、机关运行经费安排情况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部门安排财政拨款支出主要用于保障机构正常运转、完成日常工作任务。日常公用经费143.97万元，其中：办公费9.68万元，邮电费0.36万元，取暖费1.3万元，差旅费4.4万元，劳务费121.12，工会经费2.78万元，职工福利费4.33万元。</w:t>
      </w:r>
    </w:p>
    <w:p>
      <w:pPr>
        <w:tabs>
          <w:tab w:val="left" w:pos="490"/>
        </w:tabs>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四、财政拨款“三公”经费预算情况及增减变化原因</w:t>
      </w:r>
    </w:p>
    <w:tbl>
      <w:tblPr>
        <w:tblStyle w:val="5"/>
        <w:tblpPr w:leftFromText="180" w:rightFromText="180" w:vertAnchor="text" w:horzAnchor="page" w:tblpX="1082" w:tblpY="665"/>
        <w:tblOverlap w:val="never"/>
        <w:tblW w:w="9855" w:type="dxa"/>
        <w:tblInd w:w="0" w:type="dxa"/>
        <w:tblLayout w:type="fixed"/>
        <w:tblCellMar>
          <w:top w:w="0" w:type="dxa"/>
          <w:left w:w="108" w:type="dxa"/>
          <w:bottom w:w="0" w:type="dxa"/>
          <w:right w:w="108" w:type="dxa"/>
        </w:tblCellMar>
      </w:tblPr>
      <w:tblGrid>
        <w:gridCol w:w="2235"/>
        <w:gridCol w:w="1842"/>
        <w:gridCol w:w="1701"/>
        <w:gridCol w:w="1276"/>
        <w:gridCol w:w="2801"/>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b/>
                <w:bCs/>
                <w:sz w:val="28"/>
                <w:szCs w:val="28"/>
              </w:rPr>
              <w:t>“三公”经费预算情况及增减变化原因</w:t>
            </w:r>
          </w:p>
        </w:tc>
      </w:tr>
      <w:tr>
        <w:tblPrEx>
          <w:tblCellMar>
            <w:top w:w="0" w:type="dxa"/>
            <w:left w:w="108" w:type="dxa"/>
            <w:bottom w:w="0" w:type="dxa"/>
            <w:right w:w="108" w:type="dxa"/>
          </w:tblCellMar>
        </w:tblPrEx>
        <w:trPr>
          <w:trHeight w:val="221" w:hRule="atLeast"/>
        </w:trPr>
        <w:tc>
          <w:tcPr>
            <w:tcW w:w="2235"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1842"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1701"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1276"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2801" w:type="dxa"/>
            <w:tcBorders>
              <w:top w:val="nil"/>
              <w:left w:val="nil"/>
              <w:bottom w:val="nil"/>
              <w:right w:val="nil"/>
            </w:tcBorders>
            <w:vAlign w:val="center"/>
          </w:tcPr>
          <w:p>
            <w:pPr>
              <w:widowControl/>
              <w:spacing w:line="560" w:lineRule="exact"/>
              <w:jc w:val="right"/>
              <w:rPr>
                <w:rFonts w:ascii="仿宋" w:hAnsi="仿宋" w:eastAsia="仿宋" w:cs="仿宋"/>
                <w:kern w:val="0"/>
                <w:sz w:val="24"/>
                <w:szCs w:val="24"/>
              </w:rPr>
            </w:pPr>
            <w:r>
              <w:rPr>
                <w:rFonts w:hint="eastAsia" w:ascii="仿宋" w:hAnsi="仿宋" w:eastAsia="仿宋" w:cs="仿宋"/>
                <w:kern w:val="0"/>
                <w:sz w:val="24"/>
                <w:szCs w:val="24"/>
              </w:rPr>
              <w:t>单位：万元</w:t>
            </w:r>
          </w:p>
        </w:tc>
      </w:tr>
      <w:tr>
        <w:tblPrEx>
          <w:tblCellMar>
            <w:top w:w="0" w:type="dxa"/>
            <w:left w:w="108" w:type="dxa"/>
            <w:bottom w:w="0" w:type="dxa"/>
            <w:right w:w="108" w:type="dxa"/>
          </w:tblCellMar>
        </w:tblPrEx>
        <w:trPr>
          <w:trHeight w:val="566" w:hRule="atLeast"/>
        </w:trPr>
        <w:tc>
          <w:tcPr>
            <w:tcW w:w="223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项目名称</w:t>
            </w:r>
          </w:p>
        </w:tc>
        <w:tc>
          <w:tcPr>
            <w:tcW w:w="1842"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2019年度预算</w:t>
            </w:r>
          </w:p>
        </w:tc>
        <w:tc>
          <w:tcPr>
            <w:tcW w:w="17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2020年度预算</w:t>
            </w:r>
          </w:p>
        </w:tc>
        <w:tc>
          <w:tcPr>
            <w:tcW w:w="1276"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增减金额</w:t>
            </w:r>
          </w:p>
        </w:tc>
        <w:tc>
          <w:tcPr>
            <w:tcW w:w="2801" w:type="dxa"/>
            <w:tcBorders>
              <w:top w:val="single" w:color="auto" w:sz="4" w:space="0"/>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变化原因</w:t>
            </w:r>
          </w:p>
        </w:tc>
      </w:tr>
      <w:tr>
        <w:tblPrEx>
          <w:tblCellMar>
            <w:top w:w="0" w:type="dxa"/>
            <w:left w:w="108" w:type="dxa"/>
            <w:bottom w:w="0" w:type="dxa"/>
            <w:right w:w="108" w:type="dxa"/>
          </w:tblCellMar>
        </w:tblPrEx>
        <w:trPr>
          <w:trHeight w:val="387" w:hRule="atLeast"/>
        </w:trPr>
        <w:tc>
          <w:tcPr>
            <w:tcW w:w="223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因公出国经费</w:t>
            </w: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27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28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223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公务用车购置经费</w:t>
            </w: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27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28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70" w:hRule="atLeast"/>
        </w:trPr>
        <w:tc>
          <w:tcPr>
            <w:tcW w:w="223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公务用车运行经费</w:t>
            </w: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31.16</w:t>
            </w:r>
          </w:p>
        </w:tc>
        <w:tc>
          <w:tcPr>
            <w:tcW w:w="17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31.16</w:t>
            </w:r>
          </w:p>
        </w:tc>
        <w:tc>
          <w:tcPr>
            <w:tcW w:w="127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28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392" w:hRule="atLeast"/>
        </w:trPr>
        <w:tc>
          <w:tcPr>
            <w:tcW w:w="223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公务接待费支出</w:t>
            </w: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7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127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28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545" w:hRule="atLeast"/>
        </w:trPr>
        <w:tc>
          <w:tcPr>
            <w:tcW w:w="2235" w:type="dxa"/>
            <w:tcBorders>
              <w:top w:val="nil"/>
              <w:left w:val="single" w:color="auto" w:sz="4" w:space="0"/>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合计</w:t>
            </w:r>
          </w:p>
        </w:tc>
        <w:tc>
          <w:tcPr>
            <w:tcW w:w="1842"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31.16</w:t>
            </w:r>
          </w:p>
        </w:tc>
        <w:tc>
          <w:tcPr>
            <w:tcW w:w="17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31.16</w:t>
            </w:r>
          </w:p>
        </w:tc>
        <w:tc>
          <w:tcPr>
            <w:tcW w:w="1276"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0</w:t>
            </w:r>
          </w:p>
        </w:tc>
        <w:tc>
          <w:tcPr>
            <w:tcW w:w="2801" w:type="dxa"/>
            <w:tcBorders>
              <w:top w:val="nil"/>
              <w:left w:val="nil"/>
              <w:bottom w:val="single" w:color="auto" w:sz="4" w:space="0"/>
              <w:right w:val="single" w:color="auto" w:sz="4" w:space="0"/>
            </w:tcBorders>
            <w:vAlign w:val="center"/>
          </w:tcPr>
          <w:p>
            <w:pPr>
              <w:widowControl/>
              <w:spacing w:line="560" w:lineRule="exact"/>
              <w:jc w:val="center"/>
              <w:rPr>
                <w:rFonts w:ascii="仿宋" w:hAnsi="仿宋" w:eastAsia="仿宋" w:cs="仿宋"/>
                <w:kern w:val="0"/>
                <w:sz w:val="24"/>
                <w:szCs w:val="24"/>
              </w:rPr>
            </w:pPr>
            <w:r>
              <w:rPr>
                <w:rFonts w:hint="eastAsia" w:ascii="仿宋" w:hAnsi="仿宋" w:eastAsia="仿宋" w:cs="仿宋"/>
                <w:kern w:val="0"/>
                <w:sz w:val="24"/>
                <w:szCs w:val="24"/>
              </w:rPr>
              <w:t>无增减变化</w:t>
            </w:r>
          </w:p>
        </w:tc>
      </w:tr>
      <w:tr>
        <w:tblPrEx>
          <w:tblCellMar>
            <w:top w:w="0" w:type="dxa"/>
            <w:left w:w="108" w:type="dxa"/>
            <w:bottom w:w="0" w:type="dxa"/>
            <w:right w:w="108" w:type="dxa"/>
          </w:tblCellMar>
        </w:tblPrEx>
        <w:trPr>
          <w:trHeight w:val="285" w:hRule="atLeast"/>
        </w:trPr>
        <w:tc>
          <w:tcPr>
            <w:tcW w:w="2235"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1842"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1701"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1276"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c>
          <w:tcPr>
            <w:tcW w:w="2801" w:type="dxa"/>
            <w:tcBorders>
              <w:top w:val="nil"/>
              <w:left w:val="nil"/>
              <w:bottom w:val="nil"/>
              <w:right w:val="nil"/>
            </w:tcBorders>
            <w:vAlign w:val="center"/>
          </w:tcPr>
          <w:p>
            <w:pPr>
              <w:widowControl/>
              <w:spacing w:line="560" w:lineRule="exact"/>
              <w:jc w:val="left"/>
              <w:rPr>
                <w:rFonts w:ascii="仿宋" w:hAnsi="仿宋" w:eastAsia="仿宋" w:cs="仿宋"/>
                <w:kern w:val="0"/>
                <w:sz w:val="24"/>
                <w:szCs w:val="24"/>
              </w:rPr>
            </w:pPr>
          </w:p>
        </w:tc>
      </w:tr>
    </w:tbl>
    <w:p>
      <w:pPr>
        <w:spacing w:line="560" w:lineRule="exact"/>
        <w:rPr>
          <w:rFonts w:ascii="仿宋_GB2312" w:hAnsi="仿宋_GB2312" w:eastAsia="仿宋_GB2312" w:cs="仿宋_GB2312"/>
          <w:bCs/>
          <w:sz w:val="32"/>
          <w:szCs w:val="32"/>
        </w:rPr>
      </w:pP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2020年 “三公”经费支出31.16万元，其中：公车运行维护费31.16万元，公务接待费0万元，因公出国出境0万元。2019年预算安排“三公”经费支出31.16万元，其中：公车运行维护费31.16万元，公务接待费0万元，因公出国出境0万元，与2019年相比无变化。</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五、绩效预算信息情况</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第一部分 部门整体绩效目标</w:t>
      </w:r>
    </w:p>
    <w:p>
      <w:pPr>
        <w:tabs>
          <w:tab w:val="left" w:pos="637"/>
        </w:tabs>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（一）总体绩效目标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城市管理综合执法工作将继续深入贯彻落实党的十九大精神，按照习近平总书记“城市管理要像绣花一样精细”的要求，以及优化营商环境为抓手，有力推动城市精细化和网格化管理，努力增强城市管理综合执法工作的针对性和实效性，建立与相关部门联动机制，构建发现及时、一体联动、处置迅速、全面有效的管理机制，切实提高城市管理的效率和水平。</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TC </w:instrText>
      </w:r>
      <w:bookmarkStart w:id="0" w:name="_Toc29999927"/>
      <w:r>
        <w:rPr>
          <w:rFonts w:hint="eastAsia" w:ascii="仿宋_GB2312" w:hAnsi="仿宋_GB2312" w:eastAsia="仿宋_GB2312" w:cs="仿宋_GB2312"/>
          <w:sz w:val="32"/>
          <w:szCs w:val="32"/>
        </w:rPr>
        <w:instrText xml:space="preserve">分项绩效目标</w:instrText>
      </w:r>
      <w:bookmarkEnd w:id="0"/>
      <w:r>
        <w:rPr>
          <w:rFonts w:hint="eastAsia" w:ascii="仿宋_GB2312" w:hAnsi="仿宋_GB2312" w:eastAsia="仿宋_GB2312" w:cs="仿宋_GB2312"/>
          <w:sz w:val="32"/>
          <w:szCs w:val="32"/>
        </w:rPr>
        <w:instrText xml:space="preserve"> \f A \l 1 </w:instrText>
      </w:r>
      <w:r>
        <w:rPr>
          <w:rFonts w:hint="eastAsia" w:ascii="仿宋_GB2312" w:hAnsi="仿宋_GB2312" w:eastAsia="仿宋_GB2312" w:cs="仿宋_GB2312"/>
          <w:sz w:val="32"/>
          <w:szCs w:val="32"/>
        </w:rPr>
        <w:fldChar w:fldCharType="end"/>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（二）分项绩效目标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制定工作标准、规定和管理办法。贯彻落实国家和省、市有关城市管理的政策和法规，制定完善市容市貌、环境卫生、广告牌匾等有关工作标准、规定和管理办法。</w:t>
      </w:r>
    </w:p>
    <w:p>
      <w:pPr>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b/>
          <w:bCs/>
          <w:sz w:val="32"/>
          <w:szCs w:val="32"/>
        </w:rPr>
        <w:t>1、</w:t>
      </w:r>
      <w:r>
        <w:rPr>
          <w:rFonts w:hint="eastAsia" w:ascii="仿宋_GB2312" w:hAnsi="仿宋_GB2312" w:eastAsia="仿宋_GB2312" w:cs="仿宋_GB2312"/>
          <w:sz w:val="32"/>
          <w:szCs w:val="32"/>
        </w:rPr>
        <w:t>城市管理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绩效目标：加强管理，提高城市承载能力和宜居度。</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绩效指标：加强城区建设，改善城区人居环境，实现城乡统筹发展。居民满意度达到95%以上。</w:t>
      </w:r>
    </w:p>
    <w:p>
      <w:pPr>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cs="仿宋"/>
          <w:b/>
          <w:bCs/>
          <w:sz w:val="32"/>
          <w:szCs w:val="32"/>
        </w:rPr>
        <w:t>2、</w:t>
      </w:r>
      <w:r>
        <w:rPr>
          <w:rFonts w:hint="eastAsia" w:ascii="仿宋_GB2312" w:hAnsi="仿宋_GB2312" w:eastAsia="仿宋_GB2312" w:cs="仿宋_GB2312"/>
          <w:sz w:val="32"/>
          <w:szCs w:val="32"/>
        </w:rPr>
        <w:t>市容环境卫生综合整治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绩效目标：负责环境卫生管理，对环境卫生工作进行监督检查。</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绩效指标：对城建界垃圾清运过程中造成的扬撒遗漏现象进行监督检查；对环境卫生工作进行考核。机械化清扫率达到85%以上。</w:t>
      </w:r>
    </w:p>
    <w:p>
      <w:pPr>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cs="仿宋"/>
          <w:b/>
          <w:bCs/>
          <w:sz w:val="32"/>
          <w:szCs w:val="32"/>
        </w:rPr>
        <w:t>3、</w:t>
      </w:r>
      <w:r>
        <w:rPr>
          <w:rFonts w:hint="eastAsia" w:ascii="仿宋_GB2312" w:hAnsi="仿宋_GB2312" w:eastAsia="仿宋_GB2312" w:cs="仿宋_GB2312"/>
          <w:sz w:val="32"/>
          <w:szCs w:val="32"/>
        </w:rPr>
        <w:t>数字化城市管理信息平台的管理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绩效目标：建立数字化城市管理的有效监管体系</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对城市管理问题进行巡查、信息采集。解决城市管理案件。对日常数据进行统计分析，为科学管理、核拨作业费用和领导决策提供数据依据。管理对象的精确率达到95%以上。实现视频抓拍问题的上报，核对案件的核实核查，案件处理率达到100%。</w:t>
      </w:r>
    </w:p>
    <w:p>
      <w:pPr>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cs="仿宋"/>
          <w:b/>
          <w:bCs/>
          <w:sz w:val="32"/>
          <w:szCs w:val="32"/>
        </w:rPr>
        <w:t>4、</w:t>
      </w:r>
      <w:r>
        <w:rPr>
          <w:rFonts w:hint="eastAsia" w:ascii="仿宋_GB2312" w:hAnsi="仿宋_GB2312" w:eastAsia="仿宋_GB2312" w:cs="仿宋_GB2312"/>
          <w:sz w:val="32"/>
          <w:szCs w:val="32"/>
        </w:rPr>
        <w:t>生活垃圾无害化处理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绩效目标：生活垃圾进行无害化处理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绩效指标：对生活垃圾进行消纳及无害化处理，生活垃圾渗滤液处理，防止污染环境。垃圾处理率达到96%以上。</w:t>
      </w:r>
    </w:p>
    <w:p>
      <w:pPr>
        <w:spacing w:line="560" w:lineRule="exact"/>
        <w:ind w:firstLine="643" w:firstLineChars="200"/>
        <w:jc w:val="left"/>
        <w:rPr>
          <w:rFonts w:ascii="仿宋_GB2312" w:hAnsi="仿宋_GB2312" w:eastAsia="仿宋_GB2312" w:cs="仿宋_GB2312"/>
          <w:sz w:val="32"/>
          <w:szCs w:val="32"/>
        </w:rPr>
      </w:pPr>
      <w:r>
        <w:rPr>
          <w:rFonts w:hint="eastAsia" w:ascii="仿宋" w:hAnsi="仿宋" w:eastAsia="仿宋" w:cs="仿宋"/>
          <w:b/>
          <w:bCs/>
          <w:sz w:val="32"/>
          <w:szCs w:val="32"/>
        </w:rPr>
        <w:t>5、</w:t>
      </w:r>
      <w:r>
        <w:rPr>
          <w:rFonts w:hint="eastAsia" w:ascii="仿宋_GB2312" w:hAnsi="仿宋_GB2312" w:eastAsia="仿宋_GB2312" w:cs="仿宋_GB2312"/>
          <w:sz w:val="32"/>
          <w:szCs w:val="32"/>
        </w:rPr>
        <w:t>城市政务管理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绩效目标：加强全县城管综合执法人才队伍建设，提高人才业务素质，行业水平。提升机关及行业信息化水平，保障各类业务系统安全稳定运行。</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绩效指标：推进政务公开，增加服务意识，提高工作效率。综合业务管理工作完成100%。</w:t>
      </w:r>
    </w:p>
    <w:p>
      <w:pPr>
        <w:spacing w:line="560" w:lineRule="exact"/>
        <w:ind w:firstLine="640" w:firstLineChars="200"/>
        <w:jc w:val="left"/>
        <w:rPr>
          <w:rFonts w:ascii="楷体_GB2312" w:hAnsi="楷体_GB2312" w:eastAsia="楷体_GB2312" w:cs="楷体_GB2312"/>
          <w:sz w:val="32"/>
          <w:szCs w:val="32"/>
        </w:rPr>
      </w:pPr>
      <w:r>
        <w:rPr>
          <w:rFonts w:hint="eastAsia" w:ascii="楷体_GB2312" w:hAnsi="楷体_GB2312" w:eastAsia="楷体_GB2312" w:cs="楷体_GB2312"/>
          <w:sz w:val="32"/>
          <w:szCs w:val="32"/>
        </w:rPr>
        <w:t>（三）工作保障措施</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组织领导。成立领导小组，建立统筹协调、分工协作、密切配合、合力推进的工作体系。将事前评估、目标管理、运行监控、绩效评估、结果应用等各项改革措施，有效融入预算管理的全过程环节，建立健全绩效管理的长效机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完善制度建设。以构建权责清晰、服务优先、管理优先、执法规范、安全有序的城市管理体制为目标，加快形成城市管理综合执法新机制，进一步提高城市管理执法水平。</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加强支出管理。通过优化支出结构、编细编实预算、按规定及时下达资金等多种措施，确保支出进度达标。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加强绩效运行监控。开展绩效运行监控，发现问题及时采取措施，确保绩效目标如期保质实现。</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做好绩效自评。及时开展上年度部门预算绩效自评和重点评价工作，对评价中发现的问题及时整改，调整优化支出结构，提高财政资金使用效益。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规范财务资产管理。完善财务管理制度，严格审批程序，按照事业单位收支管理内部控制制度，做到收入支出合理，物尽其用。</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加强内部监督。加强内部监督制度建设，对绩效运行情况、重大支出决策和执行进行督导，确保财政资金安全有效。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加强宣传培训调研等。加强城市管理综合执法人才队伍建设，提高人才业务素质，提高行业水平。提升机关及行业信息化水平，保障各类业务系统安全稳定运行。</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第二部分 预算项目绩效目标</w:t>
      </w:r>
    </w:p>
    <w:p>
      <w:pPr>
        <w:spacing w:line="560" w:lineRule="exact"/>
        <w:rPr>
          <w:rFonts w:ascii="黑体" w:hAnsi="黑体" w:eastAsia="黑体" w:cs="黑体"/>
          <w:sz w:val="32"/>
          <w:szCs w:val="32"/>
        </w:rPr>
        <w:sectPr>
          <w:footerReference r:id="rId3" w:type="default"/>
          <w:pgSz w:w="11907" w:h="16839"/>
          <w:pgMar w:top="1984" w:right="1304" w:bottom="1134" w:left="1304" w:header="851" w:footer="992" w:gutter="0"/>
          <w:pgNumType w:start="1"/>
          <w:cols w:space="425" w:num="1"/>
          <w:docGrid w:type="lines" w:linePitch="312" w:charSpace="0"/>
        </w:sectPr>
      </w:pPr>
    </w:p>
    <w:p>
      <w:pPr>
        <w:spacing w:line="560" w:lineRule="exact"/>
        <w:jc w:val="left"/>
        <w:outlineLvl w:val="1"/>
        <w:rPr>
          <w:rFonts w:ascii="仿宋_GB2312" w:hAnsi="仿宋_GB2312" w:eastAsia="仿宋_GB2312" w:cs="仿宋_GB2312"/>
          <w:b/>
          <w:bCs/>
          <w:sz w:val="32"/>
          <w:szCs w:val="32"/>
        </w:rPr>
      </w:pPr>
      <w:r>
        <w:rPr>
          <w:rFonts w:hint="eastAsia"/>
        </w:rPr>
        <w:t xml:space="preserve">  </w:t>
      </w:r>
      <w:r>
        <w:rPr>
          <w:rFonts w:hint="eastAsia" w:ascii="仿宋_GB2312" w:hAnsi="仿宋_GB2312" w:eastAsia="仿宋_GB2312" w:cs="仿宋_GB2312"/>
          <w:b/>
          <w:bCs/>
          <w:sz w:val="32"/>
          <w:szCs w:val="32"/>
        </w:rPr>
        <w:t xml:space="preserve"> 1、2020年执法局专项公用经费绩效目标表</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TC 1、2020年执法局专项公用经费绩效目标表 \f C \l 1 </w:instrText>
      </w:r>
      <w:r>
        <w:rPr>
          <w:rFonts w:hint="eastAsia" w:ascii="仿宋_GB2312" w:hAnsi="仿宋_GB2312" w:eastAsia="仿宋_GB2312" w:cs="仿宋_GB2312"/>
          <w:b/>
          <w:bCs/>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565-0502-YBN-L0AE</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ascii="方正书宋_GBK" w:eastAsia="方正书宋_GBK"/>
              </w:rPr>
              <w:t>2020</w:t>
            </w:r>
            <w:r>
              <w:rPr>
                <w:rFonts w:hint="eastAsia" w:ascii="方正书宋_GBK" w:eastAsia="方正书宋_GBK"/>
              </w:rPr>
              <w:t>年执法局专项公用经费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154.50</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154.50</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加强事务管理，提高自身工作能力。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、加强事务管理</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、开展自身能力建设</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执法车执行任务出勤率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执法车执行任务出勤情况</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城市市容环境综合治理率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对影响市容市貌事件治理情况</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综合业务管理工作完成率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对县委、县政府交办任务及群众反映市容市貌情况的完成程度</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城市综合管理水平</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提高城市综合管理水平程度</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bl>
    <w:p>
      <w:pPr>
        <w:spacing w:line="560" w:lineRule="exact"/>
        <w:sectPr>
          <w:pgSz w:w="11907" w:h="16839"/>
          <w:pgMar w:top="1984" w:right="1304" w:bottom="1134" w:left="1304" w:header="851" w:footer="992" w:gutter="0"/>
          <w:cols w:space="425" w:num="1"/>
          <w:docGrid w:type="lines" w:linePitch="312" w:charSpace="0"/>
        </w:sectPr>
      </w:pPr>
    </w:p>
    <w:p>
      <w:pPr>
        <w:spacing w:line="560" w:lineRule="exact"/>
      </w:pPr>
    </w:p>
    <w:p>
      <w:pPr>
        <w:spacing w:line="560" w:lineRule="exact"/>
        <w:ind w:firstLine="420" w:firstLineChars="200"/>
        <w:jc w:val="left"/>
      </w:pPr>
    </w:p>
    <w:p>
      <w:pPr>
        <w:spacing w:line="560" w:lineRule="exact"/>
        <w:ind w:firstLine="643" w:firstLineChars="200"/>
        <w:jc w:val="left"/>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2、城市清洁专用车辆运行维护费绩效目标表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1" w:name="_Toc29999930"/>
      <w:r>
        <w:rPr>
          <w:rFonts w:hint="eastAsia" w:ascii="仿宋_GB2312" w:hAnsi="仿宋_GB2312" w:eastAsia="仿宋_GB2312" w:cs="仿宋_GB2312"/>
          <w:b/>
          <w:sz w:val="32"/>
          <w:szCs w:val="32"/>
        </w:rPr>
        <w:instrText xml:space="preserve">2、城市清洁专用车辆运行维护费绩效目标表</w:instrText>
      </w:r>
      <w:bookmarkEnd w:id="1"/>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565-0401-JBN-1EAO</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城市清洁专用车辆运行维护费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16.16</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16.16</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确保车辆保持能够随时执行任务的状态。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、保证清洁公务正常运行</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、车辆保持能够随时执行任务</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执法车出勤率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执法车执行任务出勤情况</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城市容貌环境综合治理率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对有影响市容市貌事件的治理情况</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持续使用时间</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城市清洁车辆和执法车正常运行时间</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固定资产的折旧年限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车辆费用逐步降低</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在保障正常运行的同时每一辆车的维修、维护费用节俭情况</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降低</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bl>
    <w:p>
      <w:pPr>
        <w:spacing w:line="56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560" w:lineRule="exact"/>
        <w:ind w:firstLine="420" w:firstLineChars="200"/>
        <w:jc w:val="left"/>
      </w:pPr>
    </w:p>
    <w:p>
      <w:pPr>
        <w:spacing w:line="560" w:lineRule="exact"/>
        <w:ind w:firstLine="643" w:firstLineChars="200"/>
        <w:jc w:val="left"/>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3、德胜街（原纬三路）环境卫生整治承包费绩效目标表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2" w:name="_Toc29999931"/>
      <w:r>
        <w:rPr>
          <w:rFonts w:hint="eastAsia" w:ascii="仿宋_GB2312" w:hAnsi="仿宋_GB2312" w:eastAsia="仿宋_GB2312" w:cs="仿宋_GB2312"/>
          <w:b/>
          <w:sz w:val="32"/>
          <w:szCs w:val="32"/>
        </w:rPr>
        <w:instrText xml:space="preserve">3、德胜街（原纬三路）环境卫生整治承包费绩效目标表</w:instrText>
      </w:r>
      <w:bookmarkEnd w:id="2"/>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565-0401-JBN-OIXC</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hint="eastAsia" w:ascii="方正书宋_GBK" w:eastAsia="方正书宋_GBK"/>
              </w:rPr>
              <w:t>德胜街（原纬三路）环境卫生整治承包费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36.40</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36.40</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改善城区人居环境，提高城市宜居度。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、改善城区人居环境</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、提高城市宜居度</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机械化清扫率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机械化清扫范围占环卫清扫面积的比率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清洁程度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果皮、纸屑、塑模等占主干道、大街小巷每</w:t>
            </w:r>
            <w:r>
              <w:rPr>
                <w:rFonts w:ascii="方正书宋_GBK" w:eastAsia="方正书宋_GBK"/>
              </w:rPr>
              <w:t>1000</w:t>
            </w:r>
            <w:r>
              <w:rPr>
                <w:rFonts w:hint="eastAsia" w:ascii="方正书宋_GBK" w:eastAsia="方正书宋_GBK"/>
              </w:rPr>
              <w:t>平米几处</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处</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城市的美丽度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市容市貌整体提升程度、宜居度</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基本公共卫生服务水平</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反映为县城常住人口提供基本公共卫生服务的能力和效果</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bl>
    <w:p>
      <w:pPr>
        <w:spacing w:line="56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560" w:lineRule="exact"/>
        <w:ind w:firstLine="420" w:firstLineChars="200"/>
        <w:jc w:val="left"/>
      </w:pPr>
    </w:p>
    <w:p>
      <w:pPr>
        <w:spacing w:line="560" w:lineRule="exact"/>
        <w:ind w:firstLine="643" w:firstLineChars="200"/>
        <w:jc w:val="left"/>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4、环卫承包费绩效目标表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3" w:name="_Toc29999932"/>
      <w:r>
        <w:rPr>
          <w:rFonts w:hint="eastAsia" w:ascii="仿宋_GB2312" w:hAnsi="仿宋_GB2312" w:eastAsia="仿宋_GB2312" w:cs="仿宋_GB2312"/>
          <w:b/>
          <w:sz w:val="32"/>
          <w:szCs w:val="32"/>
        </w:rPr>
        <w:instrText xml:space="preserve">4、环卫承包费绩效目标表</w:instrText>
      </w:r>
      <w:bookmarkEnd w:id="3"/>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565-0401-JBN-3GS0</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hint="eastAsia" w:ascii="方正书宋_GBK" w:eastAsia="方正书宋_GBK"/>
              </w:rPr>
              <w:t>环卫承包费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1073.08</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1073.08</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加强管理，提高城市承载能力和宜居度。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、改善城区人居环境</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、提高城市宜居度</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机械化清扫率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机械化清扫范围占环卫清扫面积的比率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清洁程度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果皮、纸屑、塑模等占主干道、大街小巷每</w:t>
            </w:r>
            <w:r>
              <w:rPr>
                <w:rFonts w:ascii="方正书宋_GBK" w:eastAsia="方正书宋_GBK"/>
              </w:rPr>
              <w:t>1000</w:t>
            </w:r>
            <w:r>
              <w:rPr>
                <w:rFonts w:hint="eastAsia" w:ascii="方正书宋_GBK" w:eastAsia="方正书宋_GBK"/>
              </w:rPr>
              <w:t>平米几处</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处</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城市的美丽度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市容市貌整体提升程度，宜居度</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道路清扫与垃圾运输及时程度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道路清扫与垃圾运输是否及时，减少城区环境的污染</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bl>
    <w:p>
      <w:pPr>
        <w:spacing w:line="56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560" w:lineRule="exact"/>
        <w:ind w:firstLine="420" w:firstLineChars="200"/>
        <w:jc w:val="left"/>
      </w:pPr>
    </w:p>
    <w:p>
      <w:pPr>
        <w:spacing w:line="560" w:lineRule="exact"/>
        <w:ind w:firstLine="643" w:firstLineChars="200"/>
        <w:jc w:val="left"/>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5、垃圾场承包费绩效目标表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4" w:name="_Toc29999933"/>
      <w:r>
        <w:rPr>
          <w:rFonts w:hint="eastAsia" w:ascii="仿宋_GB2312" w:hAnsi="仿宋_GB2312" w:eastAsia="仿宋_GB2312" w:cs="仿宋_GB2312"/>
          <w:b/>
          <w:sz w:val="32"/>
          <w:szCs w:val="32"/>
        </w:rPr>
        <w:instrText xml:space="preserve">5、垃圾场承包费绩效目标表</w:instrText>
      </w:r>
      <w:bookmarkEnd w:id="4"/>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565-0401-JBN-8OXE</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hint="eastAsia" w:ascii="方正书宋_GBK" w:eastAsia="方正书宋_GBK"/>
              </w:rPr>
              <w:t>垃圾场承包费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275.97</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275.97</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为保护城区生态环境，改善群众生活环境。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、保护城区环境</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、改善群众生活环境</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垃圾处理率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处理生活垃圾占垃圾总数的比率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96%</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规范化填埋</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生活垃圾能否规范化填埋</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城市环境监测</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生活垃圾填埋对生态环境影响程度</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降低</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根据合同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生态效益指标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减少对环境的污染</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减少垃圾清运过程中转的环节，对环境污染更少</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降低</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职责活动的评价标准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群众对城市环境垃圾处理的满意程度</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97%</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职责活动的评价标准</w:t>
            </w:r>
          </w:p>
        </w:tc>
      </w:tr>
    </w:tbl>
    <w:p>
      <w:pPr>
        <w:spacing w:line="56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560" w:lineRule="exact"/>
        <w:ind w:firstLine="420" w:firstLineChars="200"/>
        <w:jc w:val="left"/>
      </w:pPr>
    </w:p>
    <w:p>
      <w:pPr>
        <w:spacing w:line="560" w:lineRule="exact"/>
        <w:ind w:firstLine="643" w:firstLineChars="200"/>
        <w:jc w:val="left"/>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6、数字化城市管理系统日常维护费绩效目标表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5" w:name="_Toc29999934"/>
      <w:r>
        <w:rPr>
          <w:rFonts w:hint="eastAsia" w:ascii="仿宋_GB2312" w:hAnsi="仿宋_GB2312" w:eastAsia="仿宋_GB2312" w:cs="仿宋_GB2312"/>
          <w:b/>
          <w:sz w:val="32"/>
          <w:szCs w:val="32"/>
        </w:rPr>
        <w:instrText xml:space="preserve">6、数字化城市管理系统日常维护费绩效目标表</w:instrText>
      </w:r>
      <w:bookmarkEnd w:id="5"/>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565-0502-JBN-WLSE</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数字化城市管理系统日常维护费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8.00</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8.00</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实现城市管理精细化、规范化、标准化的重要举措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、提高城市精细化管理水平</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、发挥数字化指挥中心作用</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建立完善的城市管理信息</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通过数字化城市管理系统进行完整的数据采集</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数字化覆盖率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数字化城市管理系统覆盖面积占城区总面积的比率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城市综合管理水平</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以数字城市化为依托，共享多部门数据资源信息，综合整治，联合执法。</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构建和谐社会</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通过数字化指挥中心，进一步提高政府服务和公共事业服务水平</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bl>
    <w:p>
      <w:pPr>
        <w:spacing w:line="56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560" w:lineRule="exact"/>
        <w:ind w:firstLine="420" w:firstLineChars="200"/>
        <w:jc w:val="left"/>
      </w:pPr>
    </w:p>
    <w:p>
      <w:pPr>
        <w:spacing w:line="560" w:lineRule="exact"/>
        <w:ind w:firstLine="643" w:firstLineChars="200"/>
        <w:jc w:val="left"/>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7、数字化管理系统网络运营费绩效目标表</w:t>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TC </w:instrText>
      </w:r>
      <w:bookmarkStart w:id="6" w:name="_Toc29999935"/>
      <w:r>
        <w:rPr>
          <w:rFonts w:hint="eastAsia" w:ascii="仿宋_GB2312" w:hAnsi="仿宋_GB2312" w:eastAsia="仿宋_GB2312" w:cs="仿宋_GB2312"/>
          <w:b/>
          <w:sz w:val="32"/>
          <w:szCs w:val="32"/>
        </w:rPr>
        <w:instrText xml:space="preserve">7、数字化管理系统网络运营费绩效目标表</w:instrText>
      </w:r>
      <w:bookmarkEnd w:id="6"/>
      <w:r>
        <w:rPr>
          <w:rFonts w:hint="eastAsia" w:ascii="仿宋_GB2312" w:hAnsi="仿宋_GB2312" w:eastAsia="仿宋_GB2312" w:cs="仿宋_GB2312"/>
          <w:b/>
          <w:sz w:val="32"/>
          <w:szCs w:val="32"/>
        </w:rPr>
        <w:instrText xml:space="preserve"> \f C \l 1 </w:instrText>
      </w:r>
      <w:r>
        <w:rPr>
          <w:rFonts w:hint="eastAsia" w:ascii="仿宋_GB2312" w:hAnsi="仿宋_GB2312" w:eastAsia="仿宋_GB2312" w:cs="仿宋_GB2312"/>
          <w:b/>
          <w:sz w:val="32"/>
          <w:szCs w:val="32"/>
        </w:rPr>
        <w:fldChar w:fldCharType="end"/>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vAlign w:val="center"/>
          </w:tcPr>
          <w:p>
            <w:pPr>
              <w:spacing w:line="560" w:lineRule="exact"/>
              <w:jc w:val="left"/>
              <w:rPr>
                <w:rFonts w:ascii="方正书宋_GBK" w:eastAsia="方正书宋_GBK"/>
                <w:b/>
              </w:rPr>
            </w:pPr>
            <w:r>
              <w:rPr>
                <w:rFonts w:ascii="方正书宋_GBK" w:eastAsia="方正书宋_GBK"/>
                <w:b/>
              </w:rPr>
              <w:t>565002</w:t>
            </w:r>
            <w:r>
              <w:rPr>
                <w:rFonts w:hint="eastAsia" w:ascii="方正书宋_GBK" w:eastAsia="方正书宋_GBK"/>
                <w:b/>
              </w:rPr>
              <w:t>涞水县城市管理综合执法局</w:t>
            </w:r>
          </w:p>
        </w:tc>
        <w:tc>
          <w:tcPr>
            <w:tcW w:w="1701" w:type="dxa"/>
            <w:tcBorders>
              <w:top w:val="single" w:color="FFFFFF" w:sz="6" w:space="0"/>
              <w:left w:val="single" w:color="FFFFFF" w:sz="6" w:space="0"/>
              <w:right w:val="single" w:color="FFFFFF" w:sz="6" w:space="0"/>
            </w:tcBorders>
            <w:shd w:val="clear" w:color="auto" w:fill="auto"/>
            <w:vAlign w:val="center"/>
          </w:tcPr>
          <w:p>
            <w:pPr>
              <w:spacing w:line="56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vAlign w:val="center"/>
          </w:tcPr>
          <w:p>
            <w:pPr>
              <w:spacing w:line="560" w:lineRule="exact"/>
              <w:jc w:val="left"/>
              <w:rPr>
                <w:rFonts w:ascii="方正书宋_GBK" w:eastAsia="方正书宋_GBK"/>
              </w:rPr>
            </w:pPr>
            <w:r>
              <w:rPr>
                <w:rFonts w:ascii="方正书宋_GBK" w:eastAsia="方正书宋_GBK"/>
              </w:rPr>
              <w:t>565-0502-JBN-8UK9</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数字化管理系统网络运营费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10.66</w:t>
            </w:r>
          </w:p>
        </w:tc>
        <w:tc>
          <w:tcPr>
            <w:tcW w:w="1587"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vAlign w:val="center"/>
          </w:tcPr>
          <w:p>
            <w:pPr>
              <w:spacing w:line="560" w:lineRule="exact"/>
              <w:jc w:val="left"/>
              <w:rPr>
                <w:rFonts w:ascii="方正书宋_GBK" w:eastAsia="方正书宋_GBK"/>
              </w:rPr>
            </w:pPr>
            <w:r>
              <w:rPr>
                <w:rFonts w:ascii="方正书宋_GBK" w:eastAsia="方正书宋_GBK"/>
              </w:rPr>
              <w:t>10.66</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vAlign w:val="center"/>
          </w:tcPr>
          <w:p>
            <w:pPr>
              <w:spacing w:line="56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vAlign w:val="center"/>
          </w:tcPr>
          <w:p>
            <w:pPr>
              <w:spacing w:line="560" w:lineRule="exact"/>
              <w:jc w:val="left"/>
              <w:outlineLvl w:val="1"/>
            </w:pPr>
          </w:p>
        </w:tc>
        <w:tc>
          <w:tcPr>
            <w:tcW w:w="8278" w:type="dxa"/>
            <w:gridSpan w:val="6"/>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提高城市精细化管理水平，加快数字化指挥中心建设步伐。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vAlign w:val="center"/>
          </w:tcPr>
          <w:p>
            <w:pPr>
              <w:spacing w:line="56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vAlign w:val="center"/>
          </w:tcPr>
          <w:p>
            <w:pPr>
              <w:spacing w:line="56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vAlign w:val="center"/>
          </w:tcPr>
          <w:p>
            <w:pPr>
              <w:spacing w:line="56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vAlign w:val="center"/>
          </w:tcPr>
          <w:p>
            <w:pPr>
              <w:spacing w:line="560" w:lineRule="exact"/>
              <w:jc w:val="left"/>
              <w:outlineLvl w:val="1"/>
            </w:pPr>
          </w:p>
        </w:tc>
        <w:tc>
          <w:tcPr>
            <w:tcW w:w="2410"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p>
        </w:tc>
        <w:tc>
          <w:tcPr>
            <w:tcW w:w="1587" w:type="dxa"/>
            <w:tcBorders>
              <w:bottom w:val="single" w:color="000000" w:sz="6" w:space="0"/>
            </w:tcBorders>
            <w:shd w:val="clear" w:color="auto" w:fill="auto"/>
            <w:vAlign w:val="center"/>
          </w:tcPr>
          <w:p>
            <w:pPr>
              <w:spacing w:line="56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vAlign w:val="center"/>
          </w:tcPr>
          <w:p>
            <w:pPr>
              <w:spacing w:line="560" w:lineRule="exact"/>
              <w:jc w:val="center"/>
              <w:rPr>
                <w:rFonts w:ascii="方正书宋_GBK" w:eastAsia="方正书宋_GBK"/>
              </w:rPr>
            </w:pPr>
          </w:p>
        </w:tc>
        <w:tc>
          <w:tcPr>
            <w:tcW w:w="2977" w:type="dxa"/>
            <w:gridSpan w:val="2"/>
            <w:tcBorders>
              <w:bottom w:val="single" w:color="000000" w:sz="6" w:space="0"/>
            </w:tcBorders>
            <w:shd w:val="clear" w:color="auto" w:fill="auto"/>
            <w:vAlign w:val="center"/>
          </w:tcPr>
          <w:p>
            <w:pPr>
              <w:spacing w:line="56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vAlign w:val="center"/>
          </w:tcPr>
          <w:p>
            <w:pPr>
              <w:spacing w:line="560" w:lineRule="exact"/>
              <w:jc w:val="left"/>
              <w:rPr>
                <w:rFonts w:ascii="方正书宋_GBK" w:eastAsia="方正书宋_GBK"/>
              </w:rPr>
            </w:pPr>
            <w:r>
              <w:rPr>
                <w:rFonts w:ascii="方正书宋_GBK" w:eastAsia="方正书宋_GBK"/>
              </w:rPr>
              <w:t>1</w:t>
            </w:r>
            <w:r>
              <w:rPr>
                <w:rFonts w:hint="eastAsia" w:ascii="方正书宋_GBK" w:eastAsia="方正书宋_GBK"/>
              </w:rPr>
              <w:t>、管理空间的精细化</w:t>
            </w:r>
          </w:p>
          <w:p>
            <w:pPr>
              <w:spacing w:line="560" w:lineRule="exact"/>
              <w:jc w:val="left"/>
              <w:rPr>
                <w:rFonts w:ascii="方正书宋_GBK" w:eastAsia="方正书宋_GBK"/>
              </w:rPr>
            </w:pPr>
            <w:r>
              <w:rPr>
                <w:rFonts w:ascii="方正书宋_GBK" w:eastAsia="方正书宋_GBK"/>
              </w:rPr>
              <w:t>2</w:t>
            </w:r>
            <w:r>
              <w:rPr>
                <w:rFonts w:hint="eastAsia" w:ascii="方正书宋_GBK" w:eastAsia="方正书宋_GBK"/>
              </w:rPr>
              <w:t>、实现城市管理的精确、敏捷、高效和全时段、全方位覆盖。</w:t>
            </w:r>
          </w:p>
        </w:tc>
      </w:tr>
    </w:tbl>
    <w:p>
      <w:pPr>
        <w:spacing w:line="560" w:lineRule="exact"/>
        <w:ind w:firstLine="420" w:firstLineChars="200"/>
        <w:jc w:val="center"/>
        <w:rPr>
          <w:rFonts w:ascii="Times New Roman" w:hAnsi="宋体"/>
        </w:rPr>
      </w:pPr>
      <w:r>
        <w:rPr>
          <w:rFonts w:ascii="方正书宋_GBK" w:eastAsia="方正书宋_GBK"/>
        </w:rPr>
        <w:t xml:space="preserve"> </w:t>
      </w:r>
    </w:p>
    <w:tbl>
      <w:tblPr>
        <w:tblStyle w:val="5"/>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56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数字化覆盖率</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数字化城市管理系统覆盖面积占城区总面积的比率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城市管理网格化</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城市精细化管理水平程度，辖区划分的单元网格情况</w:t>
            </w:r>
          </w:p>
        </w:tc>
        <w:tc>
          <w:tcPr>
            <w:tcW w:w="1276" w:type="dxa"/>
            <w:shd w:val="clear" w:color="auto" w:fill="auto"/>
            <w:vAlign w:val="center"/>
          </w:tcPr>
          <w:p>
            <w:pPr>
              <w:spacing w:line="560" w:lineRule="exact"/>
              <w:jc w:val="left"/>
              <w:rPr>
                <w:rFonts w:ascii="方正书宋_GBK" w:eastAsia="方正书宋_GBK"/>
              </w:rPr>
            </w:pPr>
          </w:p>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vAlign w:val="center"/>
          </w:tcPr>
          <w:p>
            <w:pPr>
              <w:spacing w:line="56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社会效益指标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应急处理</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以数字城市管理系统为依托，对突发事件、街面秩序等问题的处理情况</w:t>
            </w:r>
          </w:p>
        </w:tc>
        <w:tc>
          <w:tcPr>
            <w:tcW w:w="1276" w:type="dxa"/>
            <w:shd w:val="clear" w:color="auto" w:fill="auto"/>
            <w:vAlign w:val="center"/>
          </w:tcPr>
          <w:p>
            <w:pPr>
              <w:spacing w:line="56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vAlign w:val="center"/>
          </w:tcPr>
          <w:p>
            <w:pPr>
              <w:spacing w:line="560" w:lineRule="exact"/>
              <w:jc w:val="center"/>
              <w:rPr>
                <w:rFonts w:ascii="方正书宋_GBK" w:eastAsia="方正书宋_GBK"/>
              </w:rPr>
            </w:pP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构建和谐社会</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通过数字化指挥中心，进一步提高政府服务和公共事业服务水平</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提高</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数字化城管的目标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56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群众满意数量占总数的比率</w:t>
            </w:r>
          </w:p>
        </w:tc>
        <w:tc>
          <w:tcPr>
            <w:tcW w:w="1276"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vAlign w:val="center"/>
          </w:tcPr>
          <w:p>
            <w:pPr>
              <w:spacing w:line="560" w:lineRule="exact"/>
              <w:jc w:val="left"/>
              <w:rPr>
                <w:rFonts w:ascii="方正书宋_GBK" w:eastAsia="方正书宋_GBK"/>
              </w:rPr>
            </w:pPr>
            <w:r>
              <w:rPr>
                <w:rFonts w:hint="eastAsia" w:ascii="方正书宋_GBK" w:eastAsia="方正书宋_GBK"/>
              </w:rPr>
              <w:t>评价标准</w:t>
            </w:r>
          </w:p>
        </w:tc>
      </w:tr>
    </w:tbl>
    <w:p>
      <w:pPr>
        <w:spacing w:line="560" w:lineRule="exact"/>
        <w:jc w:val="left"/>
        <w:sectPr>
          <w:pgSz w:w="11907" w:h="16839"/>
          <w:pgMar w:top="1984" w:right="1304" w:bottom="1134" w:left="1304" w:header="851" w:footer="992" w:gutter="0"/>
          <w:cols w:space="425" w:num="1"/>
          <w:docGrid w:type="lines" w:linePitch="312" w:charSpace="0"/>
        </w:sect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六、政府采购预算情况</w:t>
      </w:r>
    </w:p>
    <w:p>
      <w:pPr>
        <w:spacing w:line="56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我部门无政府采购预算项目，空表列示。</w:t>
      </w:r>
    </w:p>
    <w:p>
      <w:pPr>
        <w:spacing w:line="400" w:lineRule="exact"/>
        <w:ind w:firstLine="562" w:firstLineChars="200"/>
        <w:jc w:val="center"/>
        <w:outlineLvl w:val="0"/>
        <w:rPr>
          <w:rFonts w:ascii="Times New Roman" w:hAnsi="宋体"/>
          <w:sz w:val="18"/>
          <w:szCs w:val="18"/>
        </w:rPr>
      </w:pPr>
      <w:r>
        <w:rPr>
          <w:rFonts w:hint="eastAsia" w:ascii="仿宋_GB2312" w:hAnsi="仿宋_GB2312" w:eastAsia="仿宋_GB2312" w:cs="仿宋_GB2312"/>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hint="eastAsia" w:ascii="方正小标宋_GBK" w:eastAsia="方正小标宋_GBK"/>
          <w:sz w:val="18"/>
          <w:szCs w:val="18"/>
        </w:rPr>
        <w:instrText xml:space="preserve">TC </w:instrText>
      </w:r>
      <w:bookmarkStart w:id="7" w:name="_Toc30009658"/>
      <w:r>
        <w:rPr>
          <w:rFonts w:hint="eastAsia" w:ascii="方正小标宋_GBK" w:eastAsia="方正小标宋_GBK"/>
          <w:sz w:val="18"/>
          <w:szCs w:val="18"/>
        </w:rPr>
        <w:instrText xml:space="preserve">部门政府采购预算</w:instrText>
      </w:r>
      <w:bookmarkEnd w:id="7"/>
      <w:r>
        <w:rPr>
          <w:rFonts w:hint="eastAsia" w:ascii="方正小标宋_GBK" w:eastAsia="方正小标宋_GBK"/>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Style w:val="5"/>
        <w:tblW w:w="88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28"/>
        <w:gridCol w:w="687"/>
        <w:gridCol w:w="596"/>
        <w:gridCol w:w="979"/>
        <w:gridCol w:w="480"/>
        <w:gridCol w:w="322"/>
        <w:gridCol w:w="419"/>
        <w:gridCol w:w="542"/>
        <w:gridCol w:w="822"/>
        <w:gridCol w:w="679"/>
        <w:gridCol w:w="640"/>
        <w:gridCol w:w="1080"/>
        <w:gridCol w:w="1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7" w:hRule="atLeast"/>
          <w:tblHeader/>
          <w:jc w:val="center"/>
        </w:trPr>
        <w:tc>
          <w:tcPr>
            <w:tcW w:w="4011" w:type="dxa"/>
            <w:gridSpan w:val="7"/>
            <w:tcBorders>
              <w:top w:val="single" w:color="FFFFFF" w:sz="6" w:space="0"/>
              <w:left w:val="single" w:color="FFFFFF" w:sz="6" w:space="0"/>
              <w:right w:val="single" w:color="FFFFFF" w:sz="6" w:space="0"/>
            </w:tcBorders>
            <w:shd w:val="clear" w:color="auto" w:fill="auto"/>
            <w:vAlign w:val="center"/>
          </w:tcPr>
          <w:p>
            <w:pPr>
              <w:spacing w:line="400" w:lineRule="exact"/>
              <w:jc w:val="left"/>
              <w:rPr>
                <w:rFonts w:asciiTheme="minorEastAsia" w:hAnsiTheme="minorEastAsia" w:cstheme="minorEastAsia"/>
                <w:sz w:val="18"/>
                <w:szCs w:val="18"/>
              </w:rPr>
            </w:pPr>
          </w:p>
        </w:tc>
        <w:tc>
          <w:tcPr>
            <w:tcW w:w="4869" w:type="dxa"/>
            <w:gridSpan w:val="6"/>
            <w:tcBorders>
              <w:top w:val="single" w:color="FFFFFF" w:sz="6" w:space="0"/>
              <w:left w:val="single" w:color="FFFFFF" w:sz="6" w:space="0"/>
              <w:right w:val="single" w:color="FFFFFF" w:sz="6" w:space="0"/>
            </w:tcBorders>
            <w:shd w:val="clear" w:color="auto" w:fill="auto"/>
            <w:vAlign w:val="center"/>
          </w:tcPr>
          <w:p>
            <w:pPr>
              <w:spacing w:line="400" w:lineRule="exact"/>
              <w:jc w:val="right"/>
              <w:rPr>
                <w:rFonts w:asciiTheme="minorEastAsia" w:hAnsiTheme="minorEastAsia" w:cstheme="minorEastAsia"/>
                <w:sz w:val="18"/>
                <w:szCs w:val="18"/>
              </w:rPr>
            </w:pPr>
            <w:r>
              <w:rPr>
                <w:rFonts w:hint="eastAsia" w:asciiTheme="minorEastAsia" w:hAnsiTheme="minorEastAsia" w:cstheme="minorEastAsia"/>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18" w:hRule="atLeast"/>
          <w:tblHeader/>
          <w:jc w:val="center"/>
        </w:trPr>
        <w:tc>
          <w:tcPr>
            <w:tcW w:w="1215" w:type="dxa"/>
            <w:gridSpan w:val="2"/>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政府采购项目来源</w:t>
            </w:r>
          </w:p>
        </w:tc>
        <w:tc>
          <w:tcPr>
            <w:tcW w:w="596"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物品</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97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目录序号</w:t>
            </w:r>
          </w:p>
        </w:tc>
        <w:tc>
          <w:tcPr>
            <w:tcW w:w="480"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计量  单位</w:t>
            </w:r>
          </w:p>
        </w:tc>
        <w:tc>
          <w:tcPr>
            <w:tcW w:w="322"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数量</w:t>
            </w:r>
          </w:p>
        </w:tc>
        <w:tc>
          <w:tcPr>
            <w:tcW w:w="419" w:type="dxa"/>
            <w:vMerge w:val="restart"/>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单价</w:t>
            </w:r>
          </w:p>
        </w:tc>
        <w:tc>
          <w:tcPr>
            <w:tcW w:w="4869" w:type="dxa"/>
            <w:gridSpan w:val="6"/>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1" w:hRule="atLeast"/>
          <w:tblHeader/>
          <w:jc w:val="center"/>
        </w:trPr>
        <w:tc>
          <w:tcPr>
            <w:tcW w:w="528"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项目</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名称</w:t>
            </w:r>
          </w:p>
        </w:tc>
        <w:tc>
          <w:tcPr>
            <w:tcW w:w="687"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预算</w:t>
            </w:r>
          </w:p>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资金</w:t>
            </w:r>
          </w:p>
        </w:tc>
        <w:tc>
          <w:tcPr>
            <w:tcW w:w="596"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97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80"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322"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419" w:type="dxa"/>
            <w:vMerge w:val="continue"/>
            <w:shd w:val="clear" w:color="auto" w:fill="auto"/>
            <w:vAlign w:val="center"/>
          </w:tcPr>
          <w:p>
            <w:pPr>
              <w:spacing w:line="400" w:lineRule="exact"/>
              <w:jc w:val="left"/>
              <w:outlineLvl w:val="0"/>
              <w:rPr>
                <w:rFonts w:asciiTheme="minorEastAsia" w:hAnsiTheme="minorEastAsia" w:cstheme="minorEastAsia"/>
                <w:sz w:val="18"/>
                <w:szCs w:val="18"/>
              </w:rPr>
            </w:pPr>
          </w:p>
        </w:tc>
        <w:tc>
          <w:tcPr>
            <w:tcW w:w="54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合计</w:t>
            </w:r>
          </w:p>
        </w:tc>
        <w:tc>
          <w:tcPr>
            <w:tcW w:w="822"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一般公共预算拨款</w:t>
            </w:r>
          </w:p>
        </w:tc>
        <w:tc>
          <w:tcPr>
            <w:tcW w:w="679"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基金预算拨款</w:t>
            </w:r>
          </w:p>
        </w:tc>
        <w:tc>
          <w:tcPr>
            <w:tcW w:w="64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国有资本经营预算拨款</w:t>
            </w:r>
          </w:p>
        </w:tc>
        <w:tc>
          <w:tcPr>
            <w:tcW w:w="1080"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财政专户核拨</w:t>
            </w:r>
          </w:p>
        </w:tc>
        <w:tc>
          <w:tcPr>
            <w:tcW w:w="1106" w:type="dxa"/>
            <w:shd w:val="clear" w:color="auto" w:fill="auto"/>
            <w:vAlign w:val="center"/>
          </w:tcPr>
          <w:p>
            <w:pPr>
              <w:spacing w:line="400" w:lineRule="exact"/>
              <w:jc w:val="center"/>
              <w:rPr>
                <w:rFonts w:asciiTheme="minorEastAsia" w:hAnsiTheme="minorEastAsia" w:cstheme="minorEastAsia"/>
                <w:b/>
                <w:sz w:val="18"/>
                <w:szCs w:val="18"/>
              </w:rPr>
            </w:pPr>
            <w:r>
              <w:rPr>
                <w:rFonts w:hint="eastAsia" w:asciiTheme="minorEastAsia" w:hAnsiTheme="minorEastAsia" w:cstheme="minorEastAsia"/>
                <w:b/>
                <w:sz w:val="18"/>
                <w:szCs w:val="18"/>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528" w:type="dxa"/>
            <w:shd w:val="clear" w:color="auto" w:fill="auto"/>
            <w:vAlign w:val="center"/>
          </w:tcPr>
          <w:p>
            <w:pPr>
              <w:spacing w:line="400" w:lineRule="exact"/>
              <w:jc w:val="center"/>
              <w:rPr>
                <w:rFonts w:asciiTheme="minorEastAsia" w:hAnsiTheme="minorEastAsia" w:cstheme="minorEastAsia"/>
                <w:b/>
                <w:sz w:val="18"/>
                <w:szCs w:val="18"/>
              </w:rPr>
            </w:pPr>
          </w:p>
        </w:tc>
        <w:tc>
          <w:tcPr>
            <w:tcW w:w="687" w:type="dxa"/>
            <w:shd w:val="clear" w:color="auto" w:fill="auto"/>
            <w:vAlign w:val="center"/>
          </w:tcPr>
          <w:p>
            <w:pPr>
              <w:spacing w:line="400" w:lineRule="exact"/>
              <w:jc w:val="right"/>
              <w:rPr>
                <w:rFonts w:asciiTheme="minorEastAsia" w:hAnsiTheme="minorEastAsia" w:cstheme="minorEastAsia"/>
                <w:b/>
                <w:sz w:val="18"/>
                <w:szCs w:val="18"/>
              </w:rPr>
            </w:pPr>
          </w:p>
        </w:tc>
        <w:tc>
          <w:tcPr>
            <w:tcW w:w="596" w:type="dxa"/>
            <w:shd w:val="clear" w:color="auto" w:fill="auto"/>
            <w:vAlign w:val="center"/>
          </w:tcPr>
          <w:p>
            <w:pPr>
              <w:spacing w:line="400" w:lineRule="exact"/>
              <w:jc w:val="left"/>
              <w:rPr>
                <w:rFonts w:asciiTheme="minorEastAsia" w:hAnsiTheme="minorEastAsia" w:cstheme="minorEastAsia"/>
                <w:b/>
                <w:sz w:val="18"/>
                <w:szCs w:val="18"/>
              </w:rPr>
            </w:pPr>
          </w:p>
        </w:tc>
        <w:tc>
          <w:tcPr>
            <w:tcW w:w="979" w:type="dxa"/>
            <w:shd w:val="clear" w:color="auto" w:fill="auto"/>
            <w:vAlign w:val="center"/>
          </w:tcPr>
          <w:p>
            <w:pPr>
              <w:spacing w:line="400" w:lineRule="exact"/>
              <w:jc w:val="left"/>
              <w:rPr>
                <w:rFonts w:asciiTheme="minorEastAsia" w:hAnsiTheme="minorEastAsia" w:cstheme="minorEastAsia"/>
                <w:b/>
                <w:sz w:val="18"/>
                <w:szCs w:val="18"/>
              </w:rPr>
            </w:pPr>
          </w:p>
        </w:tc>
        <w:tc>
          <w:tcPr>
            <w:tcW w:w="480" w:type="dxa"/>
            <w:shd w:val="clear" w:color="auto" w:fill="auto"/>
            <w:vAlign w:val="center"/>
          </w:tcPr>
          <w:p>
            <w:pPr>
              <w:spacing w:line="400" w:lineRule="exact"/>
              <w:jc w:val="center"/>
              <w:rPr>
                <w:rFonts w:asciiTheme="minorEastAsia" w:hAnsiTheme="minorEastAsia" w:cstheme="minorEastAsia"/>
                <w:b/>
                <w:sz w:val="18"/>
                <w:szCs w:val="18"/>
              </w:rPr>
            </w:pPr>
          </w:p>
        </w:tc>
        <w:tc>
          <w:tcPr>
            <w:tcW w:w="322" w:type="dxa"/>
            <w:shd w:val="clear" w:color="auto" w:fill="auto"/>
            <w:vAlign w:val="center"/>
          </w:tcPr>
          <w:p>
            <w:pPr>
              <w:spacing w:line="400" w:lineRule="exact"/>
              <w:jc w:val="right"/>
              <w:rPr>
                <w:rFonts w:asciiTheme="minorEastAsia" w:hAnsiTheme="minorEastAsia" w:cstheme="minorEastAsia"/>
                <w:b/>
                <w:sz w:val="18"/>
                <w:szCs w:val="18"/>
              </w:rPr>
            </w:pPr>
          </w:p>
        </w:tc>
        <w:tc>
          <w:tcPr>
            <w:tcW w:w="419" w:type="dxa"/>
            <w:shd w:val="clear" w:color="auto" w:fill="auto"/>
            <w:vAlign w:val="center"/>
          </w:tcPr>
          <w:p>
            <w:pPr>
              <w:spacing w:line="400" w:lineRule="exact"/>
              <w:jc w:val="right"/>
              <w:rPr>
                <w:rFonts w:asciiTheme="minorEastAsia" w:hAnsiTheme="minorEastAsia" w:cstheme="minorEastAsia"/>
                <w:b/>
                <w:sz w:val="18"/>
                <w:szCs w:val="18"/>
              </w:rPr>
            </w:pPr>
          </w:p>
        </w:tc>
        <w:tc>
          <w:tcPr>
            <w:tcW w:w="542" w:type="dxa"/>
            <w:shd w:val="clear" w:color="auto" w:fill="auto"/>
            <w:vAlign w:val="center"/>
          </w:tcPr>
          <w:p>
            <w:pPr>
              <w:spacing w:line="400" w:lineRule="exact"/>
              <w:jc w:val="right"/>
              <w:rPr>
                <w:rFonts w:asciiTheme="minorEastAsia" w:hAnsiTheme="minorEastAsia" w:cstheme="minorEastAsia"/>
                <w:b/>
                <w:sz w:val="18"/>
                <w:szCs w:val="18"/>
              </w:rPr>
            </w:pPr>
          </w:p>
        </w:tc>
        <w:tc>
          <w:tcPr>
            <w:tcW w:w="822" w:type="dxa"/>
            <w:shd w:val="clear" w:color="auto" w:fill="auto"/>
            <w:vAlign w:val="center"/>
          </w:tcPr>
          <w:p>
            <w:pPr>
              <w:spacing w:line="400" w:lineRule="exact"/>
              <w:rPr>
                <w:rFonts w:asciiTheme="minorEastAsia" w:hAnsiTheme="minorEastAsia" w:cstheme="minorEastAsia"/>
                <w:b/>
                <w:sz w:val="18"/>
                <w:szCs w:val="18"/>
              </w:rPr>
            </w:pPr>
          </w:p>
        </w:tc>
        <w:tc>
          <w:tcPr>
            <w:tcW w:w="679" w:type="dxa"/>
            <w:shd w:val="clear" w:color="auto" w:fill="auto"/>
            <w:vAlign w:val="center"/>
          </w:tcPr>
          <w:p>
            <w:pPr>
              <w:spacing w:line="400" w:lineRule="exact"/>
              <w:jc w:val="right"/>
              <w:rPr>
                <w:rFonts w:asciiTheme="minorEastAsia" w:hAnsiTheme="minorEastAsia" w:cstheme="minorEastAsia"/>
                <w:b/>
                <w:sz w:val="18"/>
                <w:szCs w:val="18"/>
              </w:rPr>
            </w:pPr>
          </w:p>
        </w:tc>
        <w:tc>
          <w:tcPr>
            <w:tcW w:w="640" w:type="dxa"/>
            <w:shd w:val="clear" w:color="auto" w:fill="auto"/>
            <w:vAlign w:val="center"/>
          </w:tcPr>
          <w:p>
            <w:pPr>
              <w:spacing w:line="400" w:lineRule="exact"/>
              <w:jc w:val="right"/>
              <w:rPr>
                <w:rFonts w:asciiTheme="minorEastAsia" w:hAnsiTheme="minorEastAsia" w:cstheme="minorEastAsia"/>
                <w:b/>
                <w:sz w:val="18"/>
                <w:szCs w:val="18"/>
              </w:rPr>
            </w:pPr>
          </w:p>
        </w:tc>
        <w:tc>
          <w:tcPr>
            <w:tcW w:w="1080" w:type="dxa"/>
            <w:shd w:val="clear" w:color="auto" w:fill="auto"/>
            <w:vAlign w:val="center"/>
          </w:tcPr>
          <w:p>
            <w:pPr>
              <w:spacing w:line="400" w:lineRule="exact"/>
              <w:jc w:val="right"/>
              <w:rPr>
                <w:rFonts w:asciiTheme="minorEastAsia" w:hAnsiTheme="minorEastAsia" w:cstheme="minorEastAsia"/>
                <w:b/>
                <w:sz w:val="18"/>
                <w:szCs w:val="18"/>
              </w:rPr>
            </w:pPr>
          </w:p>
        </w:tc>
        <w:tc>
          <w:tcPr>
            <w:tcW w:w="1106" w:type="dxa"/>
            <w:shd w:val="clear" w:color="auto" w:fill="auto"/>
            <w:vAlign w:val="center"/>
          </w:tcPr>
          <w:p>
            <w:pPr>
              <w:spacing w:line="400" w:lineRule="exact"/>
              <w:jc w:val="right"/>
              <w:rPr>
                <w:rFonts w:asciiTheme="minorEastAsia" w:hAnsiTheme="minorEastAsia" w:cstheme="minorEastAsia"/>
                <w:b/>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03" w:hRule="atLeast"/>
          <w:jc w:val="center"/>
        </w:trPr>
        <w:tc>
          <w:tcPr>
            <w:tcW w:w="528" w:type="dxa"/>
            <w:shd w:val="clear" w:color="auto" w:fill="auto"/>
            <w:vAlign w:val="center"/>
          </w:tcPr>
          <w:p>
            <w:pPr>
              <w:spacing w:line="400" w:lineRule="exact"/>
              <w:jc w:val="left"/>
              <w:rPr>
                <w:rFonts w:asciiTheme="minorEastAsia" w:hAnsiTheme="minorEastAsia" w:cstheme="minorEastAsia"/>
                <w:sz w:val="18"/>
                <w:szCs w:val="18"/>
              </w:rPr>
            </w:pPr>
          </w:p>
        </w:tc>
        <w:tc>
          <w:tcPr>
            <w:tcW w:w="687" w:type="dxa"/>
            <w:shd w:val="clear" w:color="auto" w:fill="auto"/>
            <w:vAlign w:val="center"/>
          </w:tcPr>
          <w:p>
            <w:pPr>
              <w:spacing w:line="400" w:lineRule="exact"/>
              <w:jc w:val="right"/>
              <w:rPr>
                <w:rFonts w:asciiTheme="minorEastAsia" w:hAnsiTheme="minorEastAsia" w:cstheme="minorEastAsia"/>
                <w:sz w:val="18"/>
                <w:szCs w:val="18"/>
              </w:rPr>
            </w:pPr>
          </w:p>
        </w:tc>
        <w:tc>
          <w:tcPr>
            <w:tcW w:w="596" w:type="dxa"/>
            <w:shd w:val="clear" w:color="auto" w:fill="auto"/>
            <w:vAlign w:val="center"/>
          </w:tcPr>
          <w:p>
            <w:pPr>
              <w:spacing w:line="400" w:lineRule="exact"/>
              <w:jc w:val="left"/>
              <w:rPr>
                <w:rFonts w:asciiTheme="minorEastAsia" w:hAnsiTheme="minorEastAsia" w:cstheme="minorEastAsia"/>
                <w:sz w:val="18"/>
                <w:szCs w:val="18"/>
              </w:rPr>
            </w:pPr>
          </w:p>
        </w:tc>
        <w:tc>
          <w:tcPr>
            <w:tcW w:w="979" w:type="dxa"/>
            <w:shd w:val="clear" w:color="auto" w:fill="auto"/>
            <w:vAlign w:val="center"/>
          </w:tcPr>
          <w:p>
            <w:pPr>
              <w:spacing w:line="400" w:lineRule="exact"/>
              <w:jc w:val="left"/>
              <w:rPr>
                <w:rFonts w:asciiTheme="minorEastAsia" w:hAnsiTheme="minorEastAsia" w:cstheme="minorEastAsia"/>
                <w:sz w:val="18"/>
                <w:szCs w:val="18"/>
              </w:rPr>
            </w:pPr>
          </w:p>
        </w:tc>
        <w:tc>
          <w:tcPr>
            <w:tcW w:w="480" w:type="dxa"/>
            <w:shd w:val="clear" w:color="auto" w:fill="auto"/>
            <w:vAlign w:val="center"/>
          </w:tcPr>
          <w:p>
            <w:pPr>
              <w:spacing w:line="400" w:lineRule="exact"/>
              <w:jc w:val="center"/>
              <w:rPr>
                <w:rFonts w:asciiTheme="minorEastAsia" w:hAnsiTheme="minorEastAsia" w:cstheme="minorEastAsia"/>
                <w:sz w:val="18"/>
                <w:szCs w:val="18"/>
              </w:rPr>
            </w:pPr>
          </w:p>
        </w:tc>
        <w:tc>
          <w:tcPr>
            <w:tcW w:w="322" w:type="dxa"/>
            <w:shd w:val="clear" w:color="auto" w:fill="auto"/>
            <w:vAlign w:val="center"/>
          </w:tcPr>
          <w:p>
            <w:pPr>
              <w:spacing w:line="400" w:lineRule="exact"/>
              <w:jc w:val="right"/>
              <w:rPr>
                <w:rFonts w:asciiTheme="minorEastAsia" w:hAnsiTheme="minorEastAsia" w:cstheme="minorEastAsia"/>
                <w:sz w:val="18"/>
                <w:szCs w:val="18"/>
              </w:rPr>
            </w:pPr>
          </w:p>
        </w:tc>
        <w:tc>
          <w:tcPr>
            <w:tcW w:w="419" w:type="dxa"/>
            <w:shd w:val="clear" w:color="auto" w:fill="auto"/>
            <w:vAlign w:val="center"/>
          </w:tcPr>
          <w:p>
            <w:pPr>
              <w:spacing w:line="400" w:lineRule="exact"/>
              <w:jc w:val="right"/>
              <w:rPr>
                <w:rFonts w:asciiTheme="minorEastAsia" w:hAnsiTheme="minorEastAsia" w:cstheme="minorEastAsia"/>
                <w:sz w:val="18"/>
                <w:szCs w:val="18"/>
              </w:rPr>
            </w:pPr>
          </w:p>
        </w:tc>
        <w:tc>
          <w:tcPr>
            <w:tcW w:w="542" w:type="dxa"/>
            <w:shd w:val="clear" w:color="auto" w:fill="auto"/>
            <w:vAlign w:val="center"/>
          </w:tcPr>
          <w:p>
            <w:pPr>
              <w:spacing w:line="400" w:lineRule="exact"/>
              <w:jc w:val="right"/>
              <w:rPr>
                <w:rFonts w:asciiTheme="minorEastAsia" w:hAnsiTheme="minorEastAsia" w:cstheme="minorEastAsia"/>
                <w:sz w:val="18"/>
                <w:szCs w:val="18"/>
              </w:rPr>
            </w:pPr>
          </w:p>
        </w:tc>
        <w:tc>
          <w:tcPr>
            <w:tcW w:w="822" w:type="dxa"/>
            <w:shd w:val="clear" w:color="auto" w:fill="auto"/>
            <w:vAlign w:val="center"/>
          </w:tcPr>
          <w:p>
            <w:pPr>
              <w:spacing w:line="400" w:lineRule="exact"/>
              <w:jc w:val="right"/>
              <w:rPr>
                <w:rFonts w:asciiTheme="minorEastAsia" w:hAnsiTheme="minorEastAsia" w:cstheme="minorEastAsia"/>
                <w:sz w:val="18"/>
                <w:szCs w:val="18"/>
              </w:rPr>
            </w:pPr>
          </w:p>
        </w:tc>
        <w:tc>
          <w:tcPr>
            <w:tcW w:w="679" w:type="dxa"/>
            <w:shd w:val="clear" w:color="auto" w:fill="auto"/>
            <w:vAlign w:val="center"/>
          </w:tcPr>
          <w:p>
            <w:pPr>
              <w:spacing w:line="400" w:lineRule="exact"/>
              <w:jc w:val="right"/>
              <w:rPr>
                <w:rFonts w:asciiTheme="minorEastAsia" w:hAnsiTheme="minorEastAsia" w:cstheme="minorEastAsia"/>
                <w:sz w:val="18"/>
                <w:szCs w:val="18"/>
              </w:rPr>
            </w:pPr>
          </w:p>
        </w:tc>
        <w:tc>
          <w:tcPr>
            <w:tcW w:w="640" w:type="dxa"/>
            <w:shd w:val="clear" w:color="auto" w:fill="auto"/>
            <w:vAlign w:val="center"/>
          </w:tcPr>
          <w:p>
            <w:pPr>
              <w:spacing w:line="400" w:lineRule="exact"/>
              <w:jc w:val="right"/>
              <w:rPr>
                <w:rFonts w:asciiTheme="minorEastAsia" w:hAnsiTheme="minorEastAsia" w:cstheme="minorEastAsia"/>
                <w:sz w:val="18"/>
                <w:szCs w:val="18"/>
              </w:rPr>
            </w:pPr>
          </w:p>
        </w:tc>
        <w:tc>
          <w:tcPr>
            <w:tcW w:w="1080" w:type="dxa"/>
            <w:shd w:val="clear" w:color="auto" w:fill="auto"/>
            <w:vAlign w:val="center"/>
          </w:tcPr>
          <w:p>
            <w:pPr>
              <w:spacing w:line="400" w:lineRule="exact"/>
              <w:jc w:val="right"/>
              <w:rPr>
                <w:rFonts w:asciiTheme="minorEastAsia" w:hAnsiTheme="minorEastAsia" w:cstheme="minorEastAsia"/>
                <w:sz w:val="18"/>
                <w:szCs w:val="18"/>
              </w:rPr>
            </w:pPr>
          </w:p>
        </w:tc>
        <w:tc>
          <w:tcPr>
            <w:tcW w:w="1106" w:type="dxa"/>
            <w:shd w:val="clear" w:color="auto" w:fill="auto"/>
            <w:vAlign w:val="center"/>
          </w:tcPr>
          <w:p>
            <w:pPr>
              <w:spacing w:line="400" w:lineRule="exact"/>
              <w:jc w:val="right"/>
              <w:rPr>
                <w:rFonts w:asciiTheme="minorEastAsia" w:hAnsiTheme="minorEastAsia" w:cstheme="minorEastAsia"/>
                <w:sz w:val="18"/>
                <w:szCs w:val="18"/>
              </w:rPr>
            </w:pPr>
          </w:p>
        </w:tc>
      </w:tr>
    </w:tbl>
    <w:p>
      <w:pPr>
        <w:spacing w:line="400" w:lineRule="exact"/>
        <w:rPr>
          <w:rFonts w:ascii="仿宋_GB2312" w:hAnsi="仿宋_GB2312" w:eastAsia="仿宋_GB2312" w:cs="仿宋_GB2312"/>
          <w:sz w:val="32"/>
          <w:szCs w:val="32"/>
        </w:rPr>
      </w:pPr>
      <w:r>
        <w:rPr>
          <w:rFonts w:hint="eastAsia" w:ascii="楷体_GB2312" w:hAnsi="楷体_GB2312" w:eastAsia="楷体_GB2312" w:cs="楷体_GB2312"/>
          <w:b/>
          <w:bCs/>
          <w:sz w:val="28"/>
          <w:szCs w:val="28"/>
        </w:rPr>
        <w:t>注：无政府采购预算，空表列示。</w:t>
      </w:r>
    </w:p>
    <w:p>
      <w:pPr>
        <w:spacing w:line="560" w:lineRule="exact"/>
        <w:ind w:firstLine="630"/>
        <w:rPr>
          <w:rFonts w:ascii="黑体" w:hAnsi="黑体" w:eastAsia="黑体" w:cs="黑体"/>
          <w:sz w:val="32"/>
          <w:szCs w:val="32"/>
        </w:rPr>
      </w:pPr>
      <w:r>
        <w:rPr>
          <w:rFonts w:hint="eastAsia" w:ascii="黑体" w:hAnsi="黑体" w:eastAsia="黑体" w:cs="黑体"/>
          <w:sz w:val="32"/>
          <w:szCs w:val="32"/>
        </w:rPr>
        <w:t>七、国有资产信息情况</w:t>
      </w:r>
    </w:p>
    <w:p>
      <w:pPr>
        <w:spacing w:line="560" w:lineRule="exact"/>
        <w:ind w:firstLine="561"/>
        <w:jc w:val="left"/>
        <w:rPr>
          <w:rFonts w:ascii="仿宋_GB2312" w:hAnsi="宋体" w:eastAsia="仿宋_GB2312" w:cs="宋体"/>
          <w:sz w:val="32"/>
          <w:szCs w:val="32"/>
        </w:rPr>
      </w:pPr>
      <w:r>
        <w:rPr>
          <w:rFonts w:hint="eastAsia" w:ascii="仿宋_GB2312" w:hAnsi="仿宋_GB2312" w:eastAsia="仿宋_GB2312" w:cs="仿宋_GB2312"/>
          <w:sz w:val="32"/>
          <w:szCs w:val="32"/>
        </w:rPr>
        <w:t>2019年末固定资产总额729.5739 万元，</w:t>
      </w:r>
      <w:r>
        <w:rPr>
          <w:rFonts w:hint="eastAsia" w:ascii="仿宋_GB2312" w:hAnsi="宋体" w:eastAsia="仿宋_GB2312" w:cs="宋体"/>
          <w:sz w:val="32"/>
          <w:szCs w:val="32"/>
        </w:rPr>
        <w:t>主要包括房屋 0平方米价值 0 万元，车辆 27 辆价值 339.1507万元,单价在20万以上的设备价值305.86万元及其他固定资产价值为84.5632 万元。2020年拟采购固定资产金额为0万元。</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涞水县城市管理综合行政执法局</w:t>
      </w:r>
    </w:p>
    <w:p>
      <w:pPr>
        <w:spacing w:line="56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截止时间：2019年12月31日</w:t>
      </w:r>
    </w:p>
    <w:tbl>
      <w:tblPr>
        <w:tblStyle w:val="6"/>
        <w:tblW w:w="92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1"/>
        <w:gridCol w:w="1290"/>
        <w:gridCol w:w="3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项   目</w:t>
            </w:r>
          </w:p>
        </w:tc>
        <w:tc>
          <w:tcPr>
            <w:tcW w:w="1290" w:type="dxa"/>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数量</w:t>
            </w:r>
          </w:p>
        </w:tc>
        <w:tc>
          <w:tcPr>
            <w:tcW w:w="3492" w:type="dxa"/>
          </w:tcPr>
          <w:p>
            <w:pPr>
              <w:spacing w:line="5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价值（单位：万元）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固定资产总额</w:t>
            </w:r>
          </w:p>
        </w:tc>
        <w:tc>
          <w:tcPr>
            <w:tcW w:w="1290"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3492"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729.5739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1、房屋(平方米）</w:t>
            </w:r>
          </w:p>
        </w:tc>
        <w:tc>
          <w:tcPr>
            <w:tcW w:w="1290"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3492" w:type="dxa"/>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其中：办公用房(平方米）</w:t>
            </w:r>
          </w:p>
        </w:tc>
        <w:tc>
          <w:tcPr>
            <w:tcW w:w="1290"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3492" w:type="dxa"/>
          </w:tcPr>
          <w:p>
            <w:pPr>
              <w:spacing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2、车辆（台、辆）</w:t>
            </w:r>
          </w:p>
        </w:tc>
        <w:tc>
          <w:tcPr>
            <w:tcW w:w="1290"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27</w:t>
            </w:r>
          </w:p>
        </w:tc>
        <w:tc>
          <w:tcPr>
            <w:tcW w:w="3492"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339.1507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3、单价在20万元以上的设备</w:t>
            </w:r>
          </w:p>
        </w:tc>
        <w:tc>
          <w:tcPr>
            <w:tcW w:w="1290"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3492"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305.86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41" w:type="dxa"/>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4、其他固定资产</w:t>
            </w:r>
          </w:p>
        </w:tc>
        <w:tc>
          <w:tcPr>
            <w:tcW w:w="1290"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3492" w:type="dxa"/>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84.5632</w:t>
            </w:r>
          </w:p>
        </w:tc>
      </w:tr>
    </w:tbl>
    <w:p>
      <w:pPr>
        <w:spacing w:line="560" w:lineRule="exact"/>
        <w:rPr>
          <w:rFonts w:ascii="黑体" w:hAnsi="仿宋_GB2312" w:eastAsia="黑体" w:cs="仿宋_GB2312"/>
          <w:b/>
          <w:sz w:val="32"/>
          <w:szCs w:val="32"/>
        </w:rPr>
      </w:pPr>
      <w:r>
        <w:rPr>
          <w:rFonts w:hint="eastAsia" w:ascii="仿宋_GB2312" w:hAnsi="仿宋_GB2312" w:eastAsia="仿宋_GB2312" w:cs="仿宋_GB2312"/>
          <w:bCs/>
          <w:sz w:val="32"/>
          <w:szCs w:val="32"/>
        </w:rPr>
        <w:t>其他固定资产主要是电脑、空调、办公桌椅等。</w:t>
      </w:r>
    </w:p>
    <w:p>
      <w:pPr>
        <w:spacing w:line="560" w:lineRule="exact"/>
        <w:ind w:firstLine="627" w:firstLineChars="196"/>
        <w:rPr>
          <w:rFonts w:ascii="黑体" w:hAnsi="黑体" w:eastAsia="黑体" w:cs="黑体"/>
          <w:bCs/>
          <w:sz w:val="32"/>
          <w:szCs w:val="32"/>
        </w:rPr>
      </w:pPr>
      <w:r>
        <w:rPr>
          <w:rFonts w:hint="eastAsia" w:ascii="黑体" w:hAnsi="黑体" w:eastAsia="黑体" w:cs="黑体"/>
          <w:bCs/>
          <w:sz w:val="32"/>
          <w:szCs w:val="32"/>
        </w:rPr>
        <w:t>八、名词解释</w:t>
      </w:r>
    </w:p>
    <w:p>
      <w:pPr>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1</w:t>
      </w:r>
      <w:r>
        <w:rPr>
          <w:rFonts w:hint="eastAsia" w:ascii="仿宋_GB2312" w:hAnsi="宋体" w:eastAsia="仿宋_GB2312"/>
          <w:b/>
          <w:bCs/>
          <w:sz w:val="32"/>
          <w:szCs w:val="32"/>
        </w:rPr>
        <w:t>、</w:t>
      </w:r>
      <w:r>
        <w:rPr>
          <w:rFonts w:hint="eastAsia" w:ascii="仿宋_GB2312" w:hAnsi="宋体" w:eastAsia="仿宋_GB2312"/>
          <w:sz w:val="32"/>
          <w:szCs w:val="32"/>
        </w:rPr>
        <w:t>一般公共预算财政拨款收入：县级财政当年拨付的资金。</w:t>
      </w:r>
    </w:p>
    <w:p>
      <w:pPr>
        <w:pStyle w:val="4"/>
        <w:widowControl/>
        <w:spacing w:line="560" w:lineRule="exact"/>
        <w:ind w:firstLine="578" w:firstLineChars="180"/>
        <w:rPr>
          <w:rFonts w:ascii="仿宋_GB2312" w:hAnsi="仿宋_GB2312" w:eastAsia="仿宋_GB2312" w:cs="仿宋_GB2312"/>
          <w:sz w:val="32"/>
          <w:szCs w:val="32"/>
          <w:shd w:val="clear" w:color="auto" w:fill="FFFFFF"/>
        </w:rPr>
      </w:pPr>
      <w:r>
        <w:rPr>
          <w:rStyle w:val="8"/>
          <w:rFonts w:ascii="仿宋_GB2312" w:hAnsi="仿宋_GB2312" w:eastAsia="仿宋_GB2312" w:cs="仿宋_GB2312"/>
          <w:sz w:val="32"/>
          <w:szCs w:val="32"/>
          <w:shd w:val="clear" w:color="auto" w:fill="FFFFFF"/>
        </w:rPr>
        <w:t>2</w:t>
      </w:r>
      <w:r>
        <w:rPr>
          <w:rStyle w:val="8"/>
          <w:rFonts w:hint="eastAsia" w:ascii="仿宋_GB2312" w:hAnsi="仿宋_GB2312" w:eastAsia="仿宋_GB2312" w:cs="仿宋_GB2312"/>
          <w:sz w:val="32"/>
          <w:szCs w:val="32"/>
          <w:shd w:val="clear" w:color="auto" w:fill="FFFFFF"/>
        </w:rPr>
        <w:t>、</w:t>
      </w:r>
      <w:r>
        <w:rPr>
          <w:rStyle w:val="8"/>
          <w:rFonts w:hint="eastAsia" w:ascii="仿宋_GB2312" w:hAnsi="仿宋_GB2312" w:eastAsia="仿宋_GB2312" w:cs="仿宋_GB2312"/>
          <w:b w:val="0"/>
          <w:bCs/>
          <w:sz w:val="32"/>
          <w:szCs w:val="32"/>
          <w:shd w:val="clear" w:color="auto" w:fill="FFFFFF"/>
        </w:rPr>
        <w:t>其他收入</w:t>
      </w:r>
      <w:r>
        <w:rPr>
          <w:rStyle w:val="8"/>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rPr>
        <w:t>指除上述财政拨款收入以外的收入。主要是存款利息收入。</w:t>
      </w:r>
    </w:p>
    <w:p>
      <w:pPr>
        <w:pStyle w:val="4"/>
        <w:widowControl/>
        <w:spacing w:line="560" w:lineRule="exact"/>
        <w:ind w:firstLine="578" w:firstLineChars="180"/>
        <w:rPr>
          <w:rFonts w:ascii="仿宋_GB2312" w:hAnsi="宋体" w:eastAsia="仿宋_GB2312"/>
          <w:sz w:val="32"/>
          <w:szCs w:val="32"/>
        </w:rPr>
      </w:pPr>
      <w:r>
        <w:rPr>
          <w:rStyle w:val="8"/>
          <w:rFonts w:ascii="仿宋_GB2312" w:hAnsi="仿宋_GB2312" w:eastAsia="仿宋_GB2312" w:cs="仿宋_GB2312"/>
          <w:color w:val="000000"/>
          <w:sz w:val="32"/>
          <w:szCs w:val="32"/>
          <w:shd w:val="clear" w:color="auto" w:fill="FFFFFF"/>
        </w:rPr>
        <w:t>3</w:t>
      </w:r>
      <w:r>
        <w:rPr>
          <w:rFonts w:hint="eastAsia" w:ascii="仿宋_GB2312" w:hAnsi="宋体" w:eastAsia="仿宋_GB2312"/>
          <w:b/>
          <w:bCs/>
          <w:sz w:val="32"/>
          <w:szCs w:val="32"/>
        </w:rPr>
        <w:t>、</w:t>
      </w:r>
      <w:r>
        <w:rPr>
          <w:rFonts w:hint="eastAsia" w:ascii="仿宋_GB2312" w:hAnsi="宋体" w:eastAsia="仿宋_GB2312"/>
          <w:sz w:val="32"/>
          <w:szCs w:val="32"/>
        </w:rPr>
        <w:t>基本支出：指为保障机构正常运转、完成日常工作任务而发生的人员支出和公用支出。</w:t>
      </w:r>
    </w:p>
    <w:p>
      <w:pPr>
        <w:pStyle w:val="4"/>
        <w:widowControl/>
        <w:spacing w:line="560" w:lineRule="exact"/>
        <w:ind w:firstLine="630" w:firstLineChars="196"/>
        <w:rPr>
          <w:rFonts w:ascii="仿宋_GB2312" w:hAnsi="宋体" w:eastAsia="仿宋_GB2312"/>
          <w:sz w:val="32"/>
          <w:szCs w:val="32"/>
        </w:rPr>
      </w:pPr>
      <w:r>
        <w:rPr>
          <w:rFonts w:ascii="仿宋_GB2312" w:hAnsi="宋体" w:eastAsia="仿宋_GB2312"/>
          <w:b/>
          <w:bCs/>
          <w:sz w:val="32"/>
          <w:szCs w:val="32"/>
        </w:rPr>
        <w:t>4</w:t>
      </w:r>
      <w:r>
        <w:rPr>
          <w:rFonts w:hint="eastAsia" w:ascii="仿宋_GB2312" w:hAnsi="宋体" w:eastAsia="仿宋_GB2312"/>
          <w:b/>
          <w:bCs/>
          <w:sz w:val="32"/>
          <w:szCs w:val="32"/>
        </w:rPr>
        <w:t>、</w:t>
      </w:r>
      <w:r>
        <w:rPr>
          <w:rFonts w:hint="eastAsia" w:ascii="仿宋_GB2312" w:hAnsi="宋体" w:eastAsia="仿宋_GB2312"/>
          <w:sz w:val="32"/>
          <w:szCs w:val="32"/>
        </w:rPr>
        <w:t>项目支出：指在基本支出之外为完成特定行政任务和事业发展目标所发生的支出。</w:t>
      </w:r>
    </w:p>
    <w:p>
      <w:pPr>
        <w:pStyle w:val="4"/>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5</w:t>
      </w:r>
      <w:r>
        <w:rPr>
          <w:rFonts w:hint="eastAsia" w:ascii="仿宋_GB2312" w:hAnsi="宋体" w:eastAsia="仿宋_GB2312"/>
          <w:b/>
          <w:bCs/>
          <w:sz w:val="32"/>
          <w:szCs w:val="32"/>
        </w:rPr>
        <w:t>、</w:t>
      </w:r>
      <w:r>
        <w:rPr>
          <w:rFonts w:hint="eastAsia" w:ascii="仿宋_GB2312" w:hAnsi="宋体" w:eastAsia="仿宋_GB2312"/>
          <w:sz w:val="32"/>
          <w:szCs w:val="32"/>
        </w:rPr>
        <w:t>“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widowControl/>
        <w:spacing w:line="560" w:lineRule="exact"/>
        <w:ind w:firstLine="643" w:firstLineChars="200"/>
        <w:rPr>
          <w:rFonts w:ascii="仿宋_GB2312" w:hAnsi="宋体" w:eastAsia="仿宋_GB2312"/>
          <w:sz w:val="32"/>
          <w:szCs w:val="32"/>
        </w:rPr>
      </w:pPr>
      <w:r>
        <w:rPr>
          <w:rFonts w:ascii="仿宋_GB2312" w:hAnsi="宋体" w:eastAsia="仿宋_GB2312"/>
          <w:b/>
          <w:bCs/>
          <w:sz w:val="32"/>
          <w:szCs w:val="32"/>
        </w:rPr>
        <w:t>6</w:t>
      </w:r>
      <w:r>
        <w:rPr>
          <w:rFonts w:hint="eastAsia" w:ascii="仿宋_GB2312" w:hAnsi="宋体" w:eastAsia="仿宋_GB2312"/>
          <w:b/>
          <w:bCs/>
          <w:sz w:val="32"/>
          <w:szCs w:val="32"/>
        </w:rPr>
        <w:t>、</w:t>
      </w:r>
      <w:r>
        <w:rPr>
          <w:rFonts w:hint="eastAsia" w:ascii="仿宋_GB2312" w:hAnsi="宋体" w:eastAsia="仿宋_GB2312"/>
          <w:sz w:val="32"/>
          <w:szCs w:val="32"/>
        </w:rPr>
        <w:t>机关运行经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rPr>
          <w:rFonts w:ascii="仿宋" w:hAnsi="仿宋" w:eastAsia="仿宋" w:cs="黑体"/>
          <w:b/>
          <w:sz w:val="32"/>
          <w:szCs w:val="32"/>
        </w:rPr>
      </w:pPr>
      <w:r>
        <w:rPr>
          <w:rFonts w:hint="eastAsia" w:ascii="黑体" w:hAnsi="黑体" w:eastAsia="黑体" w:cs="黑体"/>
          <w:sz w:val="32"/>
          <w:szCs w:val="32"/>
        </w:rPr>
        <w:t xml:space="preserve">     </w:t>
      </w:r>
      <w:r>
        <w:rPr>
          <w:rFonts w:hint="eastAsia" w:ascii="黑体" w:hAnsi="黑体" w:eastAsia="黑体" w:cs="黑体"/>
          <w:bCs/>
          <w:sz w:val="32"/>
          <w:szCs w:val="32"/>
        </w:rPr>
        <w:t>九、其他需要说明的事项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我部门无政府性基金预算及国有资本经营预算，空表列示。</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书宋_GBK">
    <w:altName w:val="宋体"/>
    <w:panose1 w:val="00000000000000000000"/>
    <w:charset w:val="86"/>
    <w:family w:val="roman"/>
    <w:pitch w:val="default"/>
    <w:sig w:usb0="00000000" w:usb1="00000000" w:usb2="00000000" w:usb3="00000000" w:csb0="00040001" w:csb1="00000000"/>
  </w:font>
  <w:font w:name="方正小标宋_GBK">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24</w: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lNzY1OGY2YjIxNmMxZmEyNGJkZTMwOGY2YjkwOWEifQ=="/>
  </w:docVars>
  <w:rsids>
    <w:rsidRoot w:val="00322525"/>
    <w:rsid w:val="002F35E6"/>
    <w:rsid w:val="00322525"/>
    <w:rsid w:val="00BE727D"/>
    <w:rsid w:val="013657D2"/>
    <w:rsid w:val="013E5913"/>
    <w:rsid w:val="01827073"/>
    <w:rsid w:val="026E4D7E"/>
    <w:rsid w:val="037D4D39"/>
    <w:rsid w:val="06F202FE"/>
    <w:rsid w:val="0C546647"/>
    <w:rsid w:val="0E702383"/>
    <w:rsid w:val="0EA47057"/>
    <w:rsid w:val="0ED67CD4"/>
    <w:rsid w:val="10A03AA5"/>
    <w:rsid w:val="125C7FAC"/>
    <w:rsid w:val="144F7D84"/>
    <w:rsid w:val="1776276D"/>
    <w:rsid w:val="17ED1E73"/>
    <w:rsid w:val="192A460E"/>
    <w:rsid w:val="1C79555A"/>
    <w:rsid w:val="1C8F7257"/>
    <w:rsid w:val="21557259"/>
    <w:rsid w:val="2172711F"/>
    <w:rsid w:val="22323DF6"/>
    <w:rsid w:val="257C0893"/>
    <w:rsid w:val="27757F19"/>
    <w:rsid w:val="2D587902"/>
    <w:rsid w:val="306645AB"/>
    <w:rsid w:val="34562514"/>
    <w:rsid w:val="351E0CB7"/>
    <w:rsid w:val="35B052EE"/>
    <w:rsid w:val="371A22E8"/>
    <w:rsid w:val="38E4788C"/>
    <w:rsid w:val="3A4C623F"/>
    <w:rsid w:val="3BB10A35"/>
    <w:rsid w:val="3C64768B"/>
    <w:rsid w:val="3D25411C"/>
    <w:rsid w:val="3D9E3559"/>
    <w:rsid w:val="3DFD47C7"/>
    <w:rsid w:val="40CD68B4"/>
    <w:rsid w:val="4425587F"/>
    <w:rsid w:val="442E76A8"/>
    <w:rsid w:val="458B10CB"/>
    <w:rsid w:val="458C6DC4"/>
    <w:rsid w:val="4628394E"/>
    <w:rsid w:val="47D84514"/>
    <w:rsid w:val="48AB265D"/>
    <w:rsid w:val="4EF107F2"/>
    <w:rsid w:val="517304A3"/>
    <w:rsid w:val="585D6FA1"/>
    <w:rsid w:val="5A8C6D91"/>
    <w:rsid w:val="5B94029A"/>
    <w:rsid w:val="5C9B46CD"/>
    <w:rsid w:val="6532578D"/>
    <w:rsid w:val="6B6F1813"/>
    <w:rsid w:val="6C8C013B"/>
    <w:rsid w:val="6F1E03BE"/>
    <w:rsid w:val="71553FE7"/>
    <w:rsid w:val="716F5B10"/>
    <w:rsid w:val="76CE6146"/>
    <w:rsid w:val="77541304"/>
    <w:rsid w:val="7BA708D6"/>
    <w:rsid w:val="7ED01551"/>
    <w:rsid w:val="7EF64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jc w:val="left"/>
    </w:pPr>
    <w:rPr>
      <w:kern w:val="0"/>
      <w:sz w:val="24"/>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page number"/>
    <w:basedOn w:val="7"/>
    <w:unhideWhenUsed/>
    <w:qFormat/>
    <w:uiPriority w:val="99"/>
  </w:style>
  <w:style w:type="character" w:customStyle="1" w:styleId="10">
    <w:name w:val="页眉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1345</Words>
  <Characters>7669</Characters>
  <Lines>63</Lines>
  <Paragraphs>17</Paragraphs>
  <TotalTime>6</TotalTime>
  <ScaleCrop>false</ScaleCrop>
  <LinksUpToDate>false</LinksUpToDate>
  <CharactersWithSpaces>8997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2021-05-27T02:35:00Z</dcterms:created>
  <dc:creator>acer</dc:creator>
  <cp:lastModifiedBy>Administrator</cp:lastModifiedBy>
  <dcterms:modified xsi:type="dcterms:W3CDTF">2023-11-17T06:26:11Z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FEC055955177447EBC149CF1ADC4B818_13</vt:lpwstr>
  </property>
</Properties>
</file>