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涞水县国家电子商务进农村综合示范项目2</w:t>
      </w:r>
      <w:r>
        <w:rPr>
          <w:rFonts w:asciiTheme="majorEastAsia" w:hAnsiTheme="majorEastAsia" w:eastAsiaTheme="majorEastAsia"/>
          <w:b/>
          <w:sz w:val="44"/>
          <w:szCs w:val="44"/>
        </w:rPr>
        <w:t>02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1年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7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月份资金拨付与项目进度公示</w:t>
      </w:r>
    </w:p>
    <w:tbl>
      <w:tblPr>
        <w:tblStyle w:val="5"/>
        <w:tblW w:w="22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2"/>
        <w:gridCol w:w="2803"/>
        <w:gridCol w:w="2880"/>
        <w:gridCol w:w="1924"/>
        <w:gridCol w:w="1665"/>
        <w:gridCol w:w="1455"/>
        <w:gridCol w:w="1715"/>
        <w:gridCol w:w="2708"/>
        <w:gridCol w:w="1696"/>
        <w:gridCol w:w="1662"/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162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项目名称</w:t>
            </w:r>
          </w:p>
        </w:tc>
        <w:tc>
          <w:tcPr>
            <w:tcW w:w="2803" w:type="dxa"/>
            <w:vMerge w:val="restart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决策文件</w:t>
            </w:r>
          </w:p>
        </w:tc>
        <w:tc>
          <w:tcPr>
            <w:tcW w:w="2880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建设内容和要求</w:t>
            </w:r>
          </w:p>
        </w:tc>
        <w:tc>
          <w:tcPr>
            <w:tcW w:w="1924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扶持资金额度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（万元）</w:t>
            </w:r>
          </w:p>
        </w:tc>
        <w:tc>
          <w:tcPr>
            <w:tcW w:w="166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已拨付金额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（万元）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完成时限</w:t>
            </w:r>
          </w:p>
        </w:tc>
        <w:tc>
          <w:tcPr>
            <w:tcW w:w="171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绩效目标</w:t>
            </w:r>
          </w:p>
        </w:tc>
        <w:tc>
          <w:tcPr>
            <w:tcW w:w="4404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本月进度</w:t>
            </w:r>
          </w:p>
        </w:tc>
        <w:tc>
          <w:tcPr>
            <w:tcW w:w="166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承办企业</w:t>
            </w:r>
          </w:p>
        </w:tc>
        <w:tc>
          <w:tcPr>
            <w:tcW w:w="140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162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2803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2880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924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715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270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工作情况</w:t>
            </w:r>
          </w:p>
        </w:tc>
        <w:tc>
          <w:tcPr>
            <w:tcW w:w="169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资金拨付额</w:t>
            </w:r>
          </w:p>
        </w:tc>
        <w:tc>
          <w:tcPr>
            <w:tcW w:w="1662" w:type="dxa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405" w:type="dxa"/>
            <w:vAlign w:val="center"/>
          </w:tcPr>
          <w:p>
            <w:pPr>
              <w:spacing w:after="0" w:line="22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  <w:jc w:val="center"/>
        </w:trPr>
        <w:tc>
          <w:tcPr>
            <w:tcW w:w="216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县级公共服务中心</w:t>
            </w:r>
          </w:p>
        </w:tc>
        <w:tc>
          <w:tcPr>
            <w:tcW w:w="2803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《涞水县电子商务进农村综合示范工作方案》</w:t>
            </w:r>
          </w:p>
        </w:tc>
        <w:tc>
          <w:tcPr>
            <w:tcW w:w="288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建设或改造600平米以上的县级农村电商公共服务中心，设置交流室、电教室、会议室、办公室、农产品研发体验中心（100—200平米），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其它必要的办公设施设备</w:t>
            </w:r>
          </w:p>
        </w:tc>
        <w:tc>
          <w:tcPr>
            <w:tcW w:w="1924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150</w:t>
            </w:r>
          </w:p>
        </w:tc>
        <w:tc>
          <w:tcPr>
            <w:tcW w:w="166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150</w:t>
            </w:r>
          </w:p>
        </w:tc>
        <w:tc>
          <w:tcPr>
            <w:tcW w:w="14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商业运营开始日起三年（不含建设期，建设期为2018年9月30日完工及交付）</w:t>
            </w:r>
          </w:p>
        </w:tc>
        <w:tc>
          <w:tcPr>
            <w:tcW w:w="1715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1个中心建设改造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08" w:type="dxa"/>
          </w:tcPr>
          <w:p>
            <w:pPr>
              <w:numPr>
                <w:ilvl w:val="0"/>
                <w:numId w:val="0"/>
              </w:numPr>
              <w:spacing w:after="0" w:line="220" w:lineRule="atLeast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1、7月16日-7月17日组织参加京涞派特色产品展销会野三坡音乐节专场</w:t>
            </w:r>
          </w:p>
          <w:p>
            <w:pPr>
              <w:numPr>
                <w:ilvl w:val="0"/>
                <w:numId w:val="0"/>
              </w:numPr>
              <w:spacing w:after="0" w:line="220" w:lineRule="atLeast"/>
              <w:jc w:val="both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2、盘点县级公共服务中心固定资产</w:t>
            </w:r>
          </w:p>
        </w:tc>
        <w:tc>
          <w:tcPr>
            <w:tcW w:w="1696" w:type="dxa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涞水聚涞宝电子商务有限公司</w:t>
            </w:r>
          </w:p>
        </w:tc>
        <w:tc>
          <w:tcPr>
            <w:tcW w:w="140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赵奕铭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村级服务站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03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《涞水县电子商务进农村综合示范工作方案》</w:t>
            </w:r>
          </w:p>
        </w:tc>
        <w:tc>
          <w:tcPr>
            <w:tcW w:w="288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常住人口500人以上的行政村或建档立卡贫困村建设面积10平米以上；常住人口500人以下的行政村或建档立卡贫困村建设面积5-10平米。室内有电商区，并配备电脑、背景墙、电视42寸、上网行为数据管理器、收发货物流筐、公告牌及其它相关的设施设备。室外有门头、灯箱、WIFI标识牌。同一行政村，中央财政支持不超过1个，建档立卡贫困村和行政村覆盖率达到50%以上。</w:t>
            </w:r>
          </w:p>
        </w:tc>
        <w:tc>
          <w:tcPr>
            <w:tcW w:w="192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150</w:t>
            </w:r>
          </w:p>
        </w:tc>
        <w:tc>
          <w:tcPr>
            <w:tcW w:w="166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150</w:t>
            </w:r>
          </w:p>
        </w:tc>
        <w:tc>
          <w:tcPr>
            <w:tcW w:w="14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商业运营开始日起三年（不含建设期，建设期为2018年9月30日完工及交付）</w:t>
            </w:r>
          </w:p>
        </w:tc>
        <w:tc>
          <w:tcPr>
            <w:tcW w:w="171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284个服务站升级改造</w:t>
            </w:r>
          </w:p>
        </w:tc>
        <w:tc>
          <w:tcPr>
            <w:tcW w:w="2708" w:type="dxa"/>
          </w:tcPr>
          <w:p>
            <w:pPr>
              <w:spacing w:after="0" w:line="220" w:lineRule="atLeas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盘点村级服务站的固定资产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对村级服务站设备进行巡检。</w:t>
            </w:r>
          </w:p>
        </w:tc>
        <w:tc>
          <w:tcPr>
            <w:tcW w:w="169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涞水聚涞宝电子商务有限公司</w:t>
            </w:r>
          </w:p>
        </w:tc>
        <w:tc>
          <w:tcPr>
            <w:tcW w:w="140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赵奕铭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16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培训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03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《涞水县电子商务进农村综合示范工作方案》</w:t>
            </w:r>
          </w:p>
        </w:tc>
        <w:tc>
          <w:tcPr>
            <w:tcW w:w="288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初步建立多层次培训体系。针对政府、企业、农民等提供基础普及性的公开、免费培训；针对农村青年等电商创业需求提供市场化或者公益性增值培训。培训达到3000人次以上</w:t>
            </w:r>
          </w:p>
        </w:tc>
        <w:tc>
          <w:tcPr>
            <w:tcW w:w="192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225</w:t>
            </w:r>
          </w:p>
        </w:tc>
        <w:tc>
          <w:tcPr>
            <w:tcW w:w="166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225</w:t>
            </w:r>
          </w:p>
        </w:tc>
        <w:tc>
          <w:tcPr>
            <w:tcW w:w="14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商业运营开始日起三年（不含建设期，建设期为2018年9月30日完工及交付）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初步建立多层次培训体系。针对政府、企业、农民等提供基础普及性的公开、免费培训；针对农村青年等电商创业需求提供市场化或者公益性增值培训。培训达到3000人次以上</w:t>
            </w:r>
          </w:p>
        </w:tc>
        <w:tc>
          <w:tcPr>
            <w:tcW w:w="2708" w:type="dxa"/>
          </w:tcPr>
          <w:p>
            <w:pPr>
              <w:spacing w:after="0" w:line="220" w:lineRule="atLeas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  <w:p>
            <w:pPr>
              <w:spacing w:after="0" w:line="220" w:lineRule="atLeas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both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7月1日-7月31日累计培训20场次，77人次</w:t>
            </w:r>
          </w:p>
        </w:tc>
        <w:tc>
          <w:tcPr>
            <w:tcW w:w="169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涞水聚涞宝电子商务有限公司</w:t>
            </w:r>
          </w:p>
        </w:tc>
        <w:tc>
          <w:tcPr>
            <w:tcW w:w="140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赵奕铭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  <w:jc w:val="center"/>
        </w:trPr>
        <w:tc>
          <w:tcPr>
            <w:tcW w:w="216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物流配送中心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03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《涞水县电子商务进农村综合示范工作方案》</w:t>
            </w:r>
          </w:p>
        </w:tc>
        <w:tc>
          <w:tcPr>
            <w:tcW w:w="2880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县级仓储物流中心：面积800平米以上，打包台、货架、扫抢配送车辆。乡镇级配送中心按实际需求建设，面积100平米以上，打包台，货架，电脑，扫抢，配送车辆。同一物流线路，中央财政支持不超过1家。物流快递网点的乡镇覆盖率达到100%，能为村站提供服务，与村站实现资源共享。有需求和条件的地区，应建设冷冻库，冷藏柜、冷链物流车等设备设施。</w:t>
            </w:r>
          </w:p>
        </w:tc>
        <w:tc>
          <w:tcPr>
            <w:tcW w:w="1924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450</w:t>
            </w:r>
          </w:p>
        </w:tc>
        <w:tc>
          <w:tcPr>
            <w:tcW w:w="166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450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商业运营开始日起三年（不含建设期，建设期为2018年9月30日完工及交付）</w:t>
            </w:r>
          </w:p>
        </w:tc>
        <w:tc>
          <w:tcPr>
            <w:tcW w:w="171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1个县级仓储配送中心</w:t>
            </w:r>
          </w:p>
        </w:tc>
        <w:tc>
          <w:tcPr>
            <w:tcW w:w="2708" w:type="dxa"/>
            <w:vMerge w:val="restart"/>
          </w:tcPr>
          <w:p>
            <w:pPr>
              <w:spacing w:after="0" w:line="22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numPr>
                <w:ilvl w:val="0"/>
                <w:numId w:val="2"/>
              </w:numPr>
              <w:spacing w:after="0" w:line="220" w:lineRule="atLeast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配合审计公司审计工作，细化运营资料。</w:t>
            </w:r>
          </w:p>
          <w:p>
            <w:pPr>
              <w:numPr>
                <w:ilvl w:val="0"/>
                <w:numId w:val="2"/>
              </w:numPr>
              <w:spacing w:after="0" w:line="220" w:lineRule="atLeas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走访赵各庄镇、龙门乡、其中口乡乡镇物流中心及部分村级站点，检查核对国有资产设备。</w:t>
            </w:r>
          </w:p>
        </w:tc>
        <w:tc>
          <w:tcPr>
            <w:tcW w:w="1696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2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涞水汇华商贸有限公司</w:t>
            </w:r>
          </w:p>
        </w:tc>
        <w:tc>
          <w:tcPr>
            <w:tcW w:w="140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晋春雨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7" w:hRule="atLeast"/>
          <w:jc w:val="center"/>
        </w:trPr>
        <w:tc>
          <w:tcPr>
            <w:tcW w:w="216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乡镇物流配送中心</w:t>
            </w:r>
          </w:p>
        </w:tc>
        <w:tc>
          <w:tcPr>
            <w:tcW w:w="2803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80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24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14个乡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镇配送中心</w:t>
            </w:r>
          </w:p>
        </w:tc>
        <w:tc>
          <w:tcPr>
            <w:tcW w:w="2708" w:type="dxa"/>
            <w:vMerge w:val="continue"/>
          </w:tcPr>
          <w:p>
            <w:pPr>
              <w:adjustRightInd/>
              <w:snapToGrid/>
              <w:spacing w:after="0"/>
              <w:jc w:val="both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</w:p>
        </w:tc>
        <w:tc>
          <w:tcPr>
            <w:tcW w:w="1696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2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0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  <w:jc w:val="center"/>
        </w:trPr>
        <w:tc>
          <w:tcPr>
            <w:tcW w:w="2162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农业产品上行体系</w:t>
            </w:r>
          </w:p>
        </w:tc>
        <w:tc>
          <w:tcPr>
            <w:tcW w:w="2803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《涞水县电子商务进农村综合示范工作方案》</w:t>
            </w:r>
          </w:p>
        </w:tc>
        <w:tc>
          <w:tcPr>
            <w:tcW w:w="2880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在县域范围内引入1-3家企业加入溯源系统，并取得销售成效，有力地推动农业制品上行。</w:t>
            </w:r>
          </w:p>
        </w:tc>
        <w:tc>
          <w:tcPr>
            <w:tcW w:w="1924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525</w:t>
            </w:r>
          </w:p>
        </w:tc>
        <w:tc>
          <w:tcPr>
            <w:tcW w:w="166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525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商业运营开始日起三年（不含建设期，建设期为2018年9月30日完工及交付）</w:t>
            </w:r>
          </w:p>
        </w:tc>
        <w:tc>
          <w:tcPr>
            <w:tcW w:w="1715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农产品的标准化、生产认证、品牌培育、质量溯源等综合服务体系建设</w:t>
            </w:r>
          </w:p>
        </w:tc>
        <w:tc>
          <w:tcPr>
            <w:tcW w:w="2708" w:type="dxa"/>
            <w:vMerge w:val="restart"/>
          </w:tcPr>
          <w:p>
            <w:pPr>
              <w:spacing w:after="0" w:line="220" w:lineRule="atLeas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</w:p>
          <w:p>
            <w:pPr>
              <w:numPr>
                <w:ilvl w:val="0"/>
                <w:numId w:val="0"/>
              </w:numPr>
              <w:spacing w:after="0" w:line="220" w:lineRule="atLeast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1、梳理选定六款产品，针对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六款产品进行线下走访农户，线上咨询相关部门，收集具体数据，对于本地和全国范围内六款产品的种植，销售等情况进行系统完整的归纳</w:t>
            </w:r>
          </w:p>
          <w:p>
            <w:pPr>
              <w:numPr>
                <w:ilvl w:val="0"/>
                <w:numId w:val="0"/>
              </w:numPr>
              <w:spacing w:after="0" w:line="220" w:lineRule="atLeast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2、盘点农产品上行固定资产</w:t>
            </w:r>
          </w:p>
        </w:tc>
        <w:tc>
          <w:tcPr>
            <w:tcW w:w="1696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2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涞水聚涞宝电子商务有限公司</w:t>
            </w:r>
          </w:p>
        </w:tc>
        <w:tc>
          <w:tcPr>
            <w:tcW w:w="140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赵奕铭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2162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</w:p>
        </w:tc>
        <w:tc>
          <w:tcPr>
            <w:tcW w:w="2803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80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</w:p>
        </w:tc>
        <w:tc>
          <w:tcPr>
            <w:tcW w:w="1924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农产品分级、包装、预冷、初加工等基础设施建设</w:t>
            </w:r>
          </w:p>
        </w:tc>
        <w:tc>
          <w:tcPr>
            <w:tcW w:w="2708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</w:p>
        </w:tc>
        <w:tc>
          <w:tcPr>
            <w:tcW w:w="1696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2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0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spacing w:line="220" w:lineRule="atLeast"/>
        <w:rPr>
          <w:rFonts w:ascii="仿宋" w:hAnsi="仿宋" w:eastAsia="仿宋"/>
          <w:sz w:val="24"/>
          <w:szCs w:val="24"/>
        </w:rPr>
      </w:pPr>
    </w:p>
    <w:sectPr>
      <w:pgSz w:w="23757" w:h="16783" w:orient="landscape"/>
      <w:pgMar w:top="1797" w:right="1134" w:bottom="1134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820429"/>
    <w:multiLevelType w:val="singleLevel"/>
    <w:tmpl w:val="A082042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45B5336"/>
    <w:multiLevelType w:val="singleLevel"/>
    <w:tmpl w:val="345B533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lNzY1OGY2YjIxNmMxZmEyNGJkZTMwOGY2YjkwOWEifQ=="/>
  </w:docVars>
  <w:rsids>
    <w:rsidRoot w:val="00D31D50"/>
    <w:rsid w:val="0014635D"/>
    <w:rsid w:val="00151C58"/>
    <w:rsid w:val="001C582D"/>
    <w:rsid w:val="002D1C10"/>
    <w:rsid w:val="00320D7C"/>
    <w:rsid w:val="00323B43"/>
    <w:rsid w:val="003D37D8"/>
    <w:rsid w:val="003F7B69"/>
    <w:rsid w:val="004244A2"/>
    <w:rsid w:val="00426133"/>
    <w:rsid w:val="004358AB"/>
    <w:rsid w:val="00440ABE"/>
    <w:rsid w:val="006137F1"/>
    <w:rsid w:val="00682F14"/>
    <w:rsid w:val="00696879"/>
    <w:rsid w:val="006B611A"/>
    <w:rsid w:val="007D3DE9"/>
    <w:rsid w:val="00864072"/>
    <w:rsid w:val="00870161"/>
    <w:rsid w:val="008B7726"/>
    <w:rsid w:val="008E5B5C"/>
    <w:rsid w:val="009C0114"/>
    <w:rsid w:val="00B55646"/>
    <w:rsid w:val="00B90E66"/>
    <w:rsid w:val="00BC1BD4"/>
    <w:rsid w:val="00C057EB"/>
    <w:rsid w:val="00C07CC5"/>
    <w:rsid w:val="00D31D50"/>
    <w:rsid w:val="00EA629F"/>
    <w:rsid w:val="00F31EF9"/>
    <w:rsid w:val="022E284B"/>
    <w:rsid w:val="025608ED"/>
    <w:rsid w:val="0300200F"/>
    <w:rsid w:val="042B0140"/>
    <w:rsid w:val="092C17AA"/>
    <w:rsid w:val="0F3235C3"/>
    <w:rsid w:val="1435076D"/>
    <w:rsid w:val="149A3019"/>
    <w:rsid w:val="166F3FA0"/>
    <w:rsid w:val="180166A1"/>
    <w:rsid w:val="1A340446"/>
    <w:rsid w:val="1E1A00C2"/>
    <w:rsid w:val="1F936869"/>
    <w:rsid w:val="21970658"/>
    <w:rsid w:val="226C516F"/>
    <w:rsid w:val="22747DBB"/>
    <w:rsid w:val="22E02B74"/>
    <w:rsid w:val="23CF233D"/>
    <w:rsid w:val="2B1B055B"/>
    <w:rsid w:val="2C094745"/>
    <w:rsid w:val="31D27D3C"/>
    <w:rsid w:val="39D247AC"/>
    <w:rsid w:val="3BAD70DD"/>
    <w:rsid w:val="3F973CC5"/>
    <w:rsid w:val="4231042E"/>
    <w:rsid w:val="43A22D43"/>
    <w:rsid w:val="49BA5BE7"/>
    <w:rsid w:val="506F5A80"/>
    <w:rsid w:val="5077187F"/>
    <w:rsid w:val="516B4657"/>
    <w:rsid w:val="53F9556E"/>
    <w:rsid w:val="551D2C9F"/>
    <w:rsid w:val="57037581"/>
    <w:rsid w:val="597E4D2F"/>
    <w:rsid w:val="5B801CC6"/>
    <w:rsid w:val="61D77C00"/>
    <w:rsid w:val="64E231C8"/>
    <w:rsid w:val="67C46391"/>
    <w:rsid w:val="6F361E1D"/>
    <w:rsid w:val="72466231"/>
    <w:rsid w:val="7B832EBE"/>
    <w:rsid w:val="7D1100A9"/>
    <w:rsid w:val="7E6F3EF9"/>
    <w:rsid w:val="7F56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ahoma" w:hAnsi="Tahoma" w:eastAsia="微软雅黑" w:cstheme="minorBidi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238</Words>
  <Characters>1359</Characters>
  <Lines>11</Lines>
  <Paragraphs>3</Paragraphs>
  <TotalTime>1</TotalTime>
  <ScaleCrop>false</ScaleCrop>
  <LinksUpToDate>false</LinksUpToDate>
  <CharactersWithSpaces>1594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2020-11-02T05:24:00Z</dcterms:created>
  <dc:creator>Administrator</dc:creator>
  <cp:lastModifiedBy>Administrator</cp:lastModifiedBy>
  <cp:lastPrinted>2021-05-31T03:55:00Z</cp:lastPrinted>
  <dcterms:modified xsi:type="dcterms:W3CDTF">2023-11-13T07:27:28Z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4111FFB5033B4894B2922F877BCD9C54</vt:lpwstr>
  </property>
</Properties>
</file>