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02" w:firstLineChars="200"/>
        <w:jc w:val="left"/>
        <w:rPr>
          <w:rFonts w:ascii="仿宋" w:hAnsi="仿宋" w:eastAsia="仿宋" w:cs="仿宋_GB2312"/>
          <w:b/>
          <w:bCs/>
          <w:sz w:val="30"/>
          <w:szCs w:val="30"/>
        </w:rPr>
      </w:pP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年涞水</w:t>
      </w:r>
      <w:r>
        <w:rPr>
          <w:rFonts w:hint="eastAsia" w:ascii="黑体" w:hAnsi="黑体" w:eastAsia="黑体" w:cs="黑体"/>
          <w:b/>
          <w:color w:val="000000"/>
          <w:sz w:val="44"/>
          <w:lang w:eastAsia="zh-CN"/>
        </w:rPr>
        <w:t>县行政审批局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2</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4</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6</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8</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9</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11</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12</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14</w:t>
      </w:r>
      <w:r>
        <w:rPr>
          <w:rFonts w:hint="eastAsia"/>
          <w:lang w:eastAsia="zh-CN"/>
        </w:rP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val="en-US" w:eastAsia="zh-CN"/>
        </w:rPr>
        <w:t>7</w:t>
      </w:r>
      <w:r>
        <w:rPr>
          <w:rFonts w:hint="eastAsia"/>
          <w:lang w:eastAsia="zh-CN"/>
        </w:rP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val="en-US" w:eastAsia="zh-CN"/>
        </w:rPr>
        <w:t>8</w:t>
      </w:r>
      <w:r>
        <w:rPr>
          <w:rFonts w:hint="eastAsia"/>
          <w:lang w:eastAsia="zh-CN"/>
        </w:rPr>
        <w:fldChar w:fldCharType="end"/>
      </w:r>
    </w:p>
    <w:p>
      <w:pPr>
        <w:pStyle w:val="4"/>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rPr>
          <w:rFonts w:hint="eastAsia"/>
          <w:lang w:eastAsia="zh-CN"/>
        </w:rPr>
        <w:fldChar w:fldCharType="end"/>
      </w:r>
      <w:r>
        <w:rPr>
          <w:rFonts w:hint="eastAsia"/>
          <w:lang w:val="en-US" w:eastAsia="zh-CN"/>
        </w:rPr>
        <w:t>9</w:t>
      </w:r>
    </w:p>
    <w:p>
      <w:pPr>
        <w:pStyle w:val="4"/>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val="en-US" w:eastAsia="zh-CN"/>
        </w:rPr>
        <w:t>0</w:t>
      </w:r>
      <w:r>
        <w:rPr>
          <w:rFonts w:hint="eastAsia"/>
          <w:lang w:eastAsia="zh-CN"/>
        </w:rPr>
        <w:fldChar w:fldCharType="end"/>
      </w:r>
    </w:p>
    <w:p>
      <w:pPr>
        <w:pStyle w:val="4"/>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rPr>
          <w:rFonts w:hint="eastAsia"/>
          <w:lang w:eastAsia="zh-CN"/>
        </w:rPr>
        <w:fldChar w:fldCharType="end"/>
      </w:r>
      <w:r>
        <w:rPr>
          <w:rFonts w:hint="eastAsia"/>
          <w:lang w:val="en-US" w:eastAsia="zh-CN"/>
        </w:rPr>
        <w:t>3</w:t>
      </w:r>
    </w:p>
    <w:p>
      <w:pPr>
        <w:pStyle w:val="4"/>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lang w:val="en-US" w:eastAsia="zh-CN"/>
        </w:rPr>
        <w:t>5</w:t>
      </w:r>
      <w:r>
        <w:rPr>
          <w:rFonts w:hint="eastAsia"/>
          <w:lang w:eastAsia="zh-CN"/>
        </w:rPr>
        <w:fldChar w:fldCharType="end"/>
      </w:r>
      <w:r>
        <w:rPr>
          <w:rFonts w:hint="eastAsia"/>
          <w:lang w:val="en-US" w:eastAsia="zh-CN"/>
        </w:rPr>
        <w:t>3</w:t>
      </w:r>
    </w:p>
    <w:p>
      <w:pPr>
        <w:pStyle w:val="4"/>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lang w:val="en-US" w:eastAsia="zh-CN"/>
        </w:rPr>
        <w:t>5</w:t>
      </w:r>
      <w:r>
        <w:rPr>
          <w:rFonts w:hint="eastAsia"/>
          <w:lang w:eastAsia="zh-CN"/>
        </w:rPr>
        <w:fldChar w:fldCharType="end"/>
      </w:r>
      <w:r>
        <w:rPr>
          <w:rFonts w:hint="eastAsia"/>
          <w:lang w:val="en-US" w:eastAsia="zh-CN"/>
        </w:rPr>
        <w:t>4</w:t>
      </w:r>
    </w:p>
    <w:p>
      <w:pPr>
        <w:pStyle w:val="4"/>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5</w:t>
      </w:r>
      <w:r>
        <w:rPr>
          <w:rFonts w:hint="eastAsia"/>
          <w:lang w:eastAsia="zh-CN"/>
        </w:rPr>
        <w:fldChar w:fldCharType="end"/>
      </w:r>
      <w:r>
        <w:rPr>
          <w:rFonts w:hint="eastAsia"/>
          <w:lang w:val="en-US" w:eastAsia="zh-CN"/>
        </w:rPr>
        <w:t>5</w:t>
      </w:r>
    </w:p>
    <w:p>
      <w:pPr>
        <w:spacing w:line="560" w:lineRule="exact"/>
        <w:ind w:firstLine="420" w:firstLineChars="200"/>
        <w:jc w:val="left"/>
      </w:pPr>
      <w:r>
        <w:fldChar w:fldCharType="end"/>
      </w:r>
    </w:p>
    <w:tbl>
      <w:tblPr>
        <w:tblStyle w:val="8"/>
        <w:tblW w:w="14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4459"/>
        <w:gridCol w:w="2139"/>
        <w:gridCol w:w="4939"/>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090" w:type="dxa"/>
            <w:gridSpan w:val="5"/>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50" w:type="dxa"/>
            <w:gridSpan w:val="3"/>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494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180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7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r>
    </w:tbl>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tbl>
      <w:tblPr>
        <w:tblStyle w:val="8"/>
        <w:tblW w:w="15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5"/>
        <w:gridCol w:w="1317"/>
        <w:gridCol w:w="3416"/>
        <w:gridCol w:w="1392"/>
        <w:gridCol w:w="1245"/>
        <w:gridCol w:w="1161"/>
        <w:gridCol w:w="872"/>
        <w:gridCol w:w="835"/>
        <w:gridCol w:w="955"/>
        <w:gridCol w:w="854"/>
        <w:gridCol w:w="909"/>
        <w:gridCol w:w="669"/>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5280" w:type="dxa"/>
            <w:gridSpan w:val="1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0"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1840" w:type="dxa"/>
            <w:gridSpan w:val="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1650" w:type="dxa"/>
            <w:gridSpan w:val="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78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财政专户收入</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spacing w:line="520" w:lineRule="exact"/>
        <w:jc w:val="center"/>
        <w:rPr>
          <w:rFonts w:hint="eastAsia" w:ascii="宋体" w:hAnsi="宋体" w:eastAsia="宋体"/>
          <w:b/>
          <w:sz w:val="44"/>
          <w:szCs w:val="44"/>
        </w:rPr>
      </w:pPr>
    </w:p>
    <w:tbl>
      <w:tblPr>
        <w:tblStyle w:val="8"/>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22"/>
        <w:gridCol w:w="1645"/>
        <w:gridCol w:w="1825"/>
        <w:gridCol w:w="1350"/>
        <w:gridCol w:w="241"/>
        <w:gridCol w:w="1455"/>
        <w:gridCol w:w="1455"/>
        <w:gridCol w:w="219"/>
        <w:gridCol w:w="1236"/>
        <w:gridCol w:w="264"/>
        <w:gridCol w:w="1164"/>
        <w:gridCol w:w="226"/>
        <w:gridCol w:w="1202"/>
        <w:gridCol w:w="108"/>
        <w:gridCol w:w="1320"/>
        <w:gridCol w:w="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0" w:type="dxa"/>
          <w:trHeight w:val="750" w:hRule="atLeast"/>
        </w:trPr>
        <w:tc>
          <w:tcPr>
            <w:tcW w:w="14460" w:type="dxa"/>
            <w:gridSpan w:val="1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0" w:hRule="atLeast"/>
        </w:trPr>
        <w:tc>
          <w:tcPr>
            <w:tcW w:w="8721" w:type="dxa"/>
            <w:gridSpan w:val="8"/>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2883" w:type="dxa"/>
            <w:gridSpan w:val="4"/>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2856" w:type="dxa"/>
            <w:gridSpan w:val="4"/>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0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4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405.76</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405.76</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405.76</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1455" w:type="dxa"/>
            <w:tcBorders>
              <w:top w:val="nil"/>
              <w:left w:val="nil"/>
              <w:bottom w:val="nil"/>
              <w:right w:val="nil"/>
            </w:tcBorders>
            <w:shd w:val="clear" w:color="auto" w:fill="FFFFFF"/>
            <w:noWrap/>
            <w:vAlign w:val="top"/>
          </w:tcPr>
          <w:p>
            <w:pPr>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44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64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40"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预算单位编码及名称：[202]涞水县行政审批局</w:t>
            </w:r>
          </w:p>
        </w:tc>
        <w:tc>
          <w:tcPr>
            <w:tcW w:w="2890" w:type="dxa"/>
            <w:gridSpan w:val="4"/>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810" w:type="dxa"/>
            <w:gridSpan w:val="4"/>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8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070"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530.46</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42.85</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42.85</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13.87</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21.67</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608.85</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608.85</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337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608.85</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608.85</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bl>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tbl>
      <w:tblPr>
        <w:tblStyle w:val="8"/>
        <w:tblW w:w="14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3"/>
        <w:gridCol w:w="27"/>
        <w:gridCol w:w="1631"/>
        <w:gridCol w:w="89"/>
        <w:gridCol w:w="3000"/>
        <w:gridCol w:w="327"/>
        <w:gridCol w:w="2279"/>
        <w:gridCol w:w="394"/>
        <w:gridCol w:w="777"/>
        <w:gridCol w:w="1171"/>
        <w:gridCol w:w="1052"/>
        <w:gridCol w:w="111"/>
        <w:gridCol w:w="2279"/>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10" w:type="dxa"/>
          <w:trHeight w:val="750" w:hRule="atLeast"/>
        </w:trPr>
        <w:tc>
          <w:tcPr>
            <w:tcW w:w="13860" w:type="dxa"/>
            <w:gridSpan w:val="1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9247"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2334"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2279"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3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2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50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2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3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608.85</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318.08</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239.69</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239.69</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239.69</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dxa"/>
          <w:trHeight w:val="440" w:hRule="atLeast"/>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41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470" w:type="dxa"/>
            <w:gridSpan w:val="1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470" w:type="dxa"/>
            <w:gridSpan w:val="8"/>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3000"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7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支出部门经济分类科目</w:t>
            </w:r>
          </w:p>
        </w:tc>
        <w:tc>
          <w:tcPr>
            <w:tcW w:w="90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405.76</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318.08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318.08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318.08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52.62</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52.62</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54.05</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r>
    </w:tbl>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tbl>
      <w:tblPr>
        <w:tblStyle w:val="8"/>
        <w:tblW w:w="14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6"/>
        <w:gridCol w:w="1560"/>
        <w:gridCol w:w="1379"/>
        <w:gridCol w:w="1074"/>
        <w:gridCol w:w="2924"/>
        <w:gridCol w:w="3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445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10"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332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422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注：我部门无政府基金预算，空表列式。</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bl>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both"/>
        <w:rPr>
          <w:rFonts w:hint="eastAsia" w:ascii="宋体" w:hAnsi="宋体" w:eastAsia="宋体"/>
          <w:b/>
          <w:sz w:val="44"/>
          <w:szCs w:val="44"/>
        </w:rPr>
      </w:pPr>
    </w:p>
    <w:tbl>
      <w:tblPr>
        <w:tblStyle w:val="8"/>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4316"/>
        <w:gridCol w:w="2424"/>
        <w:gridCol w:w="2247"/>
        <w:gridCol w:w="2197"/>
        <w:gridCol w:w="2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4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部门编码及名称：[202]涞水县行政审批局</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注：我部门无国有资本经营预算，空表列式。</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tbl>
      <w:tblPr>
        <w:tblStyle w:val="8"/>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0"/>
        <w:gridCol w:w="5410"/>
        <w:gridCol w:w="1970"/>
        <w:gridCol w:w="1630"/>
        <w:gridCol w:w="192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371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810"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预算单位编码及名称：[202]涞水县行政审批局</w:t>
            </w:r>
          </w:p>
        </w:tc>
        <w:tc>
          <w:tcPr>
            <w:tcW w:w="192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198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4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政府性基金财政拨款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both"/>
        <w:rPr>
          <w:rFonts w:hint="eastAsia" w:ascii="宋体" w:hAnsi="宋体" w:eastAsia="宋体"/>
          <w:b/>
          <w:sz w:val="44"/>
          <w:szCs w:val="44"/>
        </w:rPr>
      </w:pPr>
    </w:p>
    <w:p>
      <w:pPr>
        <w:spacing w:line="520" w:lineRule="exact"/>
        <w:jc w:val="center"/>
        <w:rPr>
          <w:rFonts w:ascii="宋体" w:hAnsi="宋体" w:eastAsia="宋体"/>
          <w:b/>
          <w:sz w:val="44"/>
          <w:szCs w:val="44"/>
        </w:rPr>
      </w:pPr>
      <w:r>
        <w:rPr>
          <w:rFonts w:hint="eastAsia" w:ascii="宋体" w:hAnsi="宋体" w:eastAsia="宋体"/>
          <w:b/>
          <w:sz w:val="44"/>
          <w:szCs w:val="44"/>
        </w:rPr>
        <w:t>涞水县行政审批局</w:t>
      </w:r>
    </w:p>
    <w:p>
      <w:pPr>
        <w:spacing w:line="520" w:lineRule="exact"/>
        <w:jc w:val="center"/>
        <w:rPr>
          <w:rFonts w:ascii="宋体" w:hAnsi="宋体" w:eastAsia="宋体"/>
          <w:b/>
          <w:sz w:val="44"/>
          <w:szCs w:val="44"/>
        </w:rPr>
      </w:pPr>
      <w:r>
        <w:rPr>
          <w:rFonts w:hint="eastAsia" w:ascii="宋体" w:hAnsi="宋体" w:eastAsia="宋体"/>
          <w:b/>
          <w:sz w:val="44"/>
          <w:szCs w:val="44"/>
        </w:rPr>
        <w:t>202</w:t>
      </w:r>
      <w:r>
        <w:rPr>
          <w:rFonts w:hint="eastAsia" w:ascii="宋体" w:hAnsi="宋体" w:eastAsia="宋体"/>
          <w:b/>
          <w:sz w:val="44"/>
          <w:szCs w:val="44"/>
          <w:lang w:val="en-US" w:eastAsia="zh-CN"/>
        </w:rPr>
        <w:t>1</w:t>
      </w:r>
      <w:r>
        <w:rPr>
          <w:rFonts w:hint="eastAsia" w:ascii="宋体" w:hAnsi="宋体" w:eastAsia="宋体"/>
          <w:b/>
          <w:sz w:val="44"/>
          <w:szCs w:val="44"/>
        </w:rPr>
        <w:t>年部门预算信息公开</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按照《中华人民共和国预算法》</w:t>
      </w:r>
      <w:bookmarkStart w:id="16" w:name="_GoBack"/>
      <w:bookmarkEnd w:id="16"/>
      <w:r>
        <w:rPr>
          <w:rFonts w:hint="eastAsia" w:ascii="仿宋" w:hAnsi="仿宋" w:eastAsia="仿宋"/>
          <w:sz w:val="32"/>
          <w:szCs w:val="32"/>
        </w:rPr>
        <w:t>、《地方预决算公开操作规程》和《河北省省级预算公开办法》规定，现将涞水县行政审批局202</w:t>
      </w:r>
      <w:r>
        <w:rPr>
          <w:rFonts w:hint="eastAsia" w:ascii="仿宋" w:hAnsi="仿宋" w:eastAsia="仿宋"/>
          <w:sz w:val="32"/>
          <w:szCs w:val="32"/>
          <w:lang w:val="en-US" w:eastAsia="zh-CN"/>
        </w:rPr>
        <w:t>1</w:t>
      </w:r>
      <w:r>
        <w:rPr>
          <w:rFonts w:hint="eastAsia" w:ascii="仿宋" w:hAnsi="仿宋" w:eastAsia="仿宋"/>
          <w:sz w:val="32"/>
          <w:szCs w:val="32"/>
        </w:rPr>
        <w:t>年部门预算公开如下：</w:t>
      </w:r>
    </w:p>
    <w:p>
      <w:pPr>
        <w:pStyle w:val="1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部门职责：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根据《涞水县行政审批局职能配置、内设机构和人员编制规定》， 涞水县行政审批局的主要职责是：</w:t>
      </w:r>
    </w:p>
    <w:p>
      <w:pPr>
        <w:spacing w:line="560" w:lineRule="exact"/>
        <w:ind w:firstLine="640" w:firstLineChars="200"/>
        <w:jc w:val="left"/>
        <w:rPr>
          <w:rFonts w:ascii="仿宋" w:hAnsi="仿宋" w:eastAsia="仿宋"/>
          <w:sz w:val="32"/>
          <w:szCs w:val="32"/>
        </w:rPr>
      </w:pPr>
      <w:r>
        <w:rPr>
          <w:rFonts w:ascii="仿宋" w:hAnsi="仿宋" w:eastAsia="仿宋"/>
          <w:sz w:val="32"/>
          <w:szCs w:val="32"/>
        </w:rPr>
        <w:t>根据省编委办《关于扩大设置行政审批局改革试点通》(冀机编办[2016 ]37号)。保定市机构编制委员会《关于设立涞水县行政审批局的批复》等文件精神,设立涞水县行政审批局。涞水县行政审批局为主管全县行政审批的政府工作部门。</w:t>
      </w:r>
    </w:p>
    <w:p>
      <w:pPr>
        <w:spacing w:line="560" w:lineRule="exact"/>
        <w:ind w:firstLine="640" w:firstLineChars="200"/>
        <w:jc w:val="left"/>
        <w:rPr>
          <w:rFonts w:ascii="楷体" w:hAnsi="楷体" w:eastAsia="楷体"/>
          <w:bCs/>
          <w:sz w:val="32"/>
          <w:szCs w:val="32"/>
        </w:rPr>
      </w:pPr>
      <w:r>
        <w:rPr>
          <w:rFonts w:ascii="楷体" w:hAnsi="楷体" w:eastAsia="楷体"/>
          <w:bCs/>
          <w:sz w:val="32"/>
          <w:szCs w:val="32"/>
        </w:rPr>
        <w:t>（一）组建机构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组建机构按“撤一建一”的方式,组建涞水县行政审批局:机构规格为正科级,列政府工作部门。                              </w:t>
      </w:r>
    </w:p>
    <w:p>
      <w:pPr>
        <w:spacing w:line="560" w:lineRule="exact"/>
        <w:ind w:firstLine="640" w:firstLineChars="200"/>
        <w:jc w:val="left"/>
        <w:rPr>
          <w:rFonts w:ascii="楷体" w:hAnsi="楷体" w:eastAsia="楷体"/>
          <w:bCs/>
          <w:sz w:val="32"/>
          <w:szCs w:val="32"/>
        </w:rPr>
      </w:pPr>
      <w:r>
        <w:rPr>
          <w:rFonts w:hint="eastAsia" w:ascii="楷体" w:hAnsi="楷体" w:eastAsia="楷体"/>
          <w:bCs/>
          <w:sz w:val="32"/>
          <w:szCs w:val="32"/>
        </w:rPr>
        <w:t>（二）职责调整</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将涞水县人民政府办公室（法制办公室、人民防空办公室,档案局、旅发委)、涞水县发展改革局(科学技术局、工业和信息化局、商务局、粮食局、价格监督检查所)、涞水县教育局(文化广电新闻出版局、版权局、体育局)、涞水县民政局、涞水县财政局(固定资产管理委员会办公室)、涞水县人力资源和社会保障局、涞水县国土资源局(地理信息局),涞水县住房和城乡建设局(城乡规划管理局、城市管理行政执法局)、涞水县交通运输局、涞水县水利局、涞水县农业局(林业局、涞水县畜牧局、河北金华山一横岭子褐马鸡自然保护区管理处)、涞水县卫生和计划生育局(爱国卫生运动委员会办公室)涞水县安全生产监督管理局、涞水县市场监督管理局、涞水县机构编制委员会办公室、涞水县民族宗教事务局等16个部门的170项行政审批事项划入县行政审批局。</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（三）机构情况</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涞水县行政审批局下设4个部门，各部门职责如下：</w:t>
      </w:r>
    </w:p>
    <w:p>
      <w:pPr>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1、办公室</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职责：（1）办公室负责文秘、机要、统计、宣传、财务、人事、信访、档案等日常工作。 （2）负责办理人大代表建议和政协委员提案。（3）承担安全、保密、接待、机关后勤等工作。（4）负责突发事件应急管理等工作。</w:t>
      </w:r>
    </w:p>
    <w:p>
      <w:pPr>
        <w:numPr>
          <w:ilvl w:val="0"/>
          <w:numId w:val="2"/>
        </w:numPr>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政策法规股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职责：（1）负责对审批事项适用的法律法规条款和前置条件进行梳理、研究,并指导各股室依法进行审批。（2）负责对接省市相关业务主管部门和联系县级相关部门,做好相关法律法规和政策的有效衔接。（3）负责规范性文件的合法性审核与报备等工作;（4）负责现场踏勘和联合踏勘的组织协调工作。（5）负责政策法规的宣传、推动和实施工作。（6）负责组织接受上级部门依法行政考核工作。（7）负责行政应诉等工作。</w:t>
      </w:r>
    </w:p>
    <w:p>
      <w:pPr>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3、行政审批股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职责：（1）负责商事登记、投资立项、规划建设、城管交通、涉农事务、社会事业等全县所有行政审批事项。（2）负责与上级业务部门和县级相关部门的联系、对接、协调工作。</w:t>
      </w:r>
    </w:p>
    <w:p>
      <w:pPr>
        <w:spacing w:line="560" w:lineRule="exact"/>
        <w:ind w:left="141" w:leftChars="67" w:firstLine="643" w:firstLineChars="200"/>
        <w:jc w:val="left"/>
        <w:rPr>
          <w:rFonts w:ascii="仿宋" w:hAnsi="仿宋" w:eastAsia="仿宋" w:cs="仿宋"/>
          <w:b/>
          <w:bCs/>
          <w:sz w:val="32"/>
          <w:szCs w:val="32"/>
        </w:rPr>
      </w:pPr>
      <w:r>
        <w:rPr>
          <w:rFonts w:hint="eastAsia" w:ascii="仿宋" w:hAnsi="仿宋" w:eastAsia="仿宋" w:cs="仿宋"/>
          <w:b/>
          <w:bCs/>
          <w:sz w:val="32"/>
          <w:szCs w:val="32"/>
        </w:rPr>
        <w:t>4、政务公开和电子政务股</w:t>
      </w:r>
    </w:p>
    <w:p>
      <w:pPr>
        <w:spacing w:line="560" w:lineRule="exact"/>
        <w:ind w:firstLine="640" w:firstLineChars="200"/>
        <w:jc w:val="left"/>
        <w:rPr>
          <w:rFonts w:hint="eastAsia" w:ascii="楷体" w:hAnsi="楷体" w:eastAsia="楷体" w:cs="楷体"/>
          <w:bCs/>
          <w:sz w:val="32"/>
          <w:szCs w:val="32"/>
        </w:rPr>
      </w:pPr>
      <w:r>
        <w:rPr>
          <w:rFonts w:hint="eastAsia" w:ascii="仿宋" w:hAnsi="仿宋" w:eastAsia="仿宋" w:cs="仿宋"/>
          <w:sz w:val="32"/>
          <w:szCs w:val="32"/>
        </w:rPr>
        <w:t xml:space="preserve"> 职责：（1）组织推进行政权力依法规范公开运行。（2）承担行政权力依法规范公开运行平台、电子政务大厅、基层公开综合服务监管平台、公共企业事业平台建设和运行管理工作。</w:t>
      </w:r>
    </w:p>
    <w:p>
      <w:pPr>
        <w:spacing w:line="56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（三）单位编制情况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我部门编制人数2</w:t>
      </w:r>
      <w:r>
        <w:rPr>
          <w:rFonts w:hint="eastAsia" w:ascii="仿宋" w:hAnsi="仿宋" w:eastAsia="仿宋" w:cs="仿宋"/>
          <w:sz w:val="32"/>
          <w:szCs w:val="32"/>
          <w:lang w:val="en-US" w:eastAsia="zh-CN"/>
        </w:rPr>
        <w:t>7</w:t>
      </w:r>
      <w:r>
        <w:rPr>
          <w:rFonts w:hint="eastAsia" w:ascii="仿宋" w:hAnsi="仿宋" w:eastAsia="仿宋" w:cs="仿宋"/>
          <w:sz w:val="32"/>
          <w:szCs w:val="32"/>
        </w:rPr>
        <w:t>个，行政编制数</w:t>
      </w:r>
      <w:r>
        <w:rPr>
          <w:rFonts w:hint="eastAsia" w:ascii="仿宋" w:hAnsi="仿宋" w:eastAsia="仿宋" w:cs="仿宋"/>
          <w:sz w:val="32"/>
          <w:szCs w:val="32"/>
          <w:lang w:val="en-US" w:eastAsia="zh-CN"/>
        </w:rPr>
        <w:t>18</w:t>
      </w:r>
      <w:r>
        <w:rPr>
          <w:rFonts w:hint="eastAsia" w:ascii="仿宋" w:hAnsi="仿宋" w:eastAsia="仿宋" w:cs="仿宋"/>
          <w:sz w:val="32"/>
          <w:szCs w:val="32"/>
        </w:rPr>
        <w:t xml:space="preserve"> 个，事业编制数</w:t>
      </w:r>
      <w:r>
        <w:rPr>
          <w:rFonts w:hint="eastAsia" w:ascii="仿宋" w:hAnsi="仿宋" w:eastAsia="仿宋" w:cs="仿宋"/>
          <w:sz w:val="32"/>
          <w:szCs w:val="32"/>
          <w:lang w:val="en-US" w:eastAsia="zh-CN"/>
        </w:rPr>
        <w:t>9</w:t>
      </w:r>
      <w:r>
        <w:rPr>
          <w:rFonts w:hint="eastAsia" w:ascii="仿宋" w:hAnsi="仿宋" w:eastAsia="仿宋" w:cs="仿宋"/>
          <w:sz w:val="32"/>
          <w:szCs w:val="32"/>
        </w:rPr>
        <w:t>个。实有在职人员 4</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21名自收自支人员编制在原单位</w:t>
      </w:r>
      <w:r>
        <w:rPr>
          <w:rFonts w:hint="eastAsia" w:ascii="仿宋" w:hAnsi="仿宋" w:eastAsia="仿宋" w:cs="仿宋"/>
          <w:sz w:val="32"/>
          <w:szCs w:val="32"/>
          <w:lang w:eastAsia="zh-CN"/>
        </w:rPr>
        <w:t>）</w:t>
      </w:r>
      <w:r>
        <w:rPr>
          <w:rFonts w:hint="eastAsia" w:ascii="仿宋" w:hAnsi="仿宋" w:eastAsia="仿宋" w:cs="仿宋"/>
          <w:sz w:val="32"/>
          <w:szCs w:val="32"/>
        </w:rPr>
        <w:t>，退休人员 1 人。</w:t>
      </w:r>
    </w:p>
    <w:p>
      <w:pPr>
        <w:widowControl/>
        <w:spacing w:line="360" w:lineRule="auto"/>
        <w:ind w:firstLine="482" w:firstLineChars="150"/>
        <w:jc w:val="center"/>
        <w:rPr>
          <w:rFonts w:ascii="仿宋" w:hAnsi="仿宋" w:eastAsia="仿宋" w:cs="仿宋_GB2312"/>
          <w:b/>
          <w:kern w:val="0"/>
          <w:sz w:val="32"/>
          <w:szCs w:val="32"/>
        </w:rPr>
      </w:pPr>
      <w:r>
        <w:rPr>
          <w:rFonts w:ascii="仿宋" w:hAnsi="仿宋" w:eastAsia="仿宋" w:cs="仿宋_GB2312"/>
          <w:b/>
          <w:kern w:val="0"/>
          <w:sz w:val="32"/>
          <w:szCs w:val="32"/>
        </w:rPr>
        <w:br w:type="page"/>
      </w:r>
    </w:p>
    <w:tbl>
      <w:tblPr>
        <w:tblStyle w:val="8"/>
        <w:tblpPr w:leftFromText="180" w:rightFromText="180" w:vertAnchor="text" w:horzAnchor="page" w:tblpX="2772" w:tblpY="266"/>
        <w:tblOverlap w:val="never"/>
        <w:tblW w:w="12300" w:type="dxa"/>
        <w:jc w:val="center"/>
        <w:tblLayout w:type="fixed"/>
        <w:tblCellMar>
          <w:top w:w="0" w:type="dxa"/>
          <w:left w:w="108" w:type="dxa"/>
          <w:bottom w:w="0" w:type="dxa"/>
          <w:right w:w="108" w:type="dxa"/>
        </w:tblCellMar>
      </w:tblPr>
      <w:tblGrid>
        <w:gridCol w:w="1351"/>
        <w:gridCol w:w="3610"/>
        <w:gridCol w:w="2717"/>
        <w:gridCol w:w="2666"/>
        <w:gridCol w:w="1956"/>
      </w:tblGrid>
      <w:tr>
        <w:tblPrEx>
          <w:tblCellMar>
            <w:top w:w="0" w:type="dxa"/>
            <w:left w:w="108" w:type="dxa"/>
            <w:bottom w:w="0" w:type="dxa"/>
            <w:right w:w="108" w:type="dxa"/>
          </w:tblCellMar>
        </w:tblPrEx>
        <w:trPr>
          <w:trHeight w:val="2162" w:hRule="atLeast"/>
          <w:jc w:val="center"/>
        </w:trPr>
        <w:tc>
          <w:tcPr>
            <w:tcW w:w="12300" w:type="dxa"/>
            <w:gridSpan w:val="5"/>
            <w:tcBorders>
              <w:top w:val="nil"/>
              <w:left w:val="nil"/>
              <w:bottom w:val="single" w:color="auto" w:sz="4" w:space="0"/>
              <w:right w:val="nil"/>
            </w:tcBorders>
            <w:vAlign w:val="center"/>
          </w:tcPr>
          <w:p>
            <w:pPr>
              <w:widowControl/>
              <w:spacing w:line="360" w:lineRule="auto"/>
              <w:ind w:firstLine="482" w:firstLineChars="150"/>
              <w:jc w:val="center"/>
              <w:rPr>
                <w:rFonts w:hint="eastAsia" w:ascii="仿宋" w:hAnsi="仿宋" w:eastAsia="仿宋" w:cs="仿宋_GB2312"/>
                <w:b/>
                <w:kern w:val="0"/>
                <w:sz w:val="32"/>
                <w:szCs w:val="32"/>
                <w:lang w:eastAsia="zh-CN"/>
              </w:rPr>
            </w:pPr>
            <w:r>
              <w:rPr>
                <w:rFonts w:hint="eastAsia" w:ascii="仿宋" w:hAnsi="仿宋" w:eastAsia="仿宋" w:cs="仿宋_GB2312"/>
                <w:b/>
                <w:kern w:val="0"/>
                <w:sz w:val="32"/>
                <w:szCs w:val="32"/>
                <w:lang w:eastAsia="zh-CN"/>
              </w:rPr>
              <w:t>部门机构设置情况</w:t>
            </w:r>
          </w:p>
        </w:tc>
      </w:tr>
      <w:tr>
        <w:tblPrEx>
          <w:tblCellMar>
            <w:top w:w="0" w:type="dxa"/>
            <w:left w:w="108" w:type="dxa"/>
            <w:bottom w:w="0" w:type="dxa"/>
            <w:right w:w="108" w:type="dxa"/>
          </w:tblCellMar>
        </w:tblPrEx>
        <w:trPr>
          <w:trHeight w:val="312" w:hRule="atLeast"/>
          <w:jc w:val="center"/>
        </w:trPr>
        <w:tc>
          <w:tcPr>
            <w:tcW w:w="135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序号</w:t>
            </w:r>
          </w:p>
        </w:tc>
        <w:tc>
          <w:tcPr>
            <w:tcW w:w="3610" w:type="dxa"/>
            <w:vMerge w:val="restart"/>
            <w:tcBorders>
              <w:top w:val="nil"/>
              <w:left w:val="single" w:color="auto" w:sz="4" w:space="0"/>
              <w:bottom w:val="single" w:color="000000" w:sz="4" w:space="0"/>
              <w:right w:val="single" w:color="auto" w:sz="4" w:space="0"/>
            </w:tcBorders>
            <w:vAlign w:val="center"/>
          </w:tcPr>
          <w:p>
            <w:pPr>
              <w:widowControl/>
              <w:ind w:firstLine="320" w:firstLineChars="100"/>
              <w:rPr>
                <w:rFonts w:ascii="仿宋" w:hAnsi="仿宋" w:eastAsia="仿宋" w:cs="仿宋_GB2312"/>
                <w:kern w:val="0"/>
                <w:sz w:val="32"/>
                <w:szCs w:val="32"/>
              </w:rPr>
            </w:pPr>
            <w:r>
              <w:rPr>
                <w:rFonts w:hint="eastAsia" w:ascii="仿宋" w:hAnsi="仿宋" w:eastAsia="仿宋" w:cs="仿宋_GB2312"/>
                <w:kern w:val="0"/>
                <w:sz w:val="32"/>
                <w:szCs w:val="32"/>
              </w:rPr>
              <w:t>单位名称</w:t>
            </w:r>
          </w:p>
        </w:tc>
        <w:tc>
          <w:tcPr>
            <w:tcW w:w="2717" w:type="dxa"/>
            <w:vMerge w:val="restart"/>
            <w:tcBorders>
              <w:top w:val="nil"/>
              <w:left w:val="single" w:color="auto" w:sz="4" w:space="0"/>
              <w:bottom w:val="single" w:color="000000" w:sz="4" w:space="0"/>
              <w:right w:val="single" w:color="auto" w:sz="4" w:space="0"/>
            </w:tcBorders>
            <w:vAlign w:val="center"/>
          </w:tcPr>
          <w:p>
            <w:pPr>
              <w:widowControl/>
              <w:ind w:firstLine="320" w:firstLineChars="100"/>
              <w:rPr>
                <w:rFonts w:ascii="仿宋" w:hAnsi="仿宋" w:eastAsia="仿宋" w:cs="仿宋_GB2312"/>
                <w:kern w:val="0"/>
                <w:sz w:val="32"/>
                <w:szCs w:val="32"/>
              </w:rPr>
            </w:pPr>
            <w:r>
              <w:rPr>
                <w:rFonts w:hint="eastAsia" w:ascii="仿宋" w:hAnsi="仿宋" w:eastAsia="仿宋" w:cs="仿宋_GB2312"/>
                <w:kern w:val="0"/>
                <w:sz w:val="32"/>
                <w:szCs w:val="32"/>
              </w:rPr>
              <w:t>单位性质</w:t>
            </w:r>
          </w:p>
        </w:tc>
        <w:tc>
          <w:tcPr>
            <w:tcW w:w="266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单位规格</w:t>
            </w:r>
          </w:p>
        </w:tc>
        <w:tc>
          <w:tcPr>
            <w:tcW w:w="195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经费保障形式</w:t>
            </w:r>
          </w:p>
        </w:tc>
      </w:tr>
      <w:tr>
        <w:tblPrEx>
          <w:tblCellMar>
            <w:top w:w="0" w:type="dxa"/>
            <w:left w:w="108" w:type="dxa"/>
            <w:bottom w:w="0" w:type="dxa"/>
            <w:right w:w="108" w:type="dxa"/>
          </w:tblCellMar>
        </w:tblPrEx>
        <w:trPr>
          <w:trHeight w:val="811" w:hRule="atLeast"/>
          <w:jc w:val="center"/>
        </w:trPr>
        <w:tc>
          <w:tcPr>
            <w:tcW w:w="1351" w:type="dxa"/>
            <w:vMerge w:val="continue"/>
            <w:tcBorders>
              <w:top w:val="nil"/>
              <w:left w:val="single" w:color="auto" w:sz="4" w:space="0"/>
              <w:bottom w:val="single" w:color="000000" w:sz="4" w:space="0"/>
              <w:right w:val="single" w:color="auto" w:sz="4" w:space="0"/>
            </w:tcBorders>
            <w:vAlign w:val="center"/>
          </w:tcPr>
          <w:p>
            <w:pPr>
              <w:widowControl/>
              <w:ind w:firstLine="480" w:firstLineChars="150"/>
              <w:jc w:val="left"/>
              <w:rPr>
                <w:rFonts w:ascii="仿宋" w:hAnsi="仿宋" w:eastAsia="仿宋" w:cs="仿宋_GB2312"/>
                <w:kern w:val="0"/>
                <w:sz w:val="32"/>
                <w:szCs w:val="32"/>
              </w:rPr>
            </w:pPr>
          </w:p>
        </w:tc>
        <w:tc>
          <w:tcPr>
            <w:tcW w:w="3610" w:type="dxa"/>
            <w:vMerge w:val="continue"/>
            <w:tcBorders>
              <w:top w:val="nil"/>
              <w:left w:val="single" w:color="auto" w:sz="4" w:space="0"/>
              <w:bottom w:val="single" w:color="000000" w:sz="4" w:space="0"/>
              <w:right w:val="single" w:color="auto" w:sz="4" w:space="0"/>
            </w:tcBorders>
            <w:vAlign w:val="center"/>
          </w:tcPr>
          <w:p>
            <w:pPr>
              <w:widowControl/>
              <w:ind w:firstLine="480" w:firstLineChars="150"/>
              <w:jc w:val="left"/>
              <w:rPr>
                <w:rFonts w:ascii="仿宋" w:hAnsi="仿宋" w:eastAsia="仿宋" w:cs="仿宋_GB2312"/>
                <w:kern w:val="0"/>
                <w:sz w:val="32"/>
                <w:szCs w:val="32"/>
              </w:rPr>
            </w:pPr>
          </w:p>
        </w:tc>
        <w:tc>
          <w:tcPr>
            <w:tcW w:w="2717" w:type="dxa"/>
            <w:vMerge w:val="continue"/>
            <w:tcBorders>
              <w:top w:val="nil"/>
              <w:left w:val="single" w:color="auto" w:sz="4" w:space="0"/>
              <w:bottom w:val="single" w:color="000000" w:sz="4" w:space="0"/>
              <w:right w:val="single" w:color="auto" w:sz="4" w:space="0"/>
            </w:tcBorders>
            <w:vAlign w:val="center"/>
          </w:tcPr>
          <w:p>
            <w:pPr>
              <w:widowControl/>
              <w:ind w:firstLine="480" w:firstLineChars="150"/>
              <w:jc w:val="left"/>
              <w:rPr>
                <w:rFonts w:ascii="仿宋" w:hAnsi="仿宋" w:eastAsia="仿宋" w:cs="仿宋_GB2312"/>
                <w:kern w:val="0"/>
                <w:sz w:val="32"/>
                <w:szCs w:val="32"/>
              </w:rPr>
            </w:pPr>
          </w:p>
        </w:tc>
        <w:tc>
          <w:tcPr>
            <w:tcW w:w="2666" w:type="dxa"/>
            <w:vMerge w:val="continue"/>
            <w:tcBorders>
              <w:top w:val="nil"/>
              <w:left w:val="single" w:color="auto" w:sz="4" w:space="0"/>
              <w:bottom w:val="single" w:color="000000" w:sz="4" w:space="0"/>
              <w:right w:val="single" w:color="auto" w:sz="4" w:space="0"/>
            </w:tcBorders>
            <w:vAlign w:val="center"/>
          </w:tcPr>
          <w:p>
            <w:pPr>
              <w:widowControl/>
              <w:ind w:firstLine="480" w:firstLineChars="150"/>
              <w:jc w:val="left"/>
              <w:rPr>
                <w:rFonts w:ascii="仿宋" w:hAnsi="仿宋" w:eastAsia="仿宋" w:cs="仿宋_GB2312"/>
                <w:kern w:val="0"/>
                <w:sz w:val="32"/>
                <w:szCs w:val="32"/>
              </w:rPr>
            </w:pPr>
          </w:p>
        </w:tc>
        <w:tc>
          <w:tcPr>
            <w:tcW w:w="1956" w:type="dxa"/>
            <w:vMerge w:val="continue"/>
            <w:tcBorders>
              <w:top w:val="nil"/>
              <w:left w:val="single" w:color="auto" w:sz="4" w:space="0"/>
              <w:bottom w:val="single" w:color="000000" w:sz="4" w:space="0"/>
              <w:right w:val="single" w:color="auto" w:sz="4" w:space="0"/>
            </w:tcBorders>
            <w:vAlign w:val="center"/>
          </w:tcPr>
          <w:p>
            <w:pPr>
              <w:widowControl/>
              <w:ind w:firstLine="480" w:firstLineChars="150"/>
              <w:jc w:val="left"/>
              <w:rPr>
                <w:rFonts w:ascii="仿宋" w:hAnsi="仿宋" w:eastAsia="仿宋" w:cs="仿宋_GB2312"/>
                <w:kern w:val="0"/>
                <w:sz w:val="32"/>
                <w:szCs w:val="32"/>
              </w:rPr>
            </w:pPr>
          </w:p>
        </w:tc>
      </w:tr>
      <w:tr>
        <w:tblPrEx>
          <w:tblCellMar>
            <w:top w:w="0" w:type="dxa"/>
            <w:left w:w="108" w:type="dxa"/>
            <w:bottom w:w="0" w:type="dxa"/>
            <w:right w:w="108" w:type="dxa"/>
          </w:tblCellMar>
        </w:tblPrEx>
        <w:trPr>
          <w:trHeight w:val="612" w:hRule="atLeast"/>
          <w:jc w:val="center"/>
        </w:trPr>
        <w:tc>
          <w:tcPr>
            <w:tcW w:w="13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1</w:t>
            </w:r>
          </w:p>
        </w:tc>
        <w:tc>
          <w:tcPr>
            <w:tcW w:w="3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涞水县行政审批局</w:t>
            </w: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150"/>
              <w:jc w:val="left"/>
              <w:rPr>
                <w:rFonts w:ascii="仿宋" w:hAnsi="仿宋" w:eastAsia="仿宋" w:cs="仿宋_GB2312"/>
                <w:kern w:val="0"/>
                <w:sz w:val="32"/>
                <w:szCs w:val="32"/>
              </w:rPr>
            </w:pPr>
            <w:r>
              <w:rPr>
                <w:rFonts w:hint="eastAsia" w:ascii="仿宋" w:hAnsi="仿宋" w:eastAsia="仿宋" w:cs="仿宋_GB2312"/>
                <w:kern w:val="0"/>
                <w:sz w:val="32"/>
                <w:szCs w:val="32"/>
              </w:rPr>
              <w:t>行政</w:t>
            </w: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ind w:firstLine="320" w:firstLineChars="100"/>
              <w:jc w:val="left"/>
              <w:rPr>
                <w:rFonts w:ascii="仿宋" w:hAnsi="仿宋" w:eastAsia="仿宋" w:cs="仿宋_GB2312"/>
                <w:kern w:val="0"/>
                <w:sz w:val="32"/>
                <w:szCs w:val="32"/>
              </w:rPr>
            </w:pPr>
            <w:r>
              <w:rPr>
                <w:rFonts w:hint="eastAsia" w:ascii="仿宋" w:hAnsi="仿宋" w:eastAsia="仿宋" w:cs="仿宋_GB2312"/>
                <w:kern w:val="0"/>
                <w:sz w:val="32"/>
                <w:szCs w:val="32"/>
              </w:rPr>
              <w:t>正科级</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财政拨款</w:t>
            </w:r>
          </w:p>
        </w:tc>
      </w:tr>
      <w:tr>
        <w:tblPrEx>
          <w:tblCellMar>
            <w:top w:w="0" w:type="dxa"/>
            <w:left w:w="108" w:type="dxa"/>
            <w:bottom w:w="0" w:type="dxa"/>
            <w:right w:w="108" w:type="dxa"/>
          </w:tblCellMar>
        </w:tblPrEx>
        <w:trPr>
          <w:trHeight w:val="1099" w:hRule="atLeast"/>
          <w:jc w:val="center"/>
        </w:trPr>
        <w:tc>
          <w:tcPr>
            <w:tcW w:w="13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2</w:t>
            </w:r>
          </w:p>
        </w:tc>
        <w:tc>
          <w:tcPr>
            <w:tcW w:w="3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_GB2312"/>
                <w:kern w:val="0"/>
                <w:sz w:val="32"/>
                <w:szCs w:val="32"/>
              </w:rPr>
            </w:pPr>
            <w:r>
              <w:rPr>
                <w:rFonts w:hint="eastAsia" w:ascii="仿宋" w:hAnsi="仿宋" w:eastAsia="仿宋" w:cs="仿宋_GB2312"/>
                <w:kern w:val="0"/>
                <w:sz w:val="32"/>
                <w:szCs w:val="32"/>
              </w:rPr>
              <w:t>涞水县行政服务中心（公共资源交易中心）</w:t>
            </w: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150"/>
              <w:jc w:val="left"/>
              <w:rPr>
                <w:rFonts w:ascii="仿宋" w:hAnsi="仿宋" w:eastAsia="仿宋" w:cs="仿宋_GB2312"/>
                <w:kern w:val="0"/>
                <w:sz w:val="32"/>
                <w:szCs w:val="32"/>
              </w:rPr>
            </w:pPr>
            <w:r>
              <w:rPr>
                <w:rFonts w:hint="eastAsia" w:ascii="仿宋" w:hAnsi="仿宋" w:eastAsia="仿宋" w:cs="仿宋_GB2312"/>
                <w:kern w:val="0"/>
                <w:sz w:val="32"/>
                <w:szCs w:val="32"/>
              </w:rPr>
              <w:t>事业</w:t>
            </w: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150"/>
              <w:jc w:val="left"/>
              <w:rPr>
                <w:rFonts w:ascii="仿宋" w:hAnsi="仿宋" w:eastAsia="仿宋" w:cs="仿宋_GB2312"/>
                <w:kern w:val="0"/>
                <w:sz w:val="32"/>
                <w:szCs w:val="32"/>
              </w:rPr>
            </w:pPr>
            <w:r>
              <w:rPr>
                <w:rFonts w:hint="eastAsia" w:ascii="仿宋" w:hAnsi="仿宋" w:eastAsia="仿宋" w:cs="仿宋_GB2312"/>
                <w:kern w:val="0"/>
                <w:sz w:val="32"/>
                <w:szCs w:val="32"/>
              </w:rPr>
              <w:t>股级</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ind w:left="640" w:hanging="640" w:hangingChars="200"/>
              <w:jc w:val="center"/>
              <w:rPr>
                <w:rFonts w:ascii="仿宋" w:hAnsi="仿宋" w:eastAsia="仿宋" w:cs="仿宋_GB2312"/>
                <w:kern w:val="0"/>
                <w:sz w:val="32"/>
                <w:szCs w:val="32"/>
              </w:rPr>
            </w:pPr>
            <w:r>
              <w:rPr>
                <w:rFonts w:hint="eastAsia" w:ascii="仿宋" w:hAnsi="仿宋" w:eastAsia="仿宋" w:cs="仿宋_GB2312"/>
                <w:kern w:val="0"/>
                <w:sz w:val="32"/>
                <w:szCs w:val="32"/>
              </w:rPr>
              <w:t>财政性资金零补助</w:t>
            </w:r>
          </w:p>
        </w:tc>
      </w:tr>
    </w:tbl>
    <w:p>
      <w:pPr>
        <w:spacing w:line="560" w:lineRule="exact"/>
        <w:rPr>
          <w:rFonts w:ascii="仿宋" w:hAnsi="仿宋" w:eastAsia="仿宋" w:cs="仿宋_GB2312"/>
          <w:b/>
          <w:bCs/>
          <w:sz w:val="30"/>
          <w:szCs w:val="30"/>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二、部门预算安排的总体情况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1、收入情况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本部门当年全部收入，2021年预算收入总额608.85万元，均为一般公共预算拨款，其中财政拨款收入608.85万元，基金预算拨款0万元，国有资本经营预算拨款0万元，财政专户核拨 0万元，其他来源收入0万元，经营收入0万元，附属单位上缴收入0万元。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2、支出情况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2021年预算支出总额608.85万元，其中：基本支出405.76万元，包含人员经费支出318.08万元、日常公用经费支出87.68万元，项目支出203.09万元，上缴上级支出0万元，经营支出0万元，对附属单位补助支出0万元。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3、比上年增减情况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本年度预算收支安排608.85万元，较上年增加10.83万元。其中基本支出增加17.6万元，变动原因：新增人员，增加了工资、保险费用。项目支出减少6.77万元，变动原因：进一步压减支出，落实中央规定。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部门安排财政拨款支出主要用于保障审批机构正常运转、完成日常工作任务。日常公用经费87.68万元，其中：办公费6.8万元，邮电费0.18万元，取暖费6.24万元，差旅费3.9万元，公务接待费2万元，劳务费54.05，工会经费3.04万元，公务用车维护费2万元，其他交通费6.12万元，</w:t>
      </w:r>
      <w:r>
        <w:rPr>
          <w:rFonts w:hint="eastAsia" w:ascii="仿宋" w:hAnsi="仿宋" w:eastAsia="仿宋" w:cs="仿宋"/>
          <w:sz w:val="32"/>
          <w:szCs w:val="32"/>
          <w:lang w:eastAsia="zh-CN"/>
        </w:rPr>
        <w:t>职工福利费</w:t>
      </w:r>
      <w:r>
        <w:rPr>
          <w:rFonts w:hint="eastAsia" w:ascii="仿宋" w:hAnsi="仿宋" w:eastAsia="仿宋" w:cs="仿宋"/>
          <w:sz w:val="32"/>
          <w:szCs w:val="32"/>
        </w:rPr>
        <w:t>支出3.35万元。</w:t>
      </w:r>
    </w:p>
    <w:p>
      <w:pPr>
        <w:keepNext w:val="0"/>
        <w:keepLines w:val="0"/>
        <w:pageBreakBefore w:val="0"/>
        <w:widowControl w:val="0"/>
        <w:tabs>
          <w:tab w:val="left" w:pos="490"/>
        </w:tabs>
        <w:kinsoku/>
        <w:wordWrap/>
        <w:overflowPunct/>
        <w:topLinePunct w:val="0"/>
        <w:autoSpaceDE/>
        <w:autoSpaceDN/>
        <w:bidi w:val="0"/>
        <w:adjustRightInd/>
        <w:spacing w:line="560" w:lineRule="exact"/>
        <w:ind w:firstLine="446" w:firstLineChars="148"/>
        <w:textAlignment w:val="auto"/>
        <w:rPr>
          <w:rFonts w:hint="eastAsia" w:ascii="仿宋" w:hAnsi="仿宋" w:eastAsia="仿宋" w:cs="仿宋_GB2312"/>
          <w:b/>
          <w:bCs/>
          <w:sz w:val="30"/>
          <w:szCs w:val="30"/>
        </w:rPr>
      </w:pPr>
    </w:p>
    <w:p>
      <w:pPr>
        <w:keepNext w:val="0"/>
        <w:keepLines w:val="0"/>
        <w:pageBreakBefore w:val="0"/>
        <w:widowControl w:val="0"/>
        <w:tabs>
          <w:tab w:val="left" w:pos="490"/>
        </w:tabs>
        <w:kinsoku/>
        <w:wordWrap/>
        <w:overflowPunct/>
        <w:topLinePunct w:val="0"/>
        <w:autoSpaceDE/>
        <w:autoSpaceDN/>
        <w:bidi w:val="0"/>
        <w:adjustRightInd/>
        <w:spacing w:line="560" w:lineRule="exact"/>
        <w:ind w:firstLine="446" w:firstLineChars="148"/>
        <w:textAlignment w:val="auto"/>
        <w:rPr>
          <w:rFonts w:hint="eastAsia" w:ascii="仿宋" w:hAnsi="仿宋" w:eastAsia="仿宋" w:cs="仿宋_GB2312"/>
          <w:b/>
          <w:bCs/>
          <w:sz w:val="30"/>
          <w:szCs w:val="30"/>
        </w:rPr>
      </w:pPr>
    </w:p>
    <w:p>
      <w:pPr>
        <w:tabs>
          <w:tab w:val="left" w:pos="490"/>
        </w:tabs>
        <w:spacing w:line="520" w:lineRule="exact"/>
        <w:ind w:firstLine="446" w:firstLineChars="148"/>
        <w:rPr>
          <w:rFonts w:hint="eastAsia" w:ascii="仿宋" w:hAnsi="仿宋" w:eastAsia="仿宋" w:cs="仿宋_GB2312"/>
          <w:b/>
          <w:bCs/>
          <w:sz w:val="30"/>
          <w:szCs w:val="30"/>
        </w:rPr>
      </w:pPr>
    </w:p>
    <w:p>
      <w:pPr>
        <w:tabs>
          <w:tab w:val="left" w:pos="490"/>
        </w:tabs>
        <w:spacing w:line="520" w:lineRule="exact"/>
        <w:ind w:firstLine="446" w:firstLineChars="148"/>
        <w:rPr>
          <w:rFonts w:hint="eastAsia" w:ascii="仿宋" w:hAnsi="仿宋" w:eastAsia="仿宋" w:cs="仿宋_GB2312"/>
          <w:b/>
          <w:bCs/>
          <w:sz w:val="30"/>
          <w:szCs w:val="30"/>
        </w:rPr>
      </w:pPr>
    </w:p>
    <w:p>
      <w:pPr>
        <w:tabs>
          <w:tab w:val="left" w:pos="490"/>
        </w:tabs>
        <w:spacing w:line="520" w:lineRule="exact"/>
        <w:ind w:firstLine="473" w:firstLineChars="148"/>
        <w:rPr>
          <w:rFonts w:hint="eastAsia" w:ascii="黑体" w:hAnsi="黑体" w:eastAsia="黑体" w:cs="黑体"/>
          <w:b w:val="0"/>
          <w:bCs w:val="0"/>
          <w:sz w:val="32"/>
          <w:szCs w:val="32"/>
        </w:rPr>
      </w:pPr>
      <w:r>
        <w:rPr>
          <w:rFonts w:hint="eastAsia" w:ascii="黑体" w:hAnsi="黑体" w:eastAsia="黑体" w:cs="黑体"/>
          <w:b w:val="0"/>
          <w:bCs w:val="0"/>
          <w:sz w:val="32"/>
          <w:szCs w:val="32"/>
        </w:rPr>
        <w:t>四、财政拨款“三公”经费预算情况及增减变化原因</w:t>
      </w:r>
    </w:p>
    <w:tbl>
      <w:tblPr>
        <w:tblStyle w:val="8"/>
        <w:tblpPr w:leftFromText="180" w:rightFromText="180" w:vertAnchor="text" w:horzAnchor="page" w:tblpXSpec="center" w:tblpY="665"/>
        <w:tblOverlap w:val="never"/>
        <w:tblW w:w="9855" w:type="dxa"/>
        <w:jc w:val="center"/>
        <w:tblLayout w:type="fixed"/>
        <w:tblCellMar>
          <w:top w:w="0" w:type="dxa"/>
          <w:left w:w="108" w:type="dxa"/>
          <w:bottom w:w="0" w:type="dxa"/>
          <w:right w:w="108" w:type="dxa"/>
        </w:tblCellMar>
      </w:tblPr>
      <w:tblGrid>
        <w:gridCol w:w="2518"/>
        <w:gridCol w:w="284"/>
        <w:gridCol w:w="1275"/>
        <w:gridCol w:w="1276"/>
        <w:gridCol w:w="1134"/>
        <w:gridCol w:w="3368"/>
      </w:tblGrid>
      <w:tr>
        <w:tblPrEx>
          <w:tblCellMar>
            <w:top w:w="0" w:type="dxa"/>
            <w:left w:w="108" w:type="dxa"/>
            <w:bottom w:w="0" w:type="dxa"/>
            <w:right w:w="108" w:type="dxa"/>
          </w:tblCellMar>
        </w:tblPrEx>
        <w:trPr>
          <w:trHeight w:val="405" w:hRule="atLeast"/>
          <w:jc w:val="center"/>
        </w:trPr>
        <w:tc>
          <w:tcPr>
            <w:tcW w:w="9855" w:type="dxa"/>
            <w:gridSpan w:val="6"/>
            <w:tcBorders>
              <w:top w:val="nil"/>
              <w:left w:val="nil"/>
              <w:bottom w:val="nil"/>
              <w:right w:val="nil"/>
            </w:tcBorders>
            <w:vAlign w:val="center"/>
          </w:tcPr>
          <w:p>
            <w:pPr>
              <w:widowControl/>
              <w:spacing w:line="520" w:lineRule="exact"/>
              <w:jc w:val="center"/>
              <w:rPr>
                <w:rFonts w:ascii="仿宋" w:hAnsi="仿宋" w:eastAsia="仿宋" w:cs="仿宋"/>
                <w:kern w:val="0"/>
                <w:sz w:val="30"/>
                <w:szCs w:val="30"/>
              </w:rPr>
            </w:pPr>
            <w:r>
              <w:rPr>
                <w:rFonts w:hint="eastAsia" w:ascii="仿宋" w:hAnsi="仿宋" w:eastAsia="仿宋" w:cs="仿宋"/>
                <w:b/>
                <w:bCs/>
                <w:sz w:val="30"/>
                <w:szCs w:val="30"/>
              </w:rPr>
              <w:t>“三公”经费预算情况及增减变化原因</w:t>
            </w:r>
          </w:p>
        </w:tc>
      </w:tr>
      <w:tr>
        <w:tblPrEx>
          <w:tblCellMar>
            <w:top w:w="0" w:type="dxa"/>
            <w:left w:w="108" w:type="dxa"/>
            <w:bottom w:w="0" w:type="dxa"/>
            <w:right w:w="108" w:type="dxa"/>
          </w:tblCellMar>
        </w:tblPrEx>
        <w:trPr>
          <w:trHeight w:val="221" w:hRule="atLeast"/>
          <w:jc w:val="center"/>
        </w:trPr>
        <w:tc>
          <w:tcPr>
            <w:tcW w:w="2518"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1559" w:type="dxa"/>
            <w:gridSpan w:val="2"/>
            <w:tcBorders>
              <w:top w:val="nil"/>
              <w:left w:val="nil"/>
              <w:bottom w:val="nil"/>
              <w:right w:val="nil"/>
            </w:tcBorders>
            <w:vAlign w:val="center"/>
          </w:tcPr>
          <w:p>
            <w:pPr>
              <w:widowControl/>
              <w:jc w:val="left"/>
              <w:rPr>
                <w:rFonts w:ascii="仿宋" w:hAnsi="仿宋" w:eastAsia="仿宋" w:cs="仿宋"/>
                <w:kern w:val="0"/>
                <w:sz w:val="30"/>
                <w:szCs w:val="30"/>
              </w:rPr>
            </w:pPr>
          </w:p>
        </w:tc>
        <w:tc>
          <w:tcPr>
            <w:tcW w:w="1276"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1134"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3368" w:type="dxa"/>
            <w:tcBorders>
              <w:top w:val="nil"/>
              <w:left w:val="nil"/>
              <w:bottom w:val="nil"/>
              <w:right w:val="nil"/>
            </w:tcBorders>
            <w:vAlign w:val="center"/>
          </w:tcPr>
          <w:p>
            <w:pPr>
              <w:widowControl/>
              <w:jc w:val="right"/>
              <w:rPr>
                <w:rFonts w:ascii="仿宋" w:hAnsi="仿宋" w:eastAsia="仿宋" w:cs="仿宋"/>
                <w:kern w:val="0"/>
                <w:sz w:val="30"/>
                <w:szCs w:val="30"/>
              </w:rPr>
            </w:pPr>
            <w:r>
              <w:rPr>
                <w:rFonts w:hint="eastAsia" w:ascii="仿宋" w:hAnsi="仿宋" w:eastAsia="仿宋" w:cs="仿宋"/>
                <w:kern w:val="0"/>
                <w:sz w:val="30"/>
                <w:szCs w:val="30"/>
              </w:rPr>
              <w:t>单位：万元</w:t>
            </w:r>
          </w:p>
        </w:tc>
      </w:tr>
      <w:tr>
        <w:tblPrEx>
          <w:tblCellMar>
            <w:top w:w="0" w:type="dxa"/>
            <w:left w:w="108" w:type="dxa"/>
            <w:bottom w:w="0" w:type="dxa"/>
            <w:right w:w="108" w:type="dxa"/>
          </w:tblCellMar>
        </w:tblPrEx>
        <w:trPr>
          <w:trHeight w:val="566" w:hRule="atLeast"/>
          <w:jc w:val="center"/>
        </w:trPr>
        <w:tc>
          <w:tcPr>
            <w:tcW w:w="28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项目名称</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2020年度预算</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2021年度预算</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增减金额</w:t>
            </w:r>
          </w:p>
        </w:tc>
        <w:tc>
          <w:tcPr>
            <w:tcW w:w="33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变化原因</w:t>
            </w:r>
          </w:p>
        </w:tc>
      </w:tr>
      <w:tr>
        <w:tblPrEx>
          <w:tblCellMar>
            <w:top w:w="0" w:type="dxa"/>
            <w:left w:w="108" w:type="dxa"/>
            <w:bottom w:w="0" w:type="dxa"/>
            <w:right w:w="108" w:type="dxa"/>
          </w:tblCellMar>
        </w:tblPrEx>
        <w:trPr>
          <w:trHeight w:val="428" w:hRule="atLeas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932" w:hRule="atLeas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667" w:hRule="atLeas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691" w:hRule="atLeas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2021年 “三公”经费支出4万元，其中：公车运行维护费2万元，公务接待费2万元，计划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因公出国出境0万元。2020年预算安排“三公”经费支出4万元，其中：</w:t>
      </w:r>
      <w:r>
        <w:rPr>
          <w:rFonts w:hint="eastAsia" w:ascii="仿宋" w:hAnsi="仿宋" w:eastAsia="仿宋" w:cs="仿宋"/>
          <w:kern w:val="0"/>
          <w:sz w:val="32"/>
          <w:szCs w:val="32"/>
        </w:rPr>
        <w:t>公务用车购置经费0万元，</w:t>
      </w:r>
      <w:r>
        <w:rPr>
          <w:rFonts w:hint="eastAsia" w:ascii="仿宋" w:hAnsi="仿宋" w:eastAsia="仿宋" w:cs="仿宋"/>
          <w:sz w:val="32"/>
          <w:szCs w:val="32"/>
        </w:rPr>
        <w:t>公车运行维护费2万元，公务接待费2万元，因公出国出境0万元，与2020年三公经费相比无增减变化。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绩效预算信息情况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第一部分部门整体绩效目标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300"/>
        <w:jc w:val="left"/>
        <w:textAlignment w:val="auto"/>
        <w:rPr>
          <w:rFonts w:hint="eastAsia" w:ascii="楷体" w:hAnsi="楷体" w:eastAsia="楷体" w:cs="楷体"/>
          <w:b/>
          <w:bCs w:val="0"/>
          <w:sz w:val="32"/>
          <w:szCs w:val="32"/>
        </w:rPr>
      </w:pPr>
      <w:r>
        <w:rPr>
          <w:rFonts w:hint="eastAsia" w:ascii="楷体" w:hAnsi="楷体" w:eastAsia="楷体" w:cs="楷体"/>
          <w:b/>
          <w:bCs w:val="0"/>
          <w:sz w:val="32"/>
          <w:szCs w:val="32"/>
        </w:rPr>
        <w:t>进一步提升服务质量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是延续并优化现有全员学习制度，科学制定学习计划，加强窗口工作人员服务礼仪和业务标准培训，突出服务理念、服务行为、服务品质的培养和强化，通过开展专题讲座，文化大讲堂和异地培训等形式提高工作人员业务水平，提高服务群众的本领。二是完善审批局管理制度，优化考评机制，强化服务质量考核工作，加强对窗口工作人员的监督检查工作，杜绝“门好进、脸好看、事难办、不作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扎实推进便民服务中心标准化建设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乡镇政务服务管理标准化建设，进一步推动县级职能部门审批管理权限向乡镇（街道）下沉。加强乡镇赋权下放的培训；加快审批服务专网网络授权和专线对接工作；组织乡镇工作人员业务培训及跟班学习；加强乡镇软、硬件建设督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提升“互联网+政务服务”工作水平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大“放管服”改革力度，推进县、乡两级在线政务服务平台互联互通。尽快完成河北省政务服务网“冀时办”移动应用推进电子卡包建设。推进网上平台向基层延伸，政务服务事项全流程网上办理。完成与省级垂建系统对接，全力推进政务服务“一网通办”。继续做好“互联网+监管”事项目录清单和行政检查实施清单，确保监管数据质量。做好国家平台投诉的处理工作，建立健全问题投诉机制，明确专人负责，确保件件有落实、事事有回音。继续完善审批局门户网站既河北省政务服务门户网站。根据政府部门的相关职能，公开政务服务事项和公共服务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深入推进一流营商环境体系建设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照省市“三创四建”目标要求，以“放管服”改革为抓手，强化举措，进一步优化营商环境。推进企业登记全程电子化，加强线上办理的宣传及普及，全面推行“一窗通”“云窗办照”等方式，实现全范围、全流程网上“不见面”办理。优化政府采购行为，推进招标全过程无纸化在线电子交易和电子化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rPr>
      </w:pPr>
      <w:r>
        <w:rPr>
          <w:rFonts w:hint="eastAsia" w:ascii="黑体" w:hAnsi="黑体" w:eastAsia="黑体" w:cs="黑体"/>
          <w:sz w:val="32"/>
          <w:szCs w:val="32"/>
        </w:rPr>
        <w:t xml:space="preserve">二、分项绩效目标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快筹建新市民服务中心。政务服务中心受场地制约，不具备集中到中心办理的条件，不能达到国务院“政务服务事项进驻综合性实体政务大厅基本实现‘应进必进’”的目标，日前已请示县政府谋划筹建新市民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对新划转四项职能的重视。建议各成员单位强化责任担当，强化组织领导，强化沟通协调，把推进“放管服”改革和行政审批制度改革、“互联网+政务服务”、社会信用体系建设等综合性工作，摆上重要议事日程，明确责任，强化督导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强化事中事后监管机制。各相关职能部门上级来文不能及时函告我局，导致相关行业规范及文件精神不能及时传达到位。明确行政审批与事中事后监管的职责，严格界定必要的决定程序，明确行政审批后的信息“双推送”方式，确保审批于监管的无缝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专业人员队伍。随着审批事项的增加，特别是“放管服”改革、审批制度改革、信用体系建设、互联网+政务服务四项综合性工作划入审批局，工作量极大增加，面对专业性较强的审批和四项综合性工作开展时，工作人员特别是专业工作人员明显不足。建议编制部门增加审批局专业技术人员编制，同时，放宽政策，允许审批局选调部分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sectPr>
          <w:footerReference r:id="rId3" w:type="default"/>
          <w:pgSz w:w="16839" w:h="11907" w:orient="landscape"/>
          <w:pgMar w:top="1304" w:right="1984" w:bottom="1304" w:left="1134" w:header="851" w:footer="992" w:gutter="0"/>
          <w:lnNumType w:countBy="0" w:restart="continuous"/>
          <w:pgNumType w:start="1"/>
          <w:cols w:space="425" w:num="1"/>
          <w:docGrid w:type="lines" w:linePitch="312" w:charSpace="0"/>
        </w:sectPr>
      </w:pPr>
    </w:p>
    <w:p>
      <w:pPr>
        <w:ind w:firstLine="160" w:firstLineChars="50"/>
        <w:rPr>
          <w:rFonts w:hint="eastAsia" w:ascii="黑体" w:hAnsi="黑体" w:eastAsia="黑体" w:cs="黑体"/>
          <w:b w:val="0"/>
          <w:bCs/>
          <w:sz w:val="32"/>
          <w:szCs w:val="32"/>
        </w:rPr>
      </w:pPr>
      <w:r>
        <w:rPr>
          <w:rFonts w:hint="eastAsia" w:ascii="黑体" w:hAnsi="黑体" w:eastAsia="黑体" w:cs="黑体"/>
          <w:b w:val="0"/>
          <w:bCs/>
          <w:sz w:val="32"/>
          <w:szCs w:val="32"/>
        </w:rPr>
        <w:t>第二部分 预算项目绩效目标</w:t>
      </w:r>
    </w:p>
    <w:p>
      <w:pPr>
        <w:rPr>
          <w:rFonts w:ascii="仿宋" w:hAnsi="仿宋" w:eastAsia="仿宋"/>
          <w:sz w:val="30"/>
          <w:szCs w:val="30"/>
        </w:rPr>
      </w:pPr>
    </w:p>
    <w:p>
      <w:pPr>
        <w:ind w:firstLine="643" w:firstLineChars="200"/>
        <w:jc w:val="left"/>
        <w:outlineLvl w:val="3"/>
        <w:rPr>
          <w:rFonts w:ascii="Times New Roman" w:hAnsi="宋体"/>
          <w:b/>
          <w:sz w:val="28"/>
        </w:rPr>
      </w:pPr>
      <w:bookmarkStart w:id="0" w:name="_Toc62131158"/>
      <w:r>
        <w:rPr>
          <w:rFonts w:hint="eastAsia" w:ascii="仿宋" w:hAnsi="仿宋" w:eastAsia="仿宋" w:cs="仿宋"/>
          <w:b/>
          <w:bCs w:val="0"/>
          <w:sz w:val="32"/>
          <w:szCs w:val="32"/>
        </w:rPr>
        <w:t>1.网络服务费绩效目标表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1、网络服务费绩效目标表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1306232187P2X7018ZUKP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11.45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11.45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审批大厅网络使用费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推进行政审批局信息化建设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保障审批工作运行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大厅政务网络、无线网络覆盖率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保证网络通畅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提高便民服务质量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提高便民服务质量，定期开展群众满意度调查</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能够保障机关正常运转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提高工作效率，减化办事流程</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90% </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 w:name="_Toc62131159"/>
      <w:r>
        <w:rPr>
          <w:rFonts w:hint="eastAsia" w:ascii="仿宋" w:hAnsi="仿宋" w:eastAsia="仿宋" w:cs="仿宋"/>
          <w:b/>
          <w:sz w:val="32"/>
          <w:szCs w:val="32"/>
        </w:rPr>
        <w:t>2.新建档案室密集柜购置费绩效目标表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2、新建档案室密集柜购置费绩效目标表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13062321AA4VY8KU7E4GK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新建档案室密集柜购置费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密集式档案柜购置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完善档案的科学存储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确保档案存储的完整化、科学化。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解决档案柜不足问题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购置档案柜，解决储存空间不足问题。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及时购置档案柜等设备，确保项目达到预期目标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质量验收合格率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通过采购商品验收全格率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提高便民服务质量、便于群众快捷的查阅档案。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2" w:name="_Toc62131160"/>
      <w:r>
        <w:rPr>
          <w:rFonts w:hint="eastAsia" w:ascii="仿宋" w:hAnsi="仿宋" w:eastAsia="仿宋" w:cs="仿宋"/>
          <w:b/>
          <w:sz w:val="32"/>
          <w:szCs w:val="32"/>
        </w:rPr>
        <w:t>3.证照购买绩效目标表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3、证照购买绩效目标表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13062321C4P0QF1N9QQDY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证照购买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向省市购买证照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实现全面提升行政审批效率以及</w:t>
            </w:r>
            <w:r>
              <w:rPr>
                <w:rFonts w:hint="cs" w:ascii="方正书宋_GBK" w:eastAsia="方正书宋_GBK"/>
              </w:rPr>
              <w:t>“</w:t>
            </w:r>
            <w:r>
              <w:rPr>
                <w:rFonts w:hint="eastAsia" w:ascii="方正书宋_GBK" w:eastAsia="方正书宋_GBK"/>
              </w:rPr>
              <w:t>一颗印章管审批</w:t>
            </w:r>
            <w:r>
              <w:rPr>
                <w:rFonts w:hint="cs" w:ascii="方正书宋_GBK" w:eastAsia="方正书宋_GBK"/>
              </w:rPr>
              <w:t>”</w:t>
            </w:r>
            <w:r>
              <w:rPr>
                <w:rFonts w:hint="eastAsia" w:ascii="方正书宋_GBK" w:eastAsia="方正书宋_GBK"/>
              </w:rPr>
              <w:t>的审批流程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及时发放证照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购买证照数量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每年需购买数量占计划购买数量比率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购买证照印刷合格率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购买的组织印刷质量合格率。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发放证照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全年各类证照的总发放情况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及时发放证照，保障工作运行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提高基本公共服务卫生水平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良好的完成任务明显提升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定期检查项目实施情况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群众对旅游的满意度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满意率调查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3" w:name="_Toc62131161"/>
      <w:r>
        <w:rPr>
          <w:rFonts w:hint="eastAsia" w:ascii="仿宋" w:hAnsi="仿宋" w:eastAsia="仿宋" w:cs="仿宋"/>
          <w:b/>
          <w:sz w:val="32"/>
          <w:szCs w:val="32"/>
        </w:rPr>
        <w:t>4.保洁费绩效目标表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4、保洁费绩效目标表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13062321EGXH32PZATH6L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保洁费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5.60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5.60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审批大厅保洁费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维护机关面貌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优化工作环境创造舒适、明亮的办公环境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垃圾处理比率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定期处理垃圾的比率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良好的完成保洁情况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维护机关面貌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通过雇佣保洁，</w:t>
            </w:r>
            <w:r>
              <w:rPr>
                <w:rFonts w:ascii="方正书宋_GBK" w:eastAsia="方正书宋_GBK"/>
              </w:rPr>
              <w:t xml:space="preserve"> </w:t>
            </w:r>
            <w:r>
              <w:rPr>
                <w:rFonts w:hint="eastAsia" w:ascii="方正书宋_GBK" w:eastAsia="方正书宋_GBK"/>
              </w:rPr>
              <w:t>维护了审批大厅机关面貌。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达到计划标准要求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达到标准要求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给前来办事的群众提供了一个干净卫生的办公场所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卫生达到标准要求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4" w:name="_Toc62131162"/>
      <w:r>
        <w:rPr>
          <w:rFonts w:hint="eastAsia" w:ascii="仿宋" w:hAnsi="仿宋" w:eastAsia="仿宋" w:cs="仿宋"/>
          <w:b/>
          <w:sz w:val="32"/>
          <w:szCs w:val="32"/>
        </w:rPr>
        <w:t>5.运营车辆外检经费绩效目标表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5、运营车辆外检经费绩效目标表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13062321G93MHBXFV3UEK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运营车辆外检经费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对办理道路货物运输经营许可业务的车辆进行外检。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依法办理行政审批相关事项，优化审批流程。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提升道路运输发展能力</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反映车辆外检公司工作进展情况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道路货物营运事项审批率（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完成的道路货物营运事项占应审批事项的比率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不超预算比例（</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完善审批流程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通过委托外检公司业务后，更好的完善了审批流程。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更好的完善审批流程</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建立健全了审批流程，得到办事群众的充分认可。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依法办理相关事宜，得到群众认可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人民群众的满意率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人民群众对我单位工作的认可程度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政府批复、合同</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640" w:firstLineChars="200"/>
        <w:jc w:val="left"/>
        <w:rPr>
          <w:rFonts w:hint="eastAsia" w:ascii="仿宋" w:hAnsi="仿宋" w:eastAsia="仿宋" w:cs="仿宋"/>
          <w:sz w:val="32"/>
          <w:szCs w:val="32"/>
        </w:rPr>
      </w:pPr>
    </w:p>
    <w:p>
      <w:pPr>
        <w:ind w:firstLine="643" w:firstLineChars="200"/>
        <w:jc w:val="left"/>
        <w:outlineLvl w:val="3"/>
        <w:rPr>
          <w:rFonts w:ascii="Times New Roman" w:hAnsi="宋体"/>
          <w:b/>
          <w:sz w:val="28"/>
        </w:rPr>
      </w:pPr>
      <w:bookmarkStart w:id="5" w:name="_Toc62131163"/>
      <w:r>
        <w:rPr>
          <w:rFonts w:hint="eastAsia" w:ascii="仿宋" w:hAnsi="仿宋" w:eastAsia="仿宋" w:cs="仿宋"/>
          <w:b/>
          <w:sz w:val="32"/>
          <w:szCs w:val="32"/>
        </w:rPr>
        <w:t>6.电子档案储存系统购置费绩效目标表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6、电子档案储存系统购置费绩效目标表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13062321LLA9CQFPZW3MA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电子档案储存系统购置费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购置电子档案储存系统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严格按照有关规使用预算资金。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按照项目实施工作方案及工作计划使用资金，确保落实到位。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提高档案管理信息开发的效率和质量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解决实物档案耗费大量的人力问题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提高档案储存率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保障档案系统正常运行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确保提高电子存储信息开发的效率和质量。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提高档案管理信息开发的效率和质量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提高便民服务质量，方便存储查阅档案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确保档案历史数据在日后工作数据挖掘，提高便民服务力</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项目实现功能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完善案基础目录建立、档案信息采集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完善对数字档案分类进存储，提高服务效能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满意率调查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领导批复、相关文件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6" w:name="_Toc62131164"/>
      <w:r>
        <w:rPr>
          <w:rFonts w:hint="eastAsia" w:ascii="仿宋" w:hAnsi="仿宋" w:eastAsia="仿宋" w:cs="仿宋"/>
          <w:b/>
          <w:sz w:val="32"/>
          <w:szCs w:val="32"/>
        </w:rPr>
        <w:t>7.行政审批系统项目绩效目标表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7、行政审批系统项目绩效目标表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13062321M18Q5ZNCCNQXF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行政审批系统项目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25.50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行政审批系统项目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提高审批效率，依法全面公开行政审批信息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保障行政审批事项有序运行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县乡村网络审批服务平台全覆盖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反映对审批系统维护升级情况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服务质量情况</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审批网站建设完成水平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通过委托技术公司业务后，更好的完善了审批流程。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良好的完成任务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建立健全了审批流程，得到办事群众的充分认可。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得到群众认可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办事群众满意数量占总数的比例。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7" w:name="_Toc62131165"/>
      <w:r>
        <w:rPr>
          <w:rFonts w:hint="eastAsia" w:ascii="仿宋" w:hAnsi="仿宋" w:eastAsia="仿宋" w:cs="仿宋"/>
          <w:b/>
          <w:sz w:val="32"/>
          <w:szCs w:val="32"/>
        </w:rPr>
        <w:t>8.房租绩效目标表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8、房租绩效目标表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13062321RLWU7CCQ2232A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63.76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63.76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审批局房租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更好的便民服务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工作人员有一个宽敞明亮的办公场所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办公用房配套设施建设达标率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办公用房质量是否达标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达到标准要求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便民服务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为办事群众，提供办公场所</w:t>
            </w:r>
            <w:r>
              <w:rPr>
                <w:rFonts w:ascii="方正书宋_GBK" w:eastAsia="方正书宋_GBK"/>
              </w:rPr>
              <w:t xml:space="preserve"> </w:t>
            </w:r>
            <w:r>
              <w:rPr>
                <w:rFonts w:hint="eastAsia" w:ascii="方正书宋_GBK" w:eastAsia="方正书宋_GBK"/>
              </w:rPr>
              <w:t>提高工作效率及服务效能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提升便民服务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提升工作效率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优化工作环境创造舒适、明亮的办公环境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优化环境</w:t>
            </w:r>
            <w:r>
              <w:rPr>
                <w:rFonts w:ascii="方正书宋_GBK" w:eastAsia="方正书宋_GBK"/>
              </w:rPr>
              <w:t xml:space="preserve"> </w:t>
            </w:r>
            <w:r>
              <w:rPr>
                <w:rFonts w:hint="eastAsia" w:ascii="方正书宋_GBK" w:eastAsia="方正书宋_GBK"/>
              </w:rPr>
              <w:t>提升工作效率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8" w:name="_Toc62131166"/>
      <w:r>
        <w:rPr>
          <w:rFonts w:hint="eastAsia" w:ascii="仿宋" w:hAnsi="仿宋" w:eastAsia="仿宋" w:cs="仿宋"/>
          <w:b/>
          <w:sz w:val="32"/>
          <w:szCs w:val="32"/>
        </w:rPr>
        <w:t>9.专家论证评审费绩效目标表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9、专家论证评审费绩效目标表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13062321SI4Y1SZRTW6BT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专家论证评审费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专家评审评论证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为行政审批项目提供了重要依据，固话审批流程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依照法律规定，进一步完善明确项目是否合理、和规是否具备相应资质。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当年核查的项目率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已完成专家评审项目个数占应组织专家评审项目数百分比。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形成工作报告合格率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审查项目后形成的工作报告、总结合格率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及时支付资金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决策咨询报告率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被采纳的评审建议占全部评审建议的比率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产生的重要影响，为行政审批项目提供了重要依据。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良好的完成评审任务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领导批复、合同、相关文件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9" w:name="_Toc62131167"/>
      <w:r>
        <w:rPr>
          <w:rFonts w:hint="eastAsia" w:ascii="仿宋" w:hAnsi="仿宋" w:eastAsia="仿宋" w:cs="仿宋"/>
          <w:b/>
          <w:sz w:val="32"/>
          <w:szCs w:val="32"/>
        </w:rPr>
        <w:t>10.通风系统质保金绩效目标表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10、通风系统质保金绩效目标表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13062321SMXBX9WUQEABK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通风系统质保金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通风系统质保金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减少审批大厅空气污染。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提高便民服务质量。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保障金实施情况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保障金按预算采购计划完成百分比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质量验收合格率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通过采购商品验收全格率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提高便民服务质量，减少空气污染。</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营造良好工作氛围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提供新鲜空气，去除有害气体</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定期检查设备运转情况</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0" w:name="_Toc62131168"/>
      <w:r>
        <w:rPr>
          <w:rFonts w:hint="eastAsia" w:ascii="仿宋" w:hAnsi="仿宋" w:eastAsia="仿宋" w:cs="仿宋"/>
          <w:b/>
          <w:sz w:val="32"/>
          <w:szCs w:val="32"/>
        </w:rPr>
        <w:t>11.LED显示屏、通风系统电费及维护费绩效目标表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11、LED显示屏、通风系统电费及维护费绩效目标表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13062321TBZ0T7HR22VOQ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LED</w:t>
            </w:r>
            <w:r>
              <w:rPr>
                <w:rFonts w:hint="eastAsia" w:ascii="方正书宋_GBK" w:eastAsia="方正书宋_GBK"/>
              </w:rPr>
              <w:t>显示屏、通风系统电费及维护费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ascii="方正书宋_GBK" w:eastAsia="方正书宋_GBK"/>
              </w:rPr>
              <w:t>LED</w:t>
            </w:r>
            <w:r>
              <w:rPr>
                <w:rFonts w:hint="eastAsia" w:ascii="方正书宋_GBK" w:eastAsia="方正书宋_GBK"/>
              </w:rPr>
              <w:t>显示屏、通风系统电费及维护费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加强保障各个工作环节正常运转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提高工作效率及服务效能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突发用电情况事件处置率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已报告的突发用电情况处置率占总数的比例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电路质量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审批大厅电路质量达标率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用电稳定性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加强各个环节，保障用电稳定，提高工作效率及服务效能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稳定</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通信服务水平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保障通讯服务于用电畅通，不影响群众咨询业务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1" w:name="_Toc62131169"/>
      <w:r>
        <w:rPr>
          <w:rFonts w:hint="eastAsia" w:ascii="仿宋" w:hAnsi="仿宋" w:eastAsia="仿宋" w:cs="仿宋"/>
          <w:b/>
          <w:sz w:val="32"/>
          <w:szCs w:val="32"/>
        </w:rPr>
        <w:t>12.律师服务费绩效目标表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12、律师服务费绩效目标表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13062321UPMKY4Q9C05ZG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律师服务费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律师服务费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防范行政法律风险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更好的依法行政</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审查数量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反映协助审查项目合同、经济合同情况</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开办法律宣传、法律培训情况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全年开办法律宣传、法律培训的效果。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全年法律课程培训情况</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按时支付资金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参与决策次数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参与调查案件、卷宗做出决策次数</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调查决策次数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法律业务能力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反映为单位执法人员提供基本法律知识培训的效果</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在本单位开展的培训情况等</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接受法律培训等服务的重点人群对律师机构所提供服务的满意程度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依据合同</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2" w:name="_Toc62131170"/>
      <w:r>
        <w:rPr>
          <w:rFonts w:hint="eastAsia" w:ascii="仿宋" w:hAnsi="仿宋" w:eastAsia="仿宋" w:cs="仿宋"/>
          <w:b/>
          <w:sz w:val="32"/>
          <w:szCs w:val="32"/>
        </w:rPr>
        <w:t>13.审批局“放管服”改革工作经费绩效目标表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13、审批局\“放管服\”改革工作经费绩效目标表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13062321W16XDFVNDSP9Q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审批局</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改革工作经费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7.50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审批局</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改革经费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推进乡镇综合服务中心和村</w:t>
            </w:r>
            <w:r>
              <w:rPr>
                <w:rFonts w:ascii="方正书宋_GBK" w:eastAsia="方正书宋_GBK"/>
              </w:rPr>
              <w:t>(</w:t>
            </w:r>
            <w:r>
              <w:rPr>
                <w:rFonts w:hint="eastAsia" w:ascii="方正书宋_GBK" w:eastAsia="方正书宋_GBK"/>
              </w:rPr>
              <w:t>社区</w:t>
            </w:r>
            <w:r>
              <w:rPr>
                <w:rFonts w:ascii="方正书宋_GBK" w:eastAsia="方正书宋_GBK"/>
              </w:rPr>
              <w:t>)</w:t>
            </w:r>
            <w:r>
              <w:rPr>
                <w:rFonts w:hint="eastAsia" w:ascii="方正书宋_GBK" w:eastAsia="方正书宋_GBK"/>
              </w:rPr>
              <w:t>综合服务站建设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联网</w:t>
            </w:r>
            <w:r>
              <w:rPr>
                <w:rFonts w:ascii="方正书宋_GBK" w:eastAsia="方正书宋_GBK"/>
              </w:rPr>
              <w:t>+</w:t>
            </w:r>
            <w:r>
              <w:rPr>
                <w:rFonts w:hint="eastAsia" w:ascii="方正书宋_GBK" w:eastAsia="方正书宋_GBK"/>
              </w:rPr>
              <w:t>政务服务</w:t>
            </w:r>
            <w:r>
              <w:rPr>
                <w:rFonts w:hint="cs" w:ascii="方正书宋_GBK" w:eastAsia="方正书宋_GBK"/>
              </w:rPr>
              <w:t>”</w:t>
            </w:r>
            <w:r>
              <w:rPr>
                <w:rFonts w:hint="eastAsia" w:ascii="方正书宋_GBK" w:eastAsia="方正书宋_GBK"/>
              </w:rPr>
              <w:t>工作，构建一体化政务服务平台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统筹推进量</w:t>
            </w:r>
          </w:p>
        </w:tc>
        <w:tc>
          <w:tcPr>
            <w:tcW w:w="2891"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互联网</w:t>
            </w:r>
            <w:r>
              <w:rPr>
                <w:rFonts w:ascii="方正书宋_GBK" w:eastAsia="方正书宋_GBK"/>
              </w:rPr>
              <w:t>+</w:t>
            </w:r>
            <w:r>
              <w:rPr>
                <w:rFonts w:hint="eastAsia" w:ascii="方正书宋_GBK" w:eastAsia="方正书宋_GBK"/>
              </w:rPr>
              <w:t>政务服务</w:t>
            </w:r>
            <w:r>
              <w:rPr>
                <w:rFonts w:hint="cs" w:ascii="方正书宋_GBK" w:eastAsia="方正书宋_GBK"/>
              </w:rPr>
              <w:t>”</w:t>
            </w:r>
            <w:r>
              <w:rPr>
                <w:rFonts w:hint="eastAsia" w:ascii="方正书宋_GBK" w:eastAsia="方正书宋_GBK"/>
              </w:rPr>
              <w:t>和政务服务工</w:t>
            </w:r>
          </w:p>
          <w:p>
            <w:pPr>
              <w:spacing w:line="300" w:lineRule="exact"/>
              <w:jc w:val="left"/>
              <w:rPr>
                <w:rFonts w:ascii="方正书宋_GBK" w:eastAsia="方正书宋_GBK"/>
              </w:rPr>
            </w:pPr>
            <w:r>
              <w:rPr>
                <w:rFonts w:hint="eastAsia" w:ascii="方正书宋_GBK" w:eastAsia="方正书宋_GBK"/>
              </w:rPr>
              <w:t>作统筹推进量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落实政府工作部署量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落实全国、省市深化</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政府职能工作部署量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完成工作部署量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成立</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工作小组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落实全国、省市深化</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政府职能工作部署，切实加强对</w:t>
            </w:r>
            <w:r>
              <w:rPr>
                <w:rFonts w:hint="cs" w:ascii="方正书宋_GBK" w:eastAsia="方正书宋_GBK"/>
              </w:rPr>
              <w:t>“</w:t>
            </w:r>
            <w:r>
              <w:rPr>
                <w:rFonts w:hint="eastAsia" w:ascii="方正书宋_GBK" w:eastAsia="方正书宋_GBK"/>
              </w:rPr>
              <w:t>放管服</w:t>
            </w:r>
            <w:r>
              <w:rPr>
                <w:rFonts w:hint="cs" w:ascii="方正书宋_GBK" w:eastAsia="方正书宋_GBK"/>
              </w:rPr>
              <w:t>”</w:t>
            </w:r>
            <w:r>
              <w:rPr>
                <w:rFonts w:hint="eastAsia" w:ascii="方正书宋_GBK" w:eastAsia="方正书宋_GBK"/>
              </w:rPr>
              <w:t>改革的领导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良好的完成工作部署量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推进乡镇综合服务中心和村</w:t>
            </w:r>
            <w:r>
              <w:rPr>
                <w:rFonts w:ascii="方正书宋_GBK" w:eastAsia="方正书宋_GBK"/>
              </w:rPr>
              <w:t>(</w:t>
            </w:r>
            <w:r>
              <w:rPr>
                <w:rFonts w:hint="eastAsia" w:ascii="方正书宋_GBK" w:eastAsia="方正书宋_GBK"/>
              </w:rPr>
              <w:t>社区</w:t>
            </w:r>
            <w:r>
              <w:rPr>
                <w:rFonts w:ascii="方正书宋_GBK" w:eastAsia="方正书宋_GBK"/>
              </w:rPr>
              <w:t>)</w:t>
            </w:r>
            <w:r>
              <w:rPr>
                <w:rFonts w:hint="eastAsia" w:ascii="方正书宋_GBK" w:eastAsia="方正书宋_GBK"/>
              </w:rPr>
              <w:t>综合服务站建设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发展社区工作服务建设</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3" w:name="_Toc62131171"/>
      <w:r>
        <w:rPr>
          <w:rFonts w:hint="eastAsia" w:ascii="仿宋" w:hAnsi="仿宋" w:eastAsia="仿宋" w:cs="仿宋"/>
          <w:b/>
          <w:sz w:val="32"/>
          <w:szCs w:val="32"/>
        </w:rPr>
        <w:t>14.便民事项印刷费绩效目标表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14、便民事项印刷费绩效目标表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13062321XH7IFQBGIONNY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便民事项印刷费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完成便民事项要求，无偿印刷各类资料表格。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落实县级政务服务管理标准化建设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解決群众和企业往返奔波大厅、耗时耗力等诸多不便</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不超预算数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完成应印刷的数量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是否按计划完成印刷数量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每年印刷量达到标准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应当遵循便民的原则，提高印刷效率、质量。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合理安排资金支出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提高便民服务质量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提高便民服务，加快审批流程</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方便了办事群众复印问题，也能够保障机关正常运转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便民利企，解决办事群众或企业复印问题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办事群众满意数量占总数的比例。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3"/>
        <w:rPr>
          <w:rFonts w:ascii="Times New Roman" w:hAnsi="宋体"/>
          <w:b/>
          <w:sz w:val="28"/>
        </w:rPr>
      </w:pPr>
      <w:bookmarkStart w:id="14" w:name="_Toc62131172"/>
      <w:r>
        <w:rPr>
          <w:rFonts w:hint="eastAsia" w:ascii="仿宋" w:hAnsi="仿宋" w:eastAsia="仿宋" w:cs="仿宋"/>
          <w:b/>
          <w:sz w:val="32"/>
          <w:szCs w:val="32"/>
        </w:rPr>
        <w:t>15.保安服务费绩效目标表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15、保安服务费绩效目标表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202001</w:t>
            </w:r>
            <w:r>
              <w:rPr>
                <w:rFonts w:hint="eastAsia" w:ascii="方正书宋_GBK" w:eastAsia="方正书宋_GBK"/>
                <w:b/>
              </w:rPr>
              <w:t>涞水县行政审批局本级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13062321YV083GS5ZN9RX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保安服务费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5.28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保安服务费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保障行政审批秩序有序运行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为审批局提供一个安全的办公场所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不超年初预算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突发情况处理率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应急事件、突发事件处理率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良好的完成安保情况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保障资金及时有效支付，保障工作正常运行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保障资金及时支付，确保资金合理支出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不超年初预算数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不超年初预算数，合理安排预算支出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秩序稳定水平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通过雇佣保安</w:t>
            </w:r>
            <w:r>
              <w:rPr>
                <w:rFonts w:ascii="方正书宋_GBK" w:eastAsia="方正书宋_GBK"/>
              </w:rPr>
              <w:t xml:space="preserve"> </w:t>
            </w:r>
            <w:r>
              <w:rPr>
                <w:rFonts w:hint="eastAsia" w:ascii="方正书宋_GBK" w:eastAsia="方正书宋_GBK"/>
              </w:rPr>
              <w:t>促进单位秩序稳定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达到预计效果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定期排查水平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定期排查安全隐患，检测消防等设施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定期检查</w:t>
            </w:r>
            <w:r>
              <w:rPr>
                <w:rFonts w:ascii="方正书宋_GBK" w:eastAsia="方正书宋_GBK"/>
              </w:rPr>
              <w:t xml:space="preserve"> </w:t>
            </w:r>
            <w:r>
              <w:rPr>
                <w:rFonts w:hint="eastAsia" w:ascii="方正书宋_GBK" w:eastAsia="方正书宋_GBK"/>
              </w:rPr>
              <w:t>排除隐患</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90% </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合同、政府批复文件</w:t>
            </w:r>
          </w:p>
        </w:tc>
      </w:tr>
    </w:tbl>
    <w:p>
      <w:pPr>
        <w:spacing w:line="560" w:lineRule="exact"/>
        <w:rPr>
          <w:rFonts w:hint="eastAsia" w:ascii="仿宋" w:hAnsi="仿宋" w:eastAsia="仿宋" w:cs="仿宋_GB2312"/>
          <w:b/>
          <w:bCs/>
          <w:sz w:val="32"/>
          <w:szCs w:val="32"/>
        </w:rPr>
      </w:pPr>
      <w:bookmarkStart w:id="15" w:name="_Toc477163533"/>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rPr>
      </w:pPr>
    </w:p>
    <w:p>
      <w:pPr>
        <w:spacing w:line="560" w:lineRule="exact"/>
        <w:rPr>
          <w:rFonts w:ascii="仿宋" w:hAnsi="仿宋" w:eastAsia="仿宋" w:cs="仿宋_GB2312"/>
          <w:sz w:val="32"/>
          <w:szCs w:val="32"/>
        </w:rPr>
      </w:pPr>
      <w:r>
        <w:rPr>
          <w:rFonts w:hint="eastAsia" w:ascii="仿宋" w:hAnsi="仿宋" w:eastAsia="仿宋" w:cs="仿宋_GB2312"/>
          <w:b/>
          <w:bCs/>
          <w:sz w:val="32"/>
          <w:szCs w:val="32"/>
        </w:rPr>
        <w:t>六、政府采购预算情况</w:t>
      </w:r>
    </w:p>
    <w:p>
      <w:pPr>
        <w:spacing w:line="520" w:lineRule="exact"/>
        <w:ind w:firstLine="960" w:firstLineChars="300"/>
        <w:rPr>
          <w:rFonts w:ascii="仿宋" w:hAnsi="仿宋" w:eastAsia="仿宋"/>
          <w:sz w:val="32"/>
          <w:szCs w:val="32"/>
        </w:rPr>
      </w:pPr>
      <w:r>
        <w:rPr>
          <w:rFonts w:hint="eastAsia" w:ascii="仿宋" w:hAnsi="仿宋" w:eastAsia="仿宋"/>
          <w:sz w:val="32"/>
          <w:szCs w:val="32"/>
        </w:rPr>
        <w:t>2021年我单位未安排政府采购服务类预算项目，资金0万元。</w:t>
      </w:r>
    </w:p>
    <w:p>
      <w:pPr>
        <w:ind w:right="600"/>
        <w:jc w:val="right"/>
        <w:outlineLvl w:val="0"/>
        <w:rPr>
          <w:rFonts w:ascii="仿宋" w:hAnsi="仿宋" w:eastAsia="仿宋"/>
          <w:sz w:val="24"/>
          <w:szCs w:val="24"/>
        </w:rPr>
      </w:pPr>
      <w:r>
        <w:rPr>
          <w:rFonts w:hint="eastAsia" w:ascii="仿宋" w:hAnsi="仿宋" w:eastAsia="仿宋"/>
          <w:sz w:val="24"/>
          <w:szCs w:val="24"/>
        </w:rPr>
        <w:t>单位：万元</w:t>
      </w:r>
    </w:p>
    <w:tbl>
      <w:tblPr>
        <w:tblStyle w:val="8"/>
        <w:tblW w:w="129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726"/>
        <w:gridCol w:w="726"/>
        <w:gridCol w:w="809"/>
        <w:gridCol w:w="918"/>
        <w:gridCol w:w="918"/>
        <w:gridCol w:w="918"/>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Theme="minorEastAsia" w:hAnsiTheme="minorEastAsia"/>
                <w:b/>
                <w:szCs w:val="21"/>
              </w:rPr>
            </w:pPr>
            <w:r>
              <w:rPr>
                <w:rFonts w:hint="eastAsia" w:asciiTheme="minorEastAsia" w:hAnsiTheme="minorEastAsia"/>
                <w:b/>
                <w:szCs w:val="21"/>
              </w:rPr>
              <w:t>政府采购项目来源</w:t>
            </w:r>
          </w:p>
        </w:tc>
        <w:tc>
          <w:tcPr>
            <w:tcW w:w="92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采购物品名称</w:t>
            </w:r>
          </w:p>
        </w:tc>
        <w:tc>
          <w:tcPr>
            <w:tcW w:w="726"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数量</w:t>
            </w:r>
            <w:r>
              <w:rPr>
                <w:rFonts w:asciiTheme="minorEastAsia" w:hAnsiTheme="minorEastAsia"/>
                <w:b/>
                <w:szCs w:val="21"/>
              </w:rPr>
              <w:t xml:space="preserve">  </w:t>
            </w:r>
            <w:r>
              <w:rPr>
                <w:rFonts w:hint="eastAsia" w:asciiTheme="minorEastAsia" w:hAnsiTheme="minorEastAsia"/>
                <w:b/>
                <w:szCs w:val="21"/>
              </w:rPr>
              <w:t>单位</w:t>
            </w:r>
          </w:p>
        </w:tc>
        <w:tc>
          <w:tcPr>
            <w:tcW w:w="726"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数量</w:t>
            </w:r>
          </w:p>
        </w:tc>
        <w:tc>
          <w:tcPr>
            <w:tcW w:w="80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单价</w:t>
            </w:r>
          </w:p>
        </w:tc>
        <w:tc>
          <w:tcPr>
            <w:tcW w:w="6393" w:type="dxa"/>
            <w:gridSpan w:val="7"/>
            <w:vAlign w:val="center"/>
          </w:tcPr>
          <w:p>
            <w:pPr>
              <w:spacing w:line="300" w:lineRule="exact"/>
              <w:jc w:val="center"/>
              <w:rPr>
                <w:rFonts w:asciiTheme="minorEastAsia" w:hAnsiTheme="minorEastAsia"/>
                <w:b/>
                <w:szCs w:val="21"/>
              </w:rPr>
            </w:pPr>
            <w:r>
              <w:rPr>
                <w:rFonts w:hint="eastAsia" w:asciiTheme="minorEastAsia" w:hAnsiTheme="min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项目名称</w:t>
            </w:r>
          </w:p>
        </w:tc>
        <w:tc>
          <w:tcPr>
            <w:tcW w:w="1048"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预算资金</w:t>
            </w:r>
          </w:p>
        </w:tc>
        <w:tc>
          <w:tcPr>
            <w:tcW w:w="929"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809" w:type="dxa"/>
            <w:vMerge w:val="continue"/>
            <w:vAlign w:val="center"/>
          </w:tcPr>
          <w:p>
            <w:pPr>
              <w:spacing w:line="300" w:lineRule="exact"/>
              <w:jc w:val="left"/>
              <w:outlineLvl w:val="0"/>
              <w:rPr>
                <w:rFonts w:asciiTheme="minorEastAsia" w:hAnsiTheme="minorEastAsia"/>
                <w:szCs w:val="21"/>
              </w:rPr>
            </w:pPr>
          </w:p>
        </w:tc>
        <w:tc>
          <w:tcPr>
            <w:tcW w:w="918"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总计</w:t>
            </w:r>
          </w:p>
        </w:tc>
        <w:tc>
          <w:tcPr>
            <w:tcW w:w="4596" w:type="dxa"/>
            <w:gridSpan w:val="5"/>
            <w:vAlign w:val="center"/>
          </w:tcPr>
          <w:p>
            <w:pPr>
              <w:spacing w:line="300" w:lineRule="exact"/>
              <w:jc w:val="center"/>
              <w:rPr>
                <w:rFonts w:asciiTheme="minorEastAsia" w:hAnsiTheme="minorEastAsia"/>
                <w:b/>
                <w:szCs w:val="21"/>
              </w:rPr>
            </w:pPr>
            <w:r>
              <w:rPr>
                <w:rFonts w:hint="eastAsia" w:asciiTheme="minorEastAsia" w:hAnsiTheme="minorEastAsia"/>
                <w:b/>
                <w:szCs w:val="21"/>
              </w:rPr>
              <w:t>当年部门预算安排资金</w:t>
            </w:r>
          </w:p>
        </w:tc>
        <w:tc>
          <w:tcPr>
            <w:tcW w:w="87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Theme="minorEastAsia" w:hAnsiTheme="minorEastAsia"/>
                <w:szCs w:val="21"/>
              </w:rPr>
            </w:pPr>
          </w:p>
        </w:tc>
        <w:tc>
          <w:tcPr>
            <w:tcW w:w="1048" w:type="dxa"/>
            <w:vMerge w:val="continue"/>
            <w:vAlign w:val="center"/>
          </w:tcPr>
          <w:p>
            <w:pPr>
              <w:spacing w:line="300" w:lineRule="exact"/>
              <w:jc w:val="left"/>
              <w:outlineLvl w:val="0"/>
              <w:rPr>
                <w:rFonts w:asciiTheme="minorEastAsia" w:hAnsiTheme="minorEastAsia"/>
                <w:szCs w:val="21"/>
              </w:rPr>
            </w:pPr>
          </w:p>
        </w:tc>
        <w:tc>
          <w:tcPr>
            <w:tcW w:w="929"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809" w:type="dxa"/>
            <w:vMerge w:val="continue"/>
            <w:vAlign w:val="center"/>
          </w:tcPr>
          <w:p>
            <w:pPr>
              <w:spacing w:line="300" w:lineRule="exact"/>
              <w:jc w:val="left"/>
              <w:outlineLvl w:val="0"/>
              <w:rPr>
                <w:rFonts w:asciiTheme="minorEastAsia" w:hAnsiTheme="minorEastAsia"/>
                <w:szCs w:val="21"/>
              </w:rPr>
            </w:pPr>
          </w:p>
        </w:tc>
        <w:tc>
          <w:tcPr>
            <w:tcW w:w="918" w:type="dxa"/>
            <w:vMerge w:val="continue"/>
            <w:vAlign w:val="center"/>
          </w:tcPr>
          <w:p>
            <w:pPr>
              <w:spacing w:line="300" w:lineRule="exact"/>
              <w:jc w:val="left"/>
              <w:outlineLvl w:val="0"/>
              <w:rPr>
                <w:rFonts w:asciiTheme="minorEastAsia" w:hAnsiTheme="minorEastAsia"/>
                <w:szCs w:val="21"/>
              </w:rPr>
            </w:pP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合计</w:t>
            </w: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一般公共预算拨款</w:t>
            </w: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基金预算拨款</w:t>
            </w:r>
          </w:p>
        </w:tc>
        <w:tc>
          <w:tcPr>
            <w:tcW w:w="921"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财政专户核拨</w:t>
            </w:r>
          </w:p>
        </w:tc>
        <w:tc>
          <w:tcPr>
            <w:tcW w:w="921"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其他来源收入</w:t>
            </w:r>
          </w:p>
        </w:tc>
        <w:tc>
          <w:tcPr>
            <w:tcW w:w="879" w:type="dxa"/>
            <w:vMerge w:val="continue"/>
            <w:vAlign w:val="center"/>
          </w:tcPr>
          <w:p>
            <w:pPr>
              <w:spacing w:line="300" w:lineRule="exact"/>
              <w:jc w:val="left"/>
              <w:outlineLvl w:val="0"/>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合　计</w:t>
            </w:r>
          </w:p>
        </w:tc>
        <w:tc>
          <w:tcPr>
            <w:tcW w:w="1048" w:type="dxa"/>
            <w:vAlign w:val="center"/>
          </w:tcPr>
          <w:p>
            <w:pPr>
              <w:spacing w:line="300" w:lineRule="exact"/>
              <w:jc w:val="right"/>
              <w:rPr>
                <w:rFonts w:asciiTheme="minorEastAsia" w:hAnsiTheme="minorEastAsia"/>
                <w:b/>
                <w:szCs w:val="21"/>
              </w:rPr>
            </w:pPr>
          </w:p>
        </w:tc>
        <w:tc>
          <w:tcPr>
            <w:tcW w:w="929"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right"/>
              <w:rPr>
                <w:rFonts w:asciiTheme="minorEastAsia" w:hAnsiTheme="minorEastAsia"/>
                <w:b/>
                <w:szCs w:val="21"/>
              </w:rPr>
            </w:pPr>
          </w:p>
        </w:tc>
        <w:tc>
          <w:tcPr>
            <w:tcW w:w="809" w:type="dxa"/>
            <w:vAlign w:val="center"/>
          </w:tcPr>
          <w:p>
            <w:pPr>
              <w:spacing w:line="300" w:lineRule="exact"/>
              <w:jc w:val="right"/>
              <w:rPr>
                <w:rFonts w:asciiTheme="minorEastAsia" w:hAnsiTheme="minorEastAsia"/>
                <w:b/>
                <w:szCs w:val="21"/>
              </w:rPr>
            </w:pP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879" w:type="dxa"/>
            <w:vAlign w:val="center"/>
          </w:tcPr>
          <w:p>
            <w:pPr>
              <w:spacing w:line="300" w:lineRule="exact"/>
              <w:jc w:val="right"/>
              <w:rPr>
                <w:rFonts w:asciiTheme="minorEastAsia" w:hAnsiTheme="min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小计</w:t>
            </w:r>
          </w:p>
        </w:tc>
        <w:tc>
          <w:tcPr>
            <w:tcW w:w="1048" w:type="dxa"/>
            <w:vAlign w:val="center"/>
          </w:tcPr>
          <w:p>
            <w:pPr>
              <w:spacing w:line="300" w:lineRule="exact"/>
              <w:jc w:val="right"/>
              <w:rPr>
                <w:rFonts w:asciiTheme="minorEastAsia" w:hAnsiTheme="minorEastAsia"/>
                <w:b/>
                <w:szCs w:val="21"/>
              </w:rPr>
            </w:pPr>
          </w:p>
        </w:tc>
        <w:tc>
          <w:tcPr>
            <w:tcW w:w="929"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right"/>
              <w:rPr>
                <w:rFonts w:asciiTheme="minorEastAsia" w:hAnsiTheme="minorEastAsia"/>
                <w:b/>
                <w:szCs w:val="21"/>
              </w:rPr>
            </w:pPr>
          </w:p>
        </w:tc>
        <w:tc>
          <w:tcPr>
            <w:tcW w:w="809" w:type="dxa"/>
            <w:vAlign w:val="center"/>
          </w:tcPr>
          <w:p>
            <w:pPr>
              <w:spacing w:line="300" w:lineRule="exact"/>
              <w:jc w:val="right"/>
              <w:rPr>
                <w:rFonts w:asciiTheme="minorEastAsia" w:hAnsiTheme="minorEastAsia"/>
                <w:b/>
                <w:szCs w:val="21"/>
              </w:rPr>
            </w:pP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0</w:t>
            </w:r>
          </w:p>
        </w:tc>
        <w:tc>
          <w:tcPr>
            <w:tcW w:w="918"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879" w:type="dxa"/>
            <w:vAlign w:val="center"/>
          </w:tcPr>
          <w:p>
            <w:pPr>
              <w:spacing w:line="300" w:lineRule="exact"/>
              <w:jc w:val="right"/>
              <w:rPr>
                <w:rFonts w:asciiTheme="minorEastAsia" w:hAnsiTheme="minorEastAsia"/>
                <w:b/>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 w:hAnsi="仿宋" w:eastAsia="仿宋" w:cs="仿宋_GB2312"/>
          <w:sz w:val="32"/>
          <w:szCs w:val="32"/>
        </w:rPr>
      </w:pPr>
      <w:r>
        <w:rPr>
          <w:rFonts w:hint="eastAsia" w:ascii="仿宋" w:hAnsi="仿宋" w:eastAsia="仿宋" w:cs="仿宋_GB2312"/>
          <w:b/>
          <w:bCs/>
          <w:sz w:val="32"/>
          <w:szCs w:val="32"/>
        </w:rPr>
        <w:t>七、国有资产信息情况</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仿宋" w:hAnsi="仿宋" w:eastAsia="仿宋" w:cs="仿宋_GB2312"/>
          <w:sz w:val="32"/>
          <w:szCs w:val="32"/>
        </w:rPr>
      </w:pPr>
      <w:r>
        <w:rPr>
          <w:rFonts w:hint="eastAsia" w:ascii="仿宋" w:hAnsi="仿宋" w:eastAsia="仿宋" w:cs="仿宋_GB2312"/>
          <w:sz w:val="32"/>
          <w:szCs w:val="32"/>
        </w:rPr>
        <w:t>2021年末审批局固定资产总额531.4 万元，</w:t>
      </w:r>
      <w:r>
        <w:rPr>
          <w:rFonts w:hint="eastAsia" w:ascii="仿宋" w:hAnsi="仿宋" w:eastAsia="仿宋" w:cs="宋体"/>
          <w:sz w:val="32"/>
          <w:szCs w:val="32"/>
        </w:rPr>
        <w:t xml:space="preserve">主要包括房屋 0平方米价值 0 万元（办公用房系租用），车辆 1辆价值 12万元，及其他固定资产519.40万元。 </w:t>
      </w:r>
    </w:p>
    <w:p>
      <w:pPr>
        <w:ind w:firstLine="640"/>
        <w:jc w:val="right"/>
        <w:rPr>
          <w:rFonts w:ascii="仿宋" w:hAnsi="仿宋" w:eastAsia="仿宋" w:cs="仿宋_GB2312"/>
          <w:sz w:val="30"/>
          <w:szCs w:val="30"/>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129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jc w:val="center"/>
              <w:rPr>
                <w:rFonts w:ascii="仿宋" w:hAnsi="仿宋" w:eastAsia="仿宋" w:cs="仿宋_GB2312"/>
                <w:b/>
                <w:bCs/>
                <w:sz w:val="32"/>
                <w:szCs w:val="32"/>
              </w:rPr>
            </w:pPr>
            <w:r>
              <w:rPr>
                <w:rFonts w:hint="eastAsia" w:ascii="仿宋" w:hAnsi="仿宋" w:eastAsia="仿宋" w:cs="仿宋_GB2312"/>
                <w:b/>
                <w:bCs/>
                <w:sz w:val="32"/>
                <w:szCs w:val="32"/>
              </w:rPr>
              <w:t>项   目</w:t>
            </w:r>
          </w:p>
        </w:tc>
        <w:tc>
          <w:tcPr>
            <w:tcW w:w="1290" w:type="dxa"/>
          </w:tcPr>
          <w:p>
            <w:pPr>
              <w:jc w:val="center"/>
              <w:rPr>
                <w:rFonts w:ascii="仿宋" w:hAnsi="仿宋" w:eastAsia="仿宋" w:cs="仿宋_GB2312"/>
                <w:b/>
                <w:bCs/>
                <w:sz w:val="32"/>
                <w:szCs w:val="32"/>
              </w:rPr>
            </w:pPr>
            <w:r>
              <w:rPr>
                <w:rFonts w:hint="eastAsia" w:ascii="仿宋" w:hAnsi="仿宋" w:eastAsia="仿宋" w:cs="仿宋_GB2312"/>
                <w:b/>
                <w:bCs/>
                <w:sz w:val="32"/>
                <w:szCs w:val="32"/>
              </w:rPr>
              <w:t>数量</w:t>
            </w:r>
          </w:p>
        </w:tc>
        <w:tc>
          <w:tcPr>
            <w:tcW w:w="2791" w:type="dxa"/>
          </w:tcPr>
          <w:p>
            <w:pPr>
              <w:jc w:val="center"/>
              <w:rPr>
                <w:rFonts w:ascii="仿宋" w:hAnsi="仿宋" w:eastAsia="仿宋" w:cs="仿宋_GB2312"/>
                <w:b/>
                <w:bCs/>
                <w:sz w:val="32"/>
                <w:szCs w:val="32"/>
              </w:rPr>
            </w:pPr>
            <w:r>
              <w:rPr>
                <w:rFonts w:hint="eastAsia" w:ascii="仿宋" w:hAnsi="仿宋" w:eastAsia="仿宋"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b/>
                <w:bCs/>
                <w:sz w:val="32"/>
                <w:szCs w:val="32"/>
              </w:rPr>
            </w:pPr>
            <w:r>
              <w:rPr>
                <w:rFonts w:hint="eastAsia" w:ascii="仿宋" w:hAnsi="仿宋" w:eastAsia="仿宋" w:cs="仿宋_GB2312"/>
                <w:b/>
                <w:bCs/>
                <w:sz w:val="32"/>
                <w:szCs w:val="32"/>
              </w:rPr>
              <w:t>固定资产总额</w:t>
            </w:r>
          </w:p>
        </w:tc>
        <w:tc>
          <w:tcPr>
            <w:tcW w:w="1290" w:type="dxa"/>
          </w:tcPr>
          <w:p>
            <w:pPr>
              <w:jc w:val="center"/>
              <w:rPr>
                <w:rFonts w:ascii="仿宋" w:hAnsi="仿宋" w:eastAsia="仿宋" w:cs="仿宋_GB2312"/>
                <w:sz w:val="32"/>
                <w:szCs w:val="32"/>
              </w:rPr>
            </w:pPr>
          </w:p>
        </w:tc>
        <w:tc>
          <w:tcPr>
            <w:tcW w:w="2791" w:type="dxa"/>
          </w:tcPr>
          <w:p>
            <w:pPr>
              <w:jc w:val="center"/>
              <w:rPr>
                <w:rFonts w:ascii="仿宋" w:hAnsi="仿宋" w:eastAsia="仿宋" w:cs="仿宋_GB2312"/>
                <w:sz w:val="32"/>
                <w:szCs w:val="32"/>
              </w:rPr>
            </w:pPr>
            <w:r>
              <w:rPr>
                <w:rFonts w:hint="eastAsia" w:ascii="仿宋" w:hAnsi="仿宋" w:eastAsia="仿宋" w:cs="仿宋_GB2312"/>
                <w:sz w:val="32"/>
                <w:szCs w:val="32"/>
              </w:rPr>
              <w:t>531.40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sz w:val="32"/>
                <w:szCs w:val="32"/>
              </w:rPr>
            </w:pPr>
            <w:r>
              <w:rPr>
                <w:rFonts w:hint="eastAsia" w:ascii="仿宋" w:hAnsi="仿宋" w:eastAsia="仿宋" w:cs="仿宋_GB2312"/>
                <w:sz w:val="32"/>
                <w:szCs w:val="32"/>
              </w:rPr>
              <w:t>1、房屋(平方米）</w:t>
            </w:r>
          </w:p>
        </w:tc>
        <w:tc>
          <w:tcPr>
            <w:tcW w:w="1290" w:type="dxa"/>
          </w:tcPr>
          <w:p>
            <w:pPr>
              <w:jc w:val="center"/>
              <w:rPr>
                <w:rFonts w:ascii="仿宋" w:hAnsi="仿宋" w:eastAsia="仿宋" w:cs="仿宋_GB2312"/>
                <w:sz w:val="32"/>
                <w:szCs w:val="32"/>
              </w:rPr>
            </w:pPr>
          </w:p>
        </w:tc>
        <w:tc>
          <w:tcPr>
            <w:tcW w:w="2791" w:type="dxa"/>
          </w:tcPr>
          <w:p>
            <w:pPr>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sz w:val="32"/>
                <w:szCs w:val="32"/>
              </w:rPr>
            </w:pPr>
            <w:r>
              <w:rPr>
                <w:rFonts w:hint="eastAsia" w:ascii="仿宋" w:hAnsi="仿宋" w:eastAsia="仿宋" w:cs="仿宋_GB2312"/>
                <w:sz w:val="32"/>
                <w:szCs w:val="32"/>
              </w:rPr>
              <w:t>其中：办公用房(平方米）</w:t>
            </w:r>
          </w:p>
        </w:tc>
        <w:tc>
          <w:tcPr>
            <w:tcW w:w="1290" w:type="dxa"/>
          </w:tcPr>
          <w:p>
            <w:pPr>
              <w:jc w:val="center"/>
              <w:rPr>
                <w:rFonts w:ascii="仿宋" w:hAnsi="仿宋" w:eastAsia="仿宋" w:cs="仿宋_GB2312"/>
                <w:sz w:val="32"/>
                <w:szCs w:val="32"/>
              </w:rPr>
            </w:pPr>
          </w:p>
        </w:tc>
        <w:tc>
          <w:tcPr>
            <w:tcW w:w="2791" w:type="dxa"/>
          </w:tcPr>
          <w:p>
            <w:pPr>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sz w:val="32"/>
                <w:szCs w:val="32"/>
              </w:rPr>
            </w:pPr>
            <w:r>
              <w:rPr>
                <w:rFonts w:hint="eastAsia" w:ascii="仿宋" w:hAnsi="仿宋" w:eastAsia="仿宋" w:cs="仿宋_GB2312"/>
                <w:sz w:val="32"/>
                <w:szCs w:val="32"/>
              </w:rPr>
              <w:t>2、车辆（台、辆）</w:t>
            </w:r>
          </w:p>
        </w:tc>
        <w:tc>
          <w:tcPr>
            <w:tcW w:w="1290" w:type="dxa"/>
          </w:tcPr>
          <w:p>
            <w:pPr>
              <w:jc w:val="center"/>
              <w:rPr>
                <w:rFonts w:ascii="仿宋" w:hAnsi="仿宋" w:eastAsia="仿宋" w:cs="仿宋_GB2312"/>
                <w:sz w:val="32"/>
                <w:szCs w:val="32"/>
              </w:rPr>
            </w:pPr>
            <w:r>
              <w:rPr>
                <w:rFonts w:hint="eastAsia" w:ascii="仿宋" w:hAnsi="仿宋" w:eastAsia="仿宋" w:cs="仿宋_GB2312"/>
                <w:sz w:val="32"/>
                <w:szCs w:val="32"/>
              </w:rPr>
              <w:t>1</w:t>
            </w:r>
          </w:p>
        </w:tc>
        <w:tc>
          <w:tcPr>
            <w:tcW w:w="2791" w:type="dxa"/>
          </w:tcPr>
          <w:p>
            <w:pPr>
              <w:jc w:val="center"/>
              <w:rPr>
                <w:rFonts w:ascii="仿宋" w:hAnsi="仿宋" w:eastAsia="仿宋" w:cs="仿宋_GB2312"/>
                <w:sz w:val="32"/>
                <w:szCs w:val="32"/>
              </w:rPr>
            </w:pPr>
            <w:r>
              <w:rPr>
                <w:rFonts w:hint="eastAsia" w:ascii="仿宋" w:hAnsi="仿宋" w:eastAsia="仿宋" w:cs="仿宋_GB2312"/>
                <w:sz w:val="32"/>
                <w:szCs w:val="32"/>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sz w:val="32"/>
                <w:szCs w:val="32"/>
              </w:rPr>
            </w:pPr>
            <w:r>
              <w:rPr>
                <w:rFonts w:hint="eastAsia" w:ascii="仿宋" w:hAnsi="仿宋" w:eastAsia="仿宋" w:cs="仿宋_GB2312"/>
                <w:sz w:val="32"/>
                <w:szCs w:val="32"/>
              </w:rPr>
              <w:t>3、单价在20万元以上的设备</w:t>
            </w:r>
          </w:p>
        </w:tc>
        <w:tc>
          <w:tcPr>
            <w:tcW w:w="1290" w:type="dxa"/>
          </w:tcPr>
          <w:p>
            <w:pPr>
              <w:jc w:val="center"/>
              <w:rPr>
                <w:rFonts w:ascii="仿宋" w:hAnsi="仿宋" w:eastAsia="仿宋" w:cs="仿宋_GB2312"/>
                <w:sz w:val="32"/>
                <w:szCs w:val="32"/>
              </w:rPr>
            </w:pPr>
          </w:p>
        </w:tc>
        <w:tc>
          <w:tcPr>
            <w:tcW w:w="2791" w:type="dxa"/>
          </w:tcPr>
          <w:p>
            <w:pPr>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1" w:type="dxa"/>
          </w:tcPr>
          <w:p>
            <w:pPr>
              <w:rPr>
                <w:rFonts w:ascii="仿宋" w:hAnsi="仿宋" w:eastAsia="仿宋" w:cs="仿宋_GB2312"/>
                <w:sz w:val="32"/>
                <w:szCs w:val="32"/>
              </w:rPr>
            </w:pPr>
            <w:r>
              <w:rPr>
                <w:rFonts w:hint="eastAsia" w:ascii="仿宋" w:hAnsi="仿宋" w:eastAsia="仿宋" w:cs="仿宋_GB2312"/>
                <w:sz w:val="32"/>
                <w:szCs w:val="32"/>
              </w:rPr>
              <w:t>4、其他固定资产</w:t>
            </w:r>
          </w:p>
        </w:tc>
        <w:tc>
          <w:tcPr>
            <w:tcW w:w="1290" w:type="dxa"/>
          </w:tcPr>
          <w:p>
            <w:pPr>
              <w:jc w:val="center"/>
              <w:rPr>
                <w:rFonts w:ascii="仿宋" w:hAnsi="仿宋" w:eastAsia="仿宋" w:cs="仿宋_GB2312"/>
                <w:sz w:val="32"/>
                <w:szCs w:val="32"/>
              </w:rPr>
            </w:pPr>
          </w:p>
        </w:tc>
        <w:tc>
          <w:tcPr>
            <w:tcW w:w="2791" w:type="dxa"/>
          </w:tcPr>
          <w:p>
            <w:pPr>
              <w:jc w:val="center"/>
              <w:rPr>
                <w:rFonts w:ascii="仿宋" w:hAnsi="仿宋" w:eastAsia="仿宋" w:cs="仿宋_GB2312"/>
                <w:sz w:val="32"/>
                <w:szCs w:val="32"/>
              </w:rPr>
            </w:pPr>
            <w:r>
              <w:rPr>
                <w:rFonts w:hint="eastAsia" w:ascii="仿宋" w:hAnsi="仿宋" w:eastAsia="仿宋" w:cs="仿宋_GB2312"/>
                <w:sz w:val="32"/>
                <w:szCs w:val="32"/>
              </w:rPr>
              <w:t>519.4</w:t>
            </w:r>
          </w:p>
        </w:tc>
      </w:tr>
    </w:tbl>
    <w:p>
      <w:pPr>
        <w:keepNext w:val="0"/>
        <w:keepLines w:val="0"/>
        <w:pageBreakBefore w:val="0"/>
        <w:kinsoku/>
        <w:wordWrap/>
        <w:overflowPunct/>
        <w:topLinePunct w:val="0"/>
        <w:autoSpaceDE/>
        <w:autoSpaceDN/>
        <w:bidi w:val="0"/>
        <w:adjustRightInd/>
        <w:snapToGrid/>
        <w:spacing w:line="560" w:lineRule="exact"/>
        <w:ind w:firstLine="640"/>
        <w:jc w:val="right"/>
        <w:textAlignment w:val="auto"/>
        <w:rPr>
          <w:rFonts w:ascii="仿宋" w:hAnsi="仿宋" w:eastAsia="仿宋" w:cs="仿宋_GB2312"/>
          <w:sz w:val="30"/>
          <w:szCs w:val="30"/>
        </w:rPr>
      </w:pPr>
      <w:r>
        <w:rPr>
          <w:rFonts w:hint="eastAsia" w:ascii="仿宋" w:hAnsi="仿宋" w:eastAsia="仿宋" w:cs="仿宋_GB2312"/>
          <w:sz w:val="32"/>
          <w:szCs w:val="32"/>
        </w:rPr>
        <w:t>截止时间：2020年12月31日</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7"/>
        <w:keepNext w:val="0"/>
        <w:keepLines w:val="0"/>
        <w:pageBreakBefore w:val="0"/>
        <w:kinsoku/>
        <w:wordWrap/>
        <w:overflowPunct/>
        <w:topLinePunct w:val="0"/>
        <w:autoSpaceDE/>
        <w:autoSpaceDN/>
        <w:bidi w:val="0"/>
        <w:adjustRightInd/>
        <w:snapToGrid/>
        <w:spacing w:line="560" w:lineRule="exact"/>
        <w:ind w:firstLine="578" w:firstLineChars="180"/>
        <w:textAlignment w:val="auto"/>
        <w:rPr>
          <w:rFonts w:ascii="仿宋" w:hAnsi="仿宋" w:eastAsia="仿宋" w:cs="仿宋_GB2312"/>
          <w:sz w:val="32"/>
          <w:szCs w:val="32"/>
        </w:rPr>
      </w:pPr>
      <w:r>
        <w:rPr>
          <w:rStyle w:val="11"/>
          <w:rFonts w:ascii="仿宋" w:hAnsi="仿宋" w:eastAsia="仿宋" w:cs="仿宋_GB2312"/>
          <w:sz w:val="32"/>
          <w:szCs w:val="32"/>
          <w:shd w:val="clear" w:color="auto" w:fill="FFFFFF"/>
        </w:rPr>
        <w:t>2</w:t>
      </w:r>
      <w:r>
        <w:rPr>
          <w:rStyle w:val="11"/>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7"/>
        <w:keepNext w:val="0"/>
        <w:keepLines w:val="0"/>
        <w:pageBreakBefore w:val="0"/>
        <w:kinsoku/>
        <w:wordWrap/>
        <w:overflowPunct/>
        <w:topLinePunct w:val="0"/>
        <w:autoSpaceDE/>
        <w:autoSpaceDN/>
        <w:bidi w:val="0"/>
        <w:adjustRightInd/>
        <w:snapToGrid/>
        <w:spacing w:line="560" w:lineRule="exact"/>
        <w:ind w:firstLine="578" w:firstLineChars="180"/>
        <w:textAlignment w:val="auto"/>
        <w:rPr>
          <w:rFonts w:ascii="仿宋" w:hAnsi="仿宋" w:eastAsia="仿宋"/>
          <w:sz w:val="32"/>
          <w:szCs w:val="32"/>
        </w:rPr>
      </w:pPr>
      <w:r>
        <w:rPr>
          <w:rStyle w:val="11"/>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7"/>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ascii="仿宋" w:hAnsi="仿宋" w:eastAsia="仿宋"/>
          <w:b/>
          <w:bCs/>
          <w:sz w:val="32"/>
          <w:szCs w:val="32"/>
        </w:rPr>
        <w:t>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7"/>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黑体"/>
          <w:b/>
          <w:sz w:val="32"/>
          <w:szCs w:val="32"/>
        </w:rPr>
      </w:pPr>
      <w:r>
        <w:rPr>
          <w:rFonts w:hint="eastAsia" w:ascii="黑体" w:hAnsi="黑体" w:eastAsia="黑体" w:cs="黑体"/>
          <w:b w:val="0"/>
          <w:bCs/>
          <w:sz w:val="32"/>
          <w:szCs w:val="32"/>
        </w:rPr>
        <w:t>九、其他需要说明的事项</w:t>
      </w:r>
    </w:p>
    <w:p>
      <w:pPr>
        <w:ind w:firstLine="640" w:firstLineChars="200"/>
        <w:rPr>
          <w:rFonts w:ascii="仿宋" w:hAnsi="仿宋" w:eastAsia="仿宋"/>
          <w:sz w:val="30"/>
          <w:szCs w:val="30"/>
        </w:rPr>
      </w:pPr>
      <w:r>
        <w:rPr>
          <w:rFonts w:hint="eastAsia" w:ascii="仿宋" w:hAnsi="仿宋" w:eastAsia="仿宋" w:cs="仿宋"/>
          <w:sz w:val="32"/>
          <w:szCs w:val="32"/>
        </w:rPr>
        <w:t>我部门无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bookmarkEnd w:id="15"/>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9</w:t>
    </w:r>
    <w:r>
      <w:rPr>
        <w:rStyle w:val="1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rPr>
    </w:pPr>
    <w:r>
      <w:fldChar w:fldCharType="begin"/>
    </w:r>
    <w:r>
      <w:rPr>
        <w:rStyle w:val="12"/>
      </w:rPr>
      <w:instrText xml:space="preserve">PAGE  </w:instrText>
    </w:r>
    <w:r>
      <w:fldChar w:fldCharType="separate"/>
    </w:r>
    <w:r>
      <w:rPr>
        <w:rStyle w:val="12"/>
      </w:rPr>
      <w:t>23</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25697A18"/>
    <w:multiLevelType w:val="singleLevel"/>
    <w:tmpl w:val="25697A1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2JiOTE1YjM2YzFhYjhmMjZhZWViODY3NTczYjYifQ=="/>
  </w:docVars>
  <w:rsids>
    <w:rsidRoot w:val="00366D5E"/>
    <w:rsid w:val="00002798"/>
    <w:rsid w:val="00010A4D"/>
    <w:rsid w:val="00012C53"/>
    <w:rsid w:val="00025BB0"/>
    <w:rsid w:val="000543DC"/>
    <w:rsid w:val="00076AAF"/>
    <w:rsid w:val="00092D27"/>
    <w:rsid w:val="000A45FE"/>
    <w:rsid w:val="000B4BD6"/>
    <w:rsid w:val="000B6AD6"/>
    <w:rsid w:val="000F1172"/>
    <w:rsid w:val="000F308D"/>
    <w:rsid w:val="001038CB"/>
    <w:rsid w:val="001352C6"/>
    <w:rsid w:val="00141648"/>
    <w:rsid w:val="001438F1"/>
    <w:rsid w:val="001475BB"/>
    <w:rsid w:val="0016652D"/>
    <w:rsid w:val="001673E1"/>
    <w:rsid w:val="00187AB3"/>
    <w:rsid w:val="001B31B8"/>
    <w:rsid w:val="001C2FC6"/>
    <w:rsid w:val="001D555D"/>
    <w:rsid w:val="001E3E1E"/>
    <w:rsid w:val="001E455D"/>
    <w:rsid w:val="001F5C05"/>
    <w:rsid w:val="00221D80"/>
    <w:rsid w:val="00285E2B"/>
    <w:rsid w:val="0029094C"/>
    <w:rsid w:val="002A48C3"/>
    <w:rsid w:val="002C06A7"/>
    <w:rsid w:val="002C7542"/>
    <w:rsid w:val="002E0E7A"/>
    <w:rsid w:val="002E4B3E"/>
    <w:rsid w:val="002E4D07"/>
    <w:rsid w:val="002F0BF1"/>
    <w:rsid w:val="002F572A"/>
    <w:rsid w:val="00307095"/>
    <w:rsid w:val="00321732"/>
    <w:rsid w:val="00334E57"/>
    <w:rsid w:val="003402BE"/>
    <w:rsid w:val="003561E6"/>
    <w:rsid w:val="00366D5E"/>
    <w:rsid w:val="003A1292"/>
    <w:rsid w:val="003D362B"/>
    <w:rsid w:val="003D5BC3"/>
    <w:rsid w:val="003E6B25"/>
    <w:rsid w:val="003E7D88"/>
    <w:rsid w:val="00437583"/>
    <w:rsid w:val="00446035"/>
    <w:rsid w:val="00476ABB"/>
    <w:rsid w:val="00484B61"/>
    <w:rsid w:val="004B60A6"/>
    <w:rsid w:val="004C1D40"/>
    <w:rsid w:val="004F5917"/>
    <w:rsid w:val="00503961"/>
    <w:rsid w:val="0051504D"/>
    <w:rsid w:val="00523167"/>
    <w:rsid w:val="00532D0A"/>
    <w:rsid w:val="00541A6C"/>
    <w:rsid w:val="00544006"/>
    <w:rsid w:val="00556E10"/>
    <w:rsid w:val="0056236E"/>
    <w:rsid w:val="00593A0A"/>
    <w:rsid w:val="00594DF0"/>
    <w:rsid w:val="005C1DA7"/>
    <w:rsid w:val="005C31EE"/>
    <w:rsid w:val="005E49FC"/>
    <w:rsid w:val="005E5FFD"/>
    <w:rsid w:val="005F3FC8"/>
    <w:rsid w:val="00600473"/>
    <w:rsid w:val="00642528"/>
    <w:rsid w:val="0067618A"/>
    <w:rsid w:val="00683401"/>
    <w:rsid w:val="00684817"/>
    <w:rsid w:val="0068623A"/>
    <w:rsid w:val="006869DD"/>
    <w:rsid w:val="0069023E"/>
    <w:rsid w:val="006B3CC6"/>
    <w:rsid w:val="006D3C67"/>
    <w:rsid w:val="00703609"/>
    <w:rsid w:val="00734B1E"/>
    <w:rsid w:val="00744A1C"/>
    <w:rsid w:val="00754CA6"/>
    <w:rsid w:val="00781117"/>
    <w:rsid w:val="007A1F3C"/>
    <w:rsid w:val="007A76F7"/>
    <w:rsid w:val="007A794C"/>
    <w:rsid w:val="007C1C24"/>
    <w:rsid w:val="007D7245"/>
    <w:rsid w:val="008111BE"/>
    <w:rsid w:val="00821BFF"/>
    <w:rsid w:val="00824045"/>
    <w:rsid w:val="008469D1"/>
    <w:rsid w:val="008543C3"/>
    <w:rsid w:val="00867006"/>
    <w:rsid w:val="008722F4"/>
    <w:rsid w:val="008B0E18"/>
    <w:rsid w:val="008C4365"/>
    <w:rsid w:val="008F47DB"/>
    <w:rsid w:val="00902969"/>
    <w:rsid w:val="00912AD2"/>
    <w:rsid w:val="00923EB7"/>
    <w:rsid w:val="0092549B"/>
    <w:rsid w:val="00935EFE"/>
    <w:rsid w:val="0099654E"/>
    <w:rsid w:val="009A0115"/>
    <w:rsid w:val="009F27B8"/>
    <w:rsid w:val="00A45D1E"/>
    <w:rsid w:val="00A45D61"/>
    <w:rsid w:val="00A56E12"/>
    <w:rsid w:val="00A7133C"/>
    <w:rsid w:val="00A81F9D"/>
    <w:rsid w:val="00A91798"/>
    <w:rsid w:val="00A92B3C"/>
    <w:rsid w:val="00AC4142"/>
    <w:rsid w:val="00B069CA"/>
    <w:rsid w:val="00B1374A"/>
    <w:rsid w:val="00B9115A"/>
    <w:rsid w:val="00C03D4E"/>
    <w:rsid w:val="00C56020"/>
    <w:rsid w:val="00C6098F"/>
    <w:rsid w:val="00CE5C77"/>
    <w:rsid w:val="00D22DC4"/>
    <w:rsid w:val="00D23113"/>
    <w:rsid w:val="00D64DCA"/>
    <w:rsid w:val="00D72FA7"/>
    <w:rsid w:val="00D85E59"/>
    <w:rsid w:val="00D879E4"/>
    <w:rsid w:val="00DB3E45"/>
    <w:rsid w:val="00DC4E6F"/>
    <w:rsid w:val="00DE6C02"/>
    <w:rsid w:val="00DE7134"/>
    <w:rsid w:val="00E11C27"/>
    <w:rsid w:val="00E24A37"/>
    <w:rsid w:val="00E34AFD"/>
    <w:rsid w:val="00E369C1"/>
    <w:rsid w:val="00E45E6D"/>
    <w:rsid w:val="00E64B8D"/>
    <w:rsid w:val="00E653DB"/>
    <w:rsid w:val="00EA6D67"/>
    <w:rsid w:val="00ED3FF1"/>
    <w:rsid w:val="00EE0F93"/>
    <w:rsid w:val="00F04EF9"/>
    <w:rsid w:val="00F05B01"/>
    <w:rsid w:val="00F15987"/>
    <w:rsid w:val="00F2071F"/>
    <w:rsid w:val="00F20F4A"/>
    <w:rsid w:val="00F223BA"/>
    <w:rsid w:val="00F51F34"/>
    <w:rsid w:val="00F72430"/>
    <w:rsid w:val="00F72AF5"/>
    <w:rsid w:val="00F84421"/>
    <w:rsid w:val="00F973ED"/>
    <w:rsid w:val="00FB587A"/>
    <w:rsid w:val="00FC26AD"/>
    <w:rsid w:val="00FD73B5"/>
    <w:rsid w:val="00FE0070"/>
    <w:rsid w:val="0119349C"/>
    <w:rsid w:val="01731F59"/>
    <w:rsid w:val="01D74BA7"/>
    <w:rsid w:val="0259220A"/>
    <w:rsid w:val="029C0D5B"/>
    <w:rsid w:val="029D4B0D"/>
    <w:rsid w:val="04E0078F"/>
    <w:rsid w:val="06584A58"/>
    <w:rsid w:val="07247A18"/>
    <w:rsid w:val="09370A82"/>
    <w:rsid w:val="0943339B"/>
    <w:rsid w:val="0AE424E2"/>
    <w:rsid w:val="0C1E29DC"/>
    <w:rsid w:val="0C911BC1"/>
    <w:rsid w:val="0CC82E21"/>
    <w:rsid w:val="0ECA6CD3"/>
    <w:rsid w:val="10070535"/>
    <w:rsid w:val="114803C6"/>
    <w:rsid w:val="118A758D"/>
    <w:rsid w:val="121E18FB"/>
    <w:rsid w:val="13904C94"/>
    <w:rsid w:val="16044220"/>
    <w:rsid w:val="16177A92"/>
    <w:rsid w:val="165420AC"/>
    <w:rsid w:val="168B097A"/>
    <w:rsid w:val="17B61CF8"/>
    <w:rsid w:val="19C0202E"/>
    <w:rsid w:val="1A5C001D"/>
    <w:rsid w:val="1AA11227"/>
    <w:rsid w:val="1B2F424B"/>
    <w:rsid w:val="1B4B53D7"/>
    <w:rsid w:val="1BC04297"/>
    <w:rsid w:val="1DAF21CC"/>
    <w:rsid w:val="1DC778D7"/>
    <w:rsid w:val="248A4D55"/>
    <w:rsid w:val="25E41E15"/>
    <w:rsid w:val="2628734F"/>
    <w:rsid w:val="291361EF"/>
    <w:rsid w:val="29B001E8"/>
    <w:rsid w:val="2A84020D"/>
    <w:rsid w:val="2B9E7B75"/>
    <w:rsid w:val="2C7C6E0C"/>
    <w:rsid w:val="2CC14DD1"/>
    <w:rsid w:val="2D3A5336"/>
    <w:rsid w:val="2D4E74CD"/>
    <w:rsid w:val="2EB519C9"/>
    <w:rsid w:val="2EE64D96"/>
    <w:rsid w:val="2F2E141D"/>
    <w:rsid w:val="30433476"/>
    <w:rsid w:val="311A096D"/>
    <w:rsid w:val="32010995"/>
    <w:rsid w:val="32F26A5B"/>
    <w:rsid w:val="33D024D3"/>
    <w:rsid w:val="34521CE7"/>
    <w:rsid w:val="35CA7AC4"/>
    <w:rsid w:val="38435BC0"/>
    <w:rsid w:val="3A652367"/>
    <w:rsid w:val="3B9B1822"/>
    <w:rsid w:val="3C293CF5"/>
    <w:rsid w:val="3D064D55"/>
    <w:rsid w:val="3D5A38F6"/>
    <w:rsid w:val="3F0D07A1"/>
    <w:rsid w:val="44401FB8"/>
    <w:rsid w:val="45A45754"/>
    <w:rsid w:val="45FD33AC"/>
    <w:rsid w:val="469701AF"/>
    <w:rsid w:val="471B69F0"/>
    <w:rsid w:val="474F0154"/>
    <w:rsid w:val="4808375B"/>
    <w:rsid w:val="49DB735A"/>
    <w:rsid w:val="4A4F6CC5"/>
    <w:rsid w:val="4BE52B98"/>
    <w:rsid w:val="4C264065"/>
    <w:rsid w:val="4C736A6F"/>
    <w:rsid w:val="4F072B79"/>
    <w:rsid w:val="4F203949"/>
    <w:rsid w:val="4F521E7D"/>
    <w:rsid w:val="4F6E6EDC"/>
    <w:rsid w:val="4FA40A3B"/>
    <w:rsid w:val="50517078"/>
    <w:rsid w:val="5067719A"/>
    <w:rsid w:val="50C2343D"/>
    <w:rsid w:val="50D86F3E"/>
    <w:rsid w:val="517153C6"/>
    <w:rsid w:val="52B22AD0"/>
    <w:rsid w:val="53237492"/>
    <w:rsid w:val="54D9570B"/>
    <w:rsid w:val="560027C3"/>
    <w:rsid w:val="564C6B77"/>
    <w:rsid w:val="56950AF6"/>
    <w:rsid w:val="57277744"/>
    <w:rsid w:val="59301AF9"/>
    <w:rsid w:val="5A7C66EF"/>
    <w:rsid w:val="5EBF66CB"/>
    <w:rsid w:val="61CD1627"/>
    <w:rsid w:val="62042C18"/>
    <w:rsid w:val="66EE5684"/>
    <w:rsid w:val="69B76435"/>
    <w:rsid w:val="69C87783"/>
    <w:rsid w:val="69F7211C"/>
    <w:rsid w:val="6A695F29"/>
    <w:rsid w:val="6C820BDC"/>
    <w:rsid w:val="6DEC46F3"/>
    <w:rsid w:val="6F881BC6"/>
    <w:rsid w:val="6FF82B1C"/>
    <w:rsid w:val="704A519F"/>
    <w:rsid w:val="708D1BB3"/>
    <w:rsid w:val="727462F3"/>
    <w:rsid w:val="72BF4A28"/>
    <w:rsid w:val="730374DF"/>
    <w:rsid w:val="74D11B0F"/>
    <w:rsid w:val="75BB36AC"/>
    <w:rsid w:val="75D42C6C"/>
    <w:rsid w:val="75D5506B"/>
    <w:rsid w:val="75E17A28"/>
    <w:rsid w:val="76094BCD"/>
    <w:rsid w:val="77C15345"/>
    <w:rsid w:val="7AFE5FC7"/>
    <w:rsid w:val="7C5B5CF4"/>
    <w:rsid w:val="7CD74E5A"/>
    <w:rsid w:val="7D4C758F"/>
    <w:rsid w:val="7E443A42"/>
    <w:rsid w:val="7F1B45D8"/>
    <w:rsid w:val="7FFE3F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rPr>
      <w:rFonts w:ascii="Calibri" w:hAnsi="Calibri" w:eastAsia="宋体" w:cs="Times New Roman"/>
    </w:rPr>
  </w:style>
  <w:style w:type="paragraph" w:styleId="5">
    <w:name w:val="toc 4"/>
    <w:basedOn w:val="1"/>
    <w:next w:val="1"/>
    <w:unhideWhenUsed/>
    <w:qFormat/>
    <w:uiPriority w:val="39"/>
    <w:pPr>
      <w:ind w:left="1260" w:leftChars="600"/>
    </w:pPr>
    <w:rPr>
      <w:rFonts w:ascii="Calibri" w:hAnsi="Calibri" w:eastAsia="宋体" w:cs="Times New Roman"/>
    </w:rPr>
  </w:style>
  <w:style w:type="paragraph" w:styleId="6">
    <w:name w:val="toc 2"/>
    <w:basedOn w:val="1"/>
    <w:next w:val="1"/>
    <w:unhideWhenUsed/>
    <w:qFormat/>
    <w:uiPriority w:val="39"/>
    <w:pPr>
      <w:ind w:left="420" w:leftChars="200"/>
    </w:pPr>
    <w:rPr>
      <w:rFonts w:ascii="Calibri" w:hAnsi="Calibri" w:eastAsia="宋体" w:cs="Times New Roman"/>
    </w:rPr>
  </w:style>
  <w:style w:type="paragraph" w:styleId="7">
    <w:name w:val="Normal (Web)"/>
    <w:basedOn w:val="1"/>
    <w:unhideWhenUsed/>
    <w:qFormat/>
    <w:uiPriority w:val="0"/>
    <w:pPr>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unhideWhenUsed/>
    <w:qFormat/>
    <w:uiPriority w:val="99"/>
  </w:style>
  <w:style w:type="character" w:styleId="13">
    <w:name w:val="Hyperlink"/>
    <w:basedOn w:val="10"/>
    <w:unhideWhenUsed/>
    <w:qFormat/>
    <w:uiPriority w:val="99"/>
    <w:rPr>
      <w:color w:val="0000FF"/>
      <w:u w:val="single"/>
    </w:rPr>
  </w:style>
  <w:style w:type="paragraph" w:customStyle="1" w:styleId="14">
    <w:name w:val="列出段落1"/>
    <w:basedOn w:val="1"/>
    <w:qFormat/>
    <w:uiPriority w:val="34"/>
    <w:pPr>
      <w:ind w:firstLine="420" w:firstLineChars="200"/>
    </w:pPr>
  </w:style>
  <w:style w:type="character" w:customStyle="1" w:styleId="15">
    <w:name w:val="页眉 Char"/>
    <w:basedOn w:val="10"/>
    <w:link w:val="3"/>
    <w:semiHidden/>
    <w:qFormat/>
    <w:uiPriority w:val="99"/>
    <w:rPr>
      <w:rFonts w:asciiTheme="minorHAnsi" w:hAnsiTheme="minorHAnsi" w:eastAsiaTheme="minorEastAsia" w:cstheme="minorBidi"/>
      <w:kern w:val="2"/>
      <w:sz w:val="18"/>
      <w:szCs w:val="18"/>
    </w:rPr>
  </w:style>
  <w:style w:type="character" w:customStyle="1" w:styleId="16">
    <w:name w:val="页脚 Char"/>
    <w:basedOn w:val="10"/>
    <w:link w:val="2"/>
    <w:qFormat/>
    <w:uiPriority w:val="99"/>
    <w:rPr>
      <w:rFonts w:asciiTheme="minorHAnsi" w:hAnsiTheme="minorHAnsi" w:eastAsiaTheme="minorEastAsia" w:cstheme="minorBidi"/>
      <w:kern w:val="2"/>
      <w:sz w:val="18"/>
      <w:szCs w:val="18"/>
    </w:rPr>
  </w:style>
  <w:style w:type="paragraph" w:customStyle="1" w:styleId="17">
    <w:name w:val="List Paragraph"/>
    <w:basedOn w:val="1"/>
    <w:unhideWhenUsed/>
    <w:qFormat/>
    <w:uiPriority w:val="99"/>
    <w:pPr>
      <w:ind w:firstLine="420" w:firstLineChars="200"/>
    </w:pPr>
  </w:style>
  <w:style w:type="paragraph" w:customStyle="1" w:styleId="18">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55</Pages>
  <Words>14245</Words>
  <Characters>16502</Characters>
  <Lines>102</Lines>
  <Paragraphs>28</Paragraphs>
  <TotalTime>14</TotalTime>
  <ScaleCrop>false</ScaleCrop>
  <LinksUpToDate>false</LinksUpToDate>
  <CharactersWithSpaces>17267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2021-03-01T07:31:00Z</dcterms:created>
  <dc:creator>Lenovo User</dc:creator>
  <cp:lastModifiedBy>小红人</cp:lastModifiedBy>
  <cp:lastPrinted>2017-03-27T06:55:00Z</cp:lastPrinted>
  <dcterms:modified xsi:type="dcterms:W3CDTF">2023-11-10T07:32:34Z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50F6C1AE11BC41349277836CF6B6A54B</vt:lpwstr>
  </property>
</Properties>
</file>