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中共涞水县委机构编制委员会办公室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7"/>
        <w:tabs>
          <w:tab w:val="right" w:leader="dot" w:pos="14800"/>
        </w:tabs>
      </w:pPr>
      <w:r>
        <w:fldChar w:fldCharType="begin"/>
      </w:r>
      <w:r>
        <w:instrText xml:space="preserve">TOC \o "2-2" \h \z \u</w:instrText>
      </w:r>
      <w:r>
        <w:fldChar w:fldCharType="separate"/>
      </w:r>
      <w:r>
        <w:fldChar w:fldCharType="begin"/>
      </w:r>
      <w:r>
        <w:instrText xml:space="preserve"> HYPERLINK \l _Toc16794 </w:instrText>
      </w:r>
      <w:r>
        <w:fldChar w:fldCharType="separate"/>
      </w:r>
      <w:r>
        <w:rPr>
          <w:rFonts w:ascii="方正小标宋_GBK" w:hAnsi="方正小标宋_GBK" w:eastAsia="方正小标宋_GBK" w:cs="方正小标宋_GBK"/>
        </w:rPr>
        <w:t>部门预算收支总表</w:t>
      </w:r>
      <w:r>
        <w:tab/>
      </w:r>
      <w:r>
        <w:fldChar w:fldCharType="begin"/>
      </w:r>
      <w:r>
        <w:instrText xml:space="preserve"> PAGEREF _Toc16794 \h </w:instrText>
      </w:r>
      <w:r>
        <w:fldChar w:fldCharType="separate"/>
      </w:r>
      <w:r>
        <w:t>2</w:t>
      </w:r>
      <w:r>
        <w:fldChar w:fldCharType="end"/>
      </w:r>
      <w:r>
        <w:fldChar w:fldCharType="end"/>
      </w:r>
    </w:p>
    <w:p>
      <w:pPr>
        <w:pStyle w:val="7"/>
        <w:tabs>
          <w:tab w:val="right" w:leader="dot" w:pos="14800"/>
        </w:tabs>
      </w:pPr>
      <w:r>
        <w:fldChar w:fldCharType="begin"/>
      </w:r>
      <w:r>
        <w:instrText xml:space="preserve"> HYPERLINK \l _Toc30438 </w:instrText>
      </w:r>
      <w:r>
        <w:fldChar w:fldCharType="separate"/>
      </w:r>
      <w:r>
        <w:rPr>
          <w:rFonts w:ascii="方正小标宋_GBK" w:hAnsi="方正小标宋_GBK" w:eastAsia="方正小标宋_GBK" w:cs="方正小标宋_GBK"/>
        </w:rPr>
        <w:t>部门预算收入总表</w:t>
      </w:r>
      <w:r>
        <w:tab/>
      </w:r>
      <w:r>
        <w:fldChar w:fldCharType="begin"/>
      </w:r>
      <w:r>
        <w:instrText xml:space="preserve"> PAGEREF _Toc30438 \h </w:instrText>
      </w:r>
      <w:r>
        <w:fldChar w:fldCharType="separate"/>
      </w:r>
      <w:r>
        <w:t>4</w:t>
      </w:r>
      <w:r>
        <w:fldChar w:fldCharType="end"/>
      </w:r>
      <w:r>
        <w:fldChar w:fldCharType="end"/>
      </w:r>
    </w:p>
    <w:p>
      <w:pPr>
        <w:pStyle w:val="7"/>
        <w:tabs>
          <w:tab w:val="right" w:leader="dot" w:pos="14800"/>
        </w:tabs>
      </w:pPr>
      <w:r>
        <w:fldChar w:fldCharType="begin"/>
      </w:r>
      <w:r>
        <w:instrText xml:space="preserve"> HYPERLINK \l _Toc15519 </w:instrText>
      </w:r>
      <w:r>
        <w:fldChar w:fldCharType="separate"/>
      </w:r>
      <w:r>
        <w:rPr>
          <w:rFonts w:ascii="方正小标宋_GBK" w:hAnsi="方正小标宋_GBK" w:eastAsia="方正小标宋_GBK" w:cs="方正小标宋_GBK"/>
        </w:rPr>
        <w:t>部门预算支出总表</w:t>
      </w:r>
      <w:r>
        <w:tab/>
      </w:r>
      <w:r>
        <w:fldChar w:fldCharType="begin"/>
      </w:r>
      <w:r>
        <w:instrText xml:space="preserve"> PAGEREF _Toc15519 \h </w:instrText>
      </w:r>
      <w:r>
        <w:fldChar w:fldCharType="separate"/>
      </w:r>
      <w:r>
        <w:t>5</w:t>
      </w:r>
      <w:r>
        <w:fldChar w:fldCharType="end"/>
      </w:r>
      <w:r>
        <w:fldChar w:fldCharType="end"/>
      </w:r>
    </w:p>
    <w:p>
      <w:pPr>
        <w:pStyle w:val="7"/>
        <w:tabs>
          <w:tab w:val="right" w:leader="dot" w:pos="14800"/>
        </w:tabs>
      </w:pPr>
      <w:r>
        <w:fldChar w:fldCharType="begin"/>
      </w:r>
      <w:r>
        <w:instrText xml:space="preserve"> HYPERLINK \l _Toc20299 </w:instrText>
      </w:r>
      <w:r>
        <w:fldChar w:fldCharType="separate"/>
      </w:r>
      <w:r>
        <w:rPr>
          <w:rFonts w:ascii="方正小标宋_GBK" w:hAnsi="方正小标宋_GBK" w:eastAsia="方正小标宋_GBK" w:cs="方正小标宋_GBK"/>
        </w:rPr>
        <w:t>部门预算财政拨款收支总表</w:t>
      </w:r>
      <w:r>
        <w:tab/>
      </w:r>
      <w:r>
        <w:fldChar w:fldCharType="begin"/>
      </w:r>
      <w:r>
        <w:instrText xml:space="preserve"> PAGEREF _Toc20299 \h </w:instrText>
      </w:r>
      <w:r>
        <w:fldChar w:fldCharType="separate"/>
      </w:r>
      <w:r>
        <w:t>6</w:t>
      </w:r>
      <w:r>
        <w:fldChar w:fldCharType="end"/>
      </w:r>
      <w:r>
        <w:fldChar w:fldCharType="end"/>
      </w:r>
    </w:p>
    <w:p>
      <w:pPr>
        <w:pStyle w:val="7"/>
        <w:tabs>
          <w:tab w:val="right" w:leader="dot" w:pos="14800"/>
        </w:tabs>
      </w:pPr>
      <w:r>
        <w:fldChar w:fldCharType="begin"/>
      </w:r>
      <w:r>
        <w:instrText xml:space="preserve"> HYPERLINK \l _Toc28080 </w:instrText>
      </w:r>
      <w:r>
        <w:fldChar w:fldCharType="separate"/>
      </w:r>
      <w:r>
        <w:rPr>
          <w:rFonts w:ascii="方正小标宋_GBK" w:hAnsi="方正小标宋_GBK" w:eastAsia="方正小标宋_GBK" w:cs="方正小标宋_GBK"/>
        </w:rPr>
        <w:t>部门预算一般公共预算财政拨款支出表</w:t>
      </w:r>
      <w:r>
        <w:tab/>
      </w:r>
      <w:r>
        <w:fldChar w:fldCharType="begin"/>
      </w:r>
      <w:r>
        <w:instrText xml:space="preserve"> PAGEREF _Toc28080 \h </w:instrText>
      </w:r>
      <w:r>
        <w:fldChar w:fldCharType="separate"/>
      </w:r>
      <w:r>
        <w:t>8</w:t>
      </w:r>
      <w:r>
        <w:fldChar w:fldCharType="end"/>
      </w:r>
      <w:r>
        <w:fldChar w:fldCharType="end"/>
      </w:r>
    </w:p>
    <w:p>
      <w:pPr>
        <w:pStyle w:val="7"/>
        <w:tabs>
          <w:tab w:val="right" w:leader="dot" w:pos="14800"/>
        </w:tabs>
      </w:pPr>
      <w:r>
        <w:fldChar w:fldCharType="begin"/>
      </w:r>
      <w:r>
        <w:instrText xml:space="preserve"> HYPERLINK \l _Toc18807 </w:instrText>
      </w:r>
      <w:r>
        <w:fldChar w:fldCharType="separate"/>
      </w:r>
      <w:r>
        <w:rPr>
          <w:rFonts w:ascii="方正小标宋_GBK" w:hAnsi="方正小标宋_GBK" w:eastAsia="方正小标宋_GBK" w:cs="方正小标宋_GBK"/>
        </w:rPr>
        <w:t>部门预算一般公共预算财政拨款基本支出表</w:t>
      </w:r>
      <w:r>
        <w:tab/>
      </w:r>
      <w:r>
        <w:fldChar w:fldCharType="begin"/>
      </w:r>
      <w:r>
        <w:instrText xml:space="preserve"> PAGEREF _Toc18807 \h </w:instrText>
      </w:r>
      <w:r>
        <w:fldChar w:fldCharType="separate"/>
      </w:r>
      <w:r>
        <w:t>9</w:t>
      </w:r>
      <w:r>
        <w:fldChar w:fldCharType="end"/>
      </w:r>
      <w:r>
        <w:fldChar w:fldCharType="end"/>
      </w:r>
    </w:p>
    <w:p>
      <w:pPr>
        <w:pStyle w:val="7"/>
        <w:tabs>
          <w:tab w:val="right" w:leader="dot" w:pos="14800"/>
        </w:tabs>
      </w:pPr>
      <w:r>
        <w:fldChar w:fldCharType="begin"/>
      </w:r>
      <w:r>
        <w:instrText xml:space="preserve"> HYPERLINK \l _Toc8880 </w:instrText>
      </w:r>
      <w:r>
        <w:fldChar w:fldCharType="separate"/>
      </w:r>
      <w:r>
        <w:rPr>
          <w:rFonts w:ascii="方正小标宋_GBK" w:hAnsi="方正小标宋_GBK" w:eastAsia="方正小标宋_GBK" w:cs="方正小标宋_GBK"/>
        </w:rPr>
        <w:t>部门预算政府基金预算财政拨款支出表</w:t>
      </w:r>
      <w:r>
        <w:tab/>
      </w:r>
      <w:r>
        <w:fldChar w:fldCharType="begin"/>
      </w:r>
      <w:r>
        <w:instrText xml:space="preserve"> PAGEREF _Toc8880 \h </w:instrText>
      </w:r>
      <w:r>
        <w:fldChar w:fldCharType="separate"/>
      </w:r>
      <w:r>
        <w:t>10</w:t>
      </w:r>
      <w:r>
        <w:fldChar w:fldCharType="end"/>
      </w:r>
      <w:r>
        <w:fldChar w:fldCharType="end"/>
      </w:r>
    </w:p>
    <w:p>
      <w:pPr>
        <w:pStyle w:val="7"/>
        <w:tabs>
          <w:tab w:val="right" w:leader="dot" w:pos="14800"/>
        </w:tabs>
      </w:pPr>
      <w:r>
        <w:fldChar w:fldCharType="begin"/>
      </w:r>
      <w:r>
        <w:instrText xml:space="preserve"> HYPERLINK \l _Toc23817 </w:instrText>
      </w:r>
      <w:r>
        <w:fldChar w:fldCharType="separate"/>
      </w:r>
      <w:r>
        <w:rPr>
          <w:rFonts w:ascii="方正小标宋_GBK" w:hAnsi="方正小标宋_GBK" w:eastAsia="方正小标宋_GBK" w:cs="方正小标宋_GBK"/>
        </w:rPr>
        <w:t>部门预算国有资本经营预算财政拨款支出表</w:t>
      </w:r>
      <w:r>
        <w:tab/>
      </w:r>
      <w:r>
        <w:fldChar w:fldCharType="begin"/>
      </w:r>
      <w:r>
        <w:instrText xml:space="preserve"> PAGEREF _Toc23817 \h </w:instrText>
      </w:r>
      <w:r>
        <w:fldChar w:fldCharType="separate"/>
      </w:r>
      <w:r>
        <w:t>11</w:t>
      </w:r>
      <w:r>
        <w:fldChar w:fldCharType="end"/>
      </w:r>
      <w:r>
        <w:fldChar w:fldCharType="end"/>
      </w:r>
    </w:p>
    <w:p>
      <w:pPr>
        <w:pStyle w:val="7"/>
        <w:tabs>
          <w:tab w:val="right" w:leader="dot" w:pos="14800"/>
        </w:tabs>
      </w:pPr>
      <w:r>
        <w:fldChar w:fldCharType="begin"/>
      </w:r>
      <w:r>
        <w:instrText xml:space="preserve"> HYPERLINK \l _Toc30949 </w:instrText>
      </w:r>
      <w:r>
        <w:fldChar w:fldCharType="separate"/>
      </w:r>
      <w:r>
        <w:rPr>
          <w:rFonts w:ascii="方正小标宋_GBK" w:hAnsi="方正小标宋_GBK" w:eastAsia="方正小标宋_GBK" w:cs="方正小标宋_GBK"/>
        </w:rPr>
        <w:t>部门预算财政拨款“三公”经费支出表</w:t>
      </w:r>
      <w:r>
        <w:tab/>
      </w:r>
      <w:r>
        <w:fldChar w:fldCharType="begin"/>
      </w:r>
      <w:r>
        <w:instrText xml:space="preserve"> PAGEREF _Toc30949 \h </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TOC \o "3-3" \h \z \u</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_Toc9002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一、部门职责及机构设置情况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_Toc9002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_Toc32461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二、部门预算安排的总体情况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_Toc32461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_Toc31900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三、机关运行经费安排情况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_Toc31900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_Toc28600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四、财政拨款“三公”经费预算情况及增减变化原因</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_Toc28600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16</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_Toc13499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五、预算绩效信息</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_Toc13499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16</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_Toc7901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六、政府采购预算情况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_Toc7901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22</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_Toc14440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七、国有资产信息</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_Toc14440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_Toc6561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八、名词解释</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_Toc6561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24</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_Toc2902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九、其他需要说明的事项</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_Toc2902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24</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end"/>
      </w:r>
    </w:p>
    <w:p>
      <w:pPr>
        <w:pStyle w:val="7"/>
        <w:tabs>
          <w:tab w:val="right" w:leader="dot" w:pos="14800"/>
        </w:tabs>
      </w:pPr>
    </w:p>
    <w:p>
      <w:pPr>
        <w:jc w:val="center"/>
        <w:outlineLvl w:val="1"/>
      </w:pPr>
      <w:bookmarkStart w:id="0" w:name="_Toc16794"/>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lang w:val="en-US"/>
              </w:rPr>
            </w:pPr>
            <w:r>
              <w:t>3</w:t>
            </w:r>
            <w:r>
              <w:rPr>
                <w:rFonts w:hint="eastAsia"/>
                <w:lang w:val="en-US" w:eastAsia="zh-CN"/>
              </w:rPr>
              <w:t>82中共涞水县委机构编制委员会办公室</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100.65</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81.69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23</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24</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25</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二十五、其他支出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26</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27</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28</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29</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31</w:t>
            </w:r>
          </w:p>
        </w:tc>
        <w:tc>
          <w:tcPr>
            <w:tcW w:w="4536" w:type="dxa"/>
            <w:vAlign w:val="center"/>
          </w:tcPr>
          <w:p>
            <w:pPr>
              <w:pStyle w:val="19"/>
              <w:rPr>
                <w:rFonts w:ascii="方正书宋_GBK" w:hAnsi="方正书宋_GBK" w:eastAsia="方正书宋_GBK" w:cs="方正书宋_GBK"/>
                <w:b/>
                <w:sz w:val="21"/>
                <w:szCs w:val="24"/>
                <w:lang w:val="en-US" w:eastAsia="uk-UA" w:bidi="ar-SA"/>
              </w:rPr>
            </w:pPr>
            <w:r>
              <w:t>本年收入合计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100.65</w:t>
            </w:r>
          </w:p>
        </w:tc>
        <w:tc>
          <w:tcPr>
            <w:tcW w:w="4535" w:type="dxa"/>
            <w:vAlign w:val="center"/>
          </w:tcPr>
          <w:p>
            <w:pPr>
              <w:pStyle w:val="19"/>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32</w:t>
            </w:r>
          </w:p>
        </w:tc>
        <w:tc>
          <w:tcPr>
            <w:tcW w:w="4536" w:type="dxa"/>
            <w:vAlign w:val="center"/>
          </w:tcPr>
          <w:p>
            <w:pPr>
              <w:pStyle w:val="17"/>
              <w:rPr>
                <w:rFonts w:ascii="方正书宋_GBK" w:hAnsi="方正书宋_GBK" w:eastAsia="方正书宋_GBK" w:cs="方正书宋_GBK"/>
                <w:sz w:val="21"/>
                <w:szCs w:val="24"/>
                <w:lang w:val="en-US" w:eastAsia="uk-UA" w:bidi="ar-SA"/>
              </w:rPr>
            </w:pPr>
            <w:r>
              <w:t>上年结转结余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33</w:t>
            </w:r>
          </w:p>
        </w:tc>
        <w:tc>
          <w:tcPr>
            <w:tcW w:w="4536" w:type="dxa"/>
            <w:vAlign w:val="center"/>
          </w:tcPr>
          <w:p>
            <w:pPr>
              <w:pStyle w:val="19"/>
              <w:rPr>
                <w:rFonts w:ascii="方正书宋_GBK" w:hAnsi="方正书宋_GBK" w:eastAsia="方正书宋_GBK" w:cs="方正书宋_GBK"/>
                <w:b/>
                <w:sz w:val="21"/>
                <w:szCs w:val="24"/>
                <w:lang w:val="en-US" w:eastAsia="uk-UA" w:bidi="ar-SA"/>
              </w:rPr>
            </w:pPr>
            <w: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100.65</w:t>
            </w:r>
          </w:p>
        </w:tc>
        <w:tc>
          <w:tcPr>
            <w:tcW w:w="4535" w:type="dxa"/>
            <w:vAlign w:val="center"/>
          </w:tcPr>
          <w:p>
            <w:pPr>
              <w:pStyle w:val="19"/>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100.65</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30438"/>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6"/>
        <w:gridCol w:w="1086"/>
        <w:gridCol w:w="2204"/>
        <w:gridCol w:w="900"/>
        <w:gridCol w:w="860"/>
        <w:gridCol w:w="997"/>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71" w:type="dxa"/>
            <w:gridSpan w:val="1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restart"/>
            <w:vAlign w:val="center"/>
          </w:tcPr>
          <w:p>
            <w:pPr>
              <w:pStyle w:val="15"/>
            </w:pPr>
            <w:r>
              <w:t>序号</w:t>
            </w:r>
          </w:p>
        </w:tc>
        <w:tc>
          <w:tcPr>
            <w:tcW w:w="3290" w:type="dxa"/>
            <w:gridSpan w:val="2"/>
            <w:vAlign w:val="center"/>
          </w:tcPr>
          <w:p>
            <w:pPr>
              <w:pStyle w:val="15"/>
            </w:pPr>
            <w:r>
              <w:t>功能分类科目</w:t>
            </w:r>
          </w:p>
        </w:tc>
        <w:tc>
          <w:tcPr>
            <w:tcW w:w="900" w:type="dxa"/>
            <w:vMerge w:val="restart"/>
            <w:vAlign w:val="center"/>
          </w:tcPr>
          <w:p>
            <w:pPr>
              <w:pStyle w:val="15"/>
            </w:pPr>
            <w:r>
              <w:t>合计</w:t>
            </w:r>
          </w:p>
        </w:tc>
        <w:tc>
          <w:tcPr>
            <w:tcW w:w="866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continue"/>
          </w:tcPr>
          <w:p/>
        </w:tc>
        <w:tc>
          <w:tcPr>
            <w:tcW w:w="1086" w:type="dxa"/>
            <w:vAlign w:val="center"/>
          </w:tcPr>
          <w:p>
            <w:pPr>
              <w:pStyle w:val="15"/>
            </w:pPr>
            <w:r>
              <w:t>科目    编码</w:t>
            </w:r>
          </w:p>
        </w:tc>
        <w:tc>
          <w:tcPr>
            <w:tcW w:w="2204" w:type="dxa"/>
            <w:vAlign w:val="center"/>
          </w:tcPr>
          <w:p>
            <w:pPr>
              <w:pStyle w:val="15"/>
            </w:pPr>
            <w:r>
              <w:t>科目名称</w:t>
            </w:r>
          </w:p>
        </w:tc>
        <w:tc>
          <w:tcPr>
            <w:tcW w:w="900" w:type="dxa"/>
            <w:vMerge w:val="continue"/>
          </w:tcPr>
          <w:p/>
        </w:tc>
        <w:tc>
          <w:tcPr>
            <w:tcW w:w="860" w:type="dxa"/>
            <w:vAlign w:val="center"/>
          </w:tcPr>
          <w:p>
            <w:pPr>
              <w:pStyle w:val="15"/>
            </w:pPr>
            <w:r>
              <w:t>小计</w:t>
            </w:r>
          </w:p>
        </w:tc>
        <w:tc>
          <w:tcPr>
            <w:tcW w:w="997"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Align w:val="center"/>
          </w:tcPr>
          <w:p>
            <w:pPr>
              <w:pStyle w:val="15"/>
            </w:pPr>
            <w:r>
              <w:t>栏次</w:t>
            </w:r>
          </w:p>
        </w:tc>
        <w:tc>
          <w:tcPr>
            <w:tcW w:w="1086" w:type="dxa"/>
            <w:vAlign w:val="center"/>
          </w:tcPr>
          <w:p>
            <w:pPr>
              <w:pStyle w:val="15"/>
            </w:pPr>
            <w:r>
              <w:t>1</w:t>
            </w:r>
          </w:p>
        </w:tc>
        <w:tc>
          <w:tcPr>
            <w:tcW w:w="2204" w:type="dxa"/>
            <w:vAlign w:val="center"/>
          </w:tcPr>
          <w:p>
            <w:pPr>
              <w:pStyle w:val="15"/>
            </w:pPr>
            <w:r>
              <w:t>2</w:t>
            </w:r>
          </w:p>
        </w:tc>
        <w:tc>
          <w:tcPr>
            <w:tcW w:w="900" w:type="dxa"/>
            <w:vAlign w:val="center"/>
          </w:tcPr>
          <w:p>
            <w:pPr>
              <w:pStyle w:val="15"/>
            </w:pPr>
            <w:r>
              <w:t>3</w:t>
            </w:r>
          </w:p>
        </w:tc>
        <w:tc>
          <w:tcPr>
            <w:tcW w:w="860" w:type="dxa"/>
            <w:vAlign w:val="center"/>
          </w:tcPr>
          <w:p>
            <w:pPr>
              <w:pStyle w:val="15"/>
            </w:pPr>
            <w:r>
              <w:t>4</w:t>
            </w:r>
          </w:p>
        </w:tc>
        <w:tc>
          <w:tcPr>
            <w:tcW w:w="997"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086" w:type="dxa"/>
            <w:vAlign w:val="top"/>
          </w:tcPr>
          <w:p>
            <w:pPr>
              <w:jc w:val="left"/>
            </w:pP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100.65</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100.65</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100.65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81.69</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81.69</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81.69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81.69</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81.69</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81.69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73.35</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73.35</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73.35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8.34</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8.34</w:t>
            </w:r>
          </w:p>
        </w:tc>
        <w:tc>
          <w:tcPr>
            <w:tcW w:w="997"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center"/>
          </w:tcPr>
          <w:p>
            <w:pPr>
              <w:pStyle w:val="18"/>
              <w:rPr>
                <w:rFonts w:hint="default" w:eastAsia="方正书宋_GBK"/>
                <w:lang w:val="en-US" w:eastAsia="zh-CN"/>
              </w:rPr>
            </w:pPr>
            <w:r>
              <w:rPr>
                <w:rFonts w:hint="eastAsia"/>
                <w:lang w:val="en-US" w:eastAsia="zh-CN"/>
              </w:rPr>
              <w:t>14</w:t>
            </w:r>
          </w:p>
        </w:tc>
        <w:tc>
          <w:tcPr>
            <w:tcW w:w="1086" w:type="dxa"/>
            <w:vAlign w:val="center"/>
          </w:tcPr>
          <w:p>
            <w:pPr>
              <w:pStyle w:val="17"/>
              <w:rPr>
                <w:rFonts w:hint="default" w:eastAsia="方正书宋_GBK" w:asciiTheme="majorAscii" w:hAnsiTheme="majorAscii"/>
                <w:sz w:val="22"/>
                <w:szCs w:val="22"/>
                <w:lang w:val="en-US" w:eastAsia="zh-CN"/>
              </w:rPr>
            </w:pPr>
            <w:r>
              <w:rPr>
                <w:rFonts w:hint="default" w:ascii="Calibri" w:hAnsi="Calibri" w:eastAsia="宋体" w:cs="Calibri"/>
                <w:i w:val="0"/>
                <w:iCs w:val="0"/>
                <w:color w:val="000000"/>
                <w:kern w:val="0"/>
                <w:sz w:val="22"/>
                <w:szCs w:val="22"/>
                <w:u w:val="none"/>
                <w:lang w:val="en-US" w:eastAsia="zh-CN" w:bidi="ar"/>
              </w:rPr>
              <w:t>2210201</w:t>
            </w:r>
          </w:p>
        </w:tc>
        <w:tc>
          <w:tcPr>
            <w:tcW w:w="2204" w:type="dxa"/>
            <w:vAlign w:val="center"/>
          </w:tcPr>
          <w:p>
            <w:pPr>
              <w:pStyle w:val="17"/>
              <w:rPr>
                <w:rFonts w:hint="default" w:eastAsia="方正书宋_GBK"/>
                <w:lang w:val="en-US" w:eastAsia="zh-CN"/>
              </w:rPr>
            </w:pPr>
            <w:r>
              <w:rPr>
                <w:rFonts w:hint="eastAsia"/>
                <w:lang w:val="en-US" w:eastAsia="zh-CN"/>
              </w:rPr>
              <w:t>住房公积金</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5.79</w:t>
            </w:r>
          </w:p>
        </w:tc>
        <w:tc>
          <w:tcPr>
            <w:tcW w:w="86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5.79</w:t>
            </w:r>
          </w:p>
        </w:tc>
        <w:tc>
          <w:tcPr>
            <w:tcW w:w="997" w:type="dxa"/>
            <w:vAlign w:val="top"/>
          </w:tcPr>
          <w:p>
            <w:pPr>
              <w:keepNext w:val="0"/>
              <w:keepLines w:val="0"/>
              <w:widowControl/>
              <w:suppressLineNumbers w:val="0"/>
              <w:jc w:val="right"/>
              <w:textAlignment w:val="top"/>
              <w:rPr>
                <w:rFonts w:hint="default" w:eastAsia="宋体"/>
                <w:lang w:val="en-US" w:eastAsia="zh-CN"/>
              </w:rPr>
            </w:pPr>
            <w:r>
              <w:rPr>
                <w:rFonts w:hint="eastAsia" w:ascii="Calibri" w:hAnsi="Calibri" w:eastAsia="宋体" w:cs="Calibri"/>
                <w:i w:val="0"/>
                <w:iCs w:val="0"/>
                <w:color w:val="000000"/>
                <w:kern w:val="0"/>
                <w:sz w:val="22"/>
                <w:szCs w:val="22"/>
                <w:u w:val="none"/>
                <w:lang w:val="en-US" w:eastAsia="zh-CN" w:bidi="ar"/>
              </w:rPr>
              <w:t>5.79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jc w:val="center"/>
        <w:outlineLvl w:val="1"/>
        <w:rPr>
          <w:rFonts w:ascii="方正小标宋_GBK" w:hAnsi="方正小标宋_GBK" w:eastAsia="方正小标宋_GBK" w:cs="方正小标宋_GBK"/>
          <w:color w:val="000000"/>
          <w:sz w:val="36"/>
        </w:rPr>
      </w:pPr>
    </w:p>
    <w:p>
      <w:pPr>
        <w:jc w:val="center"/>
        <w:outlineLvl w:val="1"/>
      </w:pPr>
      <w:bookmarkStart w:id="2" w:name="_Toc15519"/>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12"/>
        <w:gridCol w:w="431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sz w:val="28"/>
                <w:szCs w:val="28"/>
              </w:rPr>
              <w:t>3</w:t>
            </w:r>
            <w:r>
              <w:rPr>
                <w:rFonts w:hint="eastAsia"/>
                <w:sz w:val="28"/>
                <w:szCs w:val="28"/>
                <w:lang w:val="en-US" w:eastAsia="zh-CN"/>
              </w:rPr>
              <w:t>82中共涞水</w:t>
            </w:r>
            <w:r>
              <w:rPr>
                <w:sz w:val="28"/>
                <w:szCs w:val="28"/>
              </w:rPr>
              <w:t>县</w:t>
            </w:r>
            <w:r>
              <w:rPr>
                <w:rFonts w:hint="eastAsia"/>
                <w:sz w:val="28"/>
                <w:szCs w:val="28"/>
                <w:lang w:val="en-US" w:eastAsia="zh-CN"/>
              </w:rPr>
              <w:t>委机构编制委员会办公室</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12" w:type="dxa"/>
            <w:vAlign w:val="center"/>
          </w:tcPr>
          <w:p>
            <w:pPr>
              <w:pStyle w:val="15"/>
            </w:pPr>
            <w:r>
              <w:t>科目    编码</w:t>
            </w:r>
          </w:p>
        </w:tc>
        <w:tc>
          <w:tcPr>
            <w:tcW w:w="431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212" w:type="dxa"/>
            <w:vAlign w:val="center"/>
          </w:tcPr>
          <w:p>
            <w:pPr>
              <w:pStyle w:val="15"/>
            </w:pPr>
            <w:r>
              <w:t>1</w:t>
            </w:r>
          </w:p>
        </w:tc>
        <w:tc>
          <w:tcPr>
            <w:tcW w:w="431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212" w:type="dxa"/>
            <w:vAlign w:val="top"/>
          </w:tcPr>
          <w:p>
            <w:pPr>
              <w:jc w:val="left"/>
            </w:pP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100.65</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92.31</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81.69</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73.35</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81.69</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73.35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73.35</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73.35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20299"/>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100.65</w:t>
            </w:r>
          </w:p>
        </w:tc>
        <w:tc>
          <w:tcPr>
            <w:tcW w:w="3402" w:type="dxa"/>
            <w:vAlign w:val="center"/>
          </w:tcPr>
          <w:p>
            <w:pPr>
              <w:pStyle w:val="17"/>
            </w:pPr>
            <w:r>
              <w:t>一、一般公共服务支出</w:t>
            </w:r>
          </w:p>
        </w:tc>
        <w:tc>
          <w:tcPr>
            <w:tcW w:w="1474" w:type="dxa"/>
            <w:vAlign w:val="center"/>
          </w:tcPr>
          <w:p>
            <w:pPr>
              <w:pStyle w:val="16"/>
              <w:rPr>
                <w:rFonts w:hint="default"/>
                <w:lang w:val="en-US"/>
              </w:rPr>
            </w:pPr>
            <w:r>
              <w:rPr>
                <w:rFonts w:hint="eastAsia"/>
                <w:lang w:val="en-US" w:eastAsia="zh-CN"/>
              </w:rPr>
              <w:t>100.65</w:t>
            </w:r>
          </w:p>
        </w:tc>
        <w:tc>
          <w:tcPr>
            <w:tcW w:w="1474" w:type="dxa"/>
            <w:vAlign w:val="center"/>
          </w:tcPr>
          <w:p>
            <w:pPr>
              <w:pStyle w:val="16"/>
              <w:rPr>
                <w:rFonts w:hint="default" w:eastAsia="方正书宋_GBK"/>
                <w:lang w:val="en-US" w:eastAsia="zh-CN"/>
              </w:rPr>
            </w:pPr>
            <w:r>
              <w:rPr>
                <w:rFonts w:hint="eastAsia"/>
                <w:lang w:val="en-US" w:eastAsia="zh-CN"/>
              </w:rPr>
              <w:t>92.31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8.76</w:t>
            </w:r>
          </w:p>
        </w:tc>
        <w:tc>
          <w:tcPr>
            <w:tcW w:w="1474" w:type="dxa"/>
            <w:vAlign w:val="center"/>
          </w:tcPr>
          <w:p>
            <w:pPr>
              <w:pStyle w:val="16"/>
              <w:rPr>
                <w:rFonts w:hint="default"/>
                <w:lang w:val="en-US"/>
              </w:rPr>
            </w:pPr>
            <w:r>
              <w:rPr>
                <w:rFonts w:hint="eastAsia"/>
                <w:lang w:val="en-US" w:eastAsia="zh-CN"/>
              </w:rPr>
              <w:t>8.76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4.41</w:t>
            </w:r>
          </w:p>
        </w:tc>
        <w:tc>
          <w:tcPr>
            <w:tcW w:w="1474" w:type="dxa"/>
            <w:vAlign w:val="center"/>
          </w:tcPr>
          <w:p>
            <w:pPr>
              <w:pStyle w:val="16"/>
              <w:rPr>
                <w:rFonts w:hint="default" w:eastAsia="方正书宋_GBK"/>
                <w:lang w:val="en-US" w:eastAsia="zh-CN"/>
              </w:rPr>
            </w:pPr>
            <w:r>
              <w:rPr>
                <w:rFonts w:hint="eastAsia"/>
                <w:lang w:val="en-US" w:eastAsia="zh-CN"/>
              </w:rPr>
              <w:t>4.41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5.79</w:t>
            </w:r>
          </w:p>
        </w:tc>
        <w:tc>
          <w:tcPr>
            <w:tcW w:w="1474" w:type="dxa"/>
            <w:vAlign w:val="center"/>
          </w:tcPr>
          <w:p>
            <w:pPr>
              <w:pStyle w:val="16"/>
              <w:rPr>
                <w:rFonts w:hint="default" w:eastAsia="方正书宋_GBK"/>
                <w:lang w:val="en-US" w:eastAsia="zh-CN"/>
              </w:rPr>
            </w:pPr>
            <w:r>
              <w:rPr>
                <w:rFonts w:hint="eastAsia"/>
                <w:lang w:val="en-US" w:eastAsia="zh-CN"/>
              </w:rPr>
              <w:t>5.79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100.65</w:t>
            </w:r>
          </w:p>
        </w:tc>
        <w:tc>
          <w:tcPr>
            <w:tcW w:w="3402" w:type="dxa"/>
            <w:vAlign w:val="center"/>
          </w:tcPr>
          <w:p>
            <w:pPr>
              <w:pStyle w:val="19"/>
            </w:pPr>
            <w:r>
              <w:t>本年支出合计</w:t>
            </w:r>
          </w:p>
        </w:tc>
        <w:tc>
          <w:tcPr>
            <w:tcW w:w="147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100.65</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100.65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lang w:val="en-US"/>
              </w:rPr>
            </w:pPr>
            <w:r>
              <w:rPr>
                <w:rFonts w:hint="eastAsia"/>
                <w:lang w:val="en-US" w:eastAsia="zh-CN"/>
              </w:rPr>
              <w:t>100.65</w:t>
            </w:r>
          </w:p>
        </w:tc>
        <w:tc>
          <w:tcPr>
            <w:tcW w:w="3402" w:type="dxa"/>
            <w:vAlign w:val="center"/>
          </w:tcPr>
          <w:p>
            <w:pPr>
              <w:pStyle w:val="19"/>
            </w:pPr>
            <w:r>
              <w:t>支出总计</w:t>
            </w:r>
          </w:p>
        </w:tc>
        <w:tc>
          <w:tcPr>
            <w:tcW w:w="1474" w:type="dxa"/>
            <w:vAlign w:val="center"/>
          </w:tcPr>
          <w:p>
            <w:pPr>
              <w:pStyle w:val="20"/>
            </w:pPr>
            <w:r>
              <w:rPr>
                <w:rFonts w:hint="eastAsia"/>
                <w:lang w:val="en-US" w:eastAsia="zh-CN"/>
              </w:rPr>
              <w:t>100.65</w:t>
            </w:r>
          </w:p>
        </w:tc>
        <w:tc>
          <w:tcPr>
            <w:tcW w:w="1474" w:type="dxa"/>
            <w:vAlign w:val="center"/>
          </w:tcPr>
          <w:p>
            <w:pPr>
              <w:pStyle w:val="20"/>
            </w:pPr>
            <w:r>
              <w:rPr>
                <w:rFonts w:hint="eastAsia"/>
                <w:lang w:val="en-US" w:eastAsia="zh-CN"/>
              </w:rPr>
              <w:t>100.65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28080"/>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lang w:val="en-US" w:eastAsia="zh-CN"/>
              </w:rPr>
              <w:t>100.65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92.31</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81.69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73.35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81.69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73.35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73.35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73.35</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2551" w:type="dxa"/>
            <w:vAlign w:val="top"/>
          </w:tcPr>
          <w:p>
            <w:pPr>
              <w:jc w:val="right"/>
            </w:pPr>
          </w:p>
        </w:tc>
        <w:tc>
          <w:tcPr>
            <w:tcW w:w="2551" w:type="dxa"/>
            <w:vAlign w:val="top"/>
          </w:tcPr>
          <w:p>
            <w:pPr>
              <w:jc w:val="right"/>
              <w:rPr>
                <w:rFonts w:hint="default" w:eastAsia="方正书宋_GBK"/>
                <w:lang w:val="en-US" w:eastAsia="zh-CN"/>
              </w:rPr>
            </w:pPr>
            <w:r>
              <w:rPr>
                <w:rFonts w:hint="eastAsia" w:eastAsia="方正书宋_GBK"/>
                <w:lang w:val="en-US" w:eastAsia="zh-CN"/>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18807"/>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92.31</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92.31</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83.92</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83.92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35.00</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35.00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15.81</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15.81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10.05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10.05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3.83</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3.83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0.27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0.27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8.39</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1.76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8</w:t>
            </w: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8</w:t>
            </w: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69</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0.12</w:t>
            </w:r>
          </w:p>
        </w:tc>
      </w:tr>
    </w:tbl>
    <w:p>
      <w:pPr>
        <w:jc w:val="center"/>
        <w:outlineLvl w:val="1"/>
      </w:pPr>
      <w:bookmarkStart w:id="6" w:name="_Toc8880"/>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23817"/>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3"/>
              <w:tabs>
                <w:tab w:val="center" w:pos="1227"/>
                <w:tab w:val="right" w:pos="2335"/>
              </w:tabs>
              <w:jc w:val="left"/>
              <w:rPr>
                <w:rFonts w:hint="eastAsia" w:eastAsia="方正小标宋_GBK"/>
                <w:lang w:val="en-US" w:eastAsia="zh-CN"/>
              </w:rPr>
            </w:pPr>
            <w:r>
              <w:rPr>
                <w:rFonts w:hint="eastAsia"/>
                <w:lang w:eastAsia="zh-CN"/>
              </w:rPr>
              <w:tab/>
            </w: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3094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82中共涞水县委机构编制委员会办公室</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bl>
    <w:p>
      <w:pPr>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X</w:t>
      </w:r>
      <w:r>
        <w:rPr>
          <w:rFonts w:hint="eastAsia" w:ascii="方正书宋_GBK" w:hAnsi="方正书宋_GBK" w:eastAsia="方正书宋_GBK" w:cs="方正书宋_GBK"/>
          <w:color w:val="FFFFFF"/>
          <w:sz w:val="21"/>
          <w:lang w:val="en-US" w:eastAsia="zh-CN"/>
        </w:rPr>
        <w:t xml:space="preserve"> </w:t>
      </w:r>
      <w:r>
        <w:rPr>
          <w:rFonts w:hint="eastAsia" w:ascii="方正书宋_GBK" w:hAnsi="方正书宋_GBK" w:eastAsia="方正书宋_GBK" w:cs="方正书宋_GBK"/>
          <w:color w:val="000000"/>
          <w:sz w:val="21"/>
          <w:lang w:val="en-US"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财政拨款</w:t>
      </w:r>
      <w:r>
        <w:rPr>
          <w:rFonts w:hint="eastAsia" w:ascii="方正书宋_GBK" w:hAnsi="方正书宋_GBK" w:eastAsia="方正书宋_GBK" w:cs="方正书宋_GBK"/>
          <w:color w:val="000000"/>
          <w:sz w:val="21"/>
        </w:rPr>
        <w:t>“三公”经费支出预算，空表列示。</w:t>
      </w:r>
      <w:r>
        <w:rPr>
          <w:rFonts w:ascii="方正书宋_GBK" w:hAnsi="方正书宋_GBK" w:eastAsia="方正书宋_GBK" w:cs="方正书宋_GBK"/>
          <w:color w:val="FFFFFF"/>
          <w:sz w:val="21"/>
        </w:rPr>
        <w:t>部门预算信息公开情况说明</w:t>
      </w:r>
    </w:p>
    <w:p>
      <w:pPr>
        <w:jc w:val="center"/>
        <w:rPr>
          <w:w w:val="90"/>
        </w:rPr>
      </w:pPr>
      <w:r>
        <w:rPr>
          <w:rFonts w:hint="eastAsia" w:ascii="方正小标宋_GBK" w:hAnsi="方正小标宋_GBK" w:eastAsia="方正小标宋_GBK" w:cs="方正小标宋_GBK"/>
          <w:color w:val="000000"/>
          <w:w w:val="90"/>
          <w:sz w:val="44"/>
          <w:lang w:val="en-US" w:eastAsia="zh-CN"/>
        </w:rPr>
        <w:t>中共涞水县委机构编制委员会办公室</w:t>
      </w:r>
      <w:r>
        <w:rPr>
          <w:rFonts w:ascii="方正小标宋_GBK" w:hAnsi="方正小标宋_GBK" w:eastAsia="方正小标宋_GBK" w:cs="方正小标宋_GBK"/>
          <w:color w:val="000000"/>
          <w:w w:val="90"/>
          <w:sz w:val="44"/>
        </w:rPr>
        <w:t>202</w:t>
      </w:r>
      <w:r>
        <w:rPr>
          <w:rFonts w:hint="eastAsia" w:ascii="方正小标宋_GBK" w:hAnsi="方正小标宋_GBK" w:eastAsia="方正小标宋_GBK" w:cs="方正小标宋_GBK"/>
          <w:color w:val="000000"/>
          <w:w w:val="90"/>
          <w:sz w:val="44"/>
          <w:lang w:val="en-US" w:eastAsia="zh-CN"/>
        </w:rPr>
        <w:t>3</w:t>
      </w:r>
      <w:r>
        <w:rPr>
          <w:rFonts w:ascii="方正小标宋_GBK" w:hAnsi="方正小标宋_GBK" w:eastAsia="方正小标宋_GBK" w:cs="方正小标宋_GBK"/>
          <w:color w:val="000000"/>
          <w:w w:val="9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中共涞水县委机构编制委员会办公室</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9" w:name="_Toc9002"/>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2"/>
      </w:pPr>
      <w:r>
        <w:rPr>
          <w:rFonts w:hint="eastAsia"/>
          <w:lang w:val="en-US" w:eastAsia="zh-CN"/>
        </w:rPr>
        <w:t>中共涞水县委机构编制委员会办公室</w:t>
      </w:r>
      <w:r>
        <w:t>部门职责</w:t>
      </w:r>
    </w:p>
    <w:p>
      <w:pPr>
        <w:pStyle w:val="22"/>
        <w:rPr>
          <w:rFonts w:hint="eastAsia"/>
        </w:rPr>
      </w:pPr>
      <w:r>
        <w:rPr>
          <w:rFonts w:hint="eastAsia"/>
          <w:lang w:eastAsia="zh-CN"/>
        </w:rPr>
        <w:t>（</w:t>
      </w:r>
      <w:r>
        <w:rPr>
          <w:rFonts w:hint="eastAsia"/>
          <w:lang w:val="en-US" w:eastAsia="zh-CN"/>
        </w:rPr>
        <w:t>一</w:t>
      </w:r>
      <w:r>
        <w:rPr>
          <w:rFonts w:hint="eastAsia"/>
          <w:lang w:eastAsia="zh-CN"/>
        </w:rPr>
        <w:t>）</w:t>
      </w:r>
      <w:r>
        <w:rPr>
          <w:rFonts w:hint="eastAsia"/>
        </w:rPr>
        <w:t>研究制定全县行政管理体制和机构改革以及机构编制管理办法。统一管理全县党政机关，人大、政协、法院、检察院机关，各民主党派、人民团体的机构编制工作。</w:t>
      </w:r>
    </w:p>
    <w:p>
      <w:pPr>
        <w:pStyle w:val="22"/>
        <w:rPr>
          <w:rFonts w:hint="eastAsia"/>
        </w:rPr>
      </w:pPr>
      <w:r>
        <w:rPr>
          <w:rFonts w:hint="eastAsia"/>
          <w:lang w:eastAsia="zh-CN"/>
        </w:rPr>
        <w:t>（</w:t>
      </w:r>
      <w:r>
        <w:rPr>
          <w:rFonts w:hint="eastAsia"/>
          <w:lang w:val="en-US" w:eastAsia="zh-CN"/>
        </w:rPr>
        <w:t>二</w:t>
      </w:r>
      <w:r>
        <w:rPr>
          <w:rFonts w:hint="eastAsia"/>
          <w:lang w:eastAsia="zh-CN"/>
        </w:rPr>
        <w:t>）</w:t>
      </w:r>
      <w:r>
        <w:rPr>
          <w:rFonts w:hint="eastAsia"/>
        </w:rPr>
        <w:t>研究拟定全县行政管理体制与机构编制总体方案，指导、协调县直、乡镇行政管理体制以及机构编制管理工作。</w:t>
      </w:r>
    </w:p>
    <w:p>
      <w:pPr>
        <w:pStyle w:val="22"/>
        <w:rPr>
          <w:rFonts w:hint="eastAsia"/>
        </w:rPr>
      </w:pPr>
      <w:r>
        <w:rPr>
          <w:rFonts w:hint="eastAsia"/>
          <w:lang w:eastAsia="zh-CN"/>
        </w:rPr>
        <w:t>（</w:t>
      </w:r>
      <w:r>
        <w:rPr>
          <w:rFonts w:hint="eastAsia"/>
          <w:lang w:val="en-US" w:eastAsia="zh-CN"/>
        </w:rPr>
        <w:t>三</w:t>
      </w:r>
      <w:r>
        <w:rPr>
          <w:rFonts w:hint="eastAsia"/>
          <w:lang w:eastAsia="zh-CN"/>
        </w:rPr>
        <w:t>）</w:t>
      </w:r>
      <w:r>
        <w:rPr>
          <w:rFonts w:hint="eastAsia"/>
        </w:rPr>
        <w:t>协调县委各部门、县政府各部门的职能配置及其调整，协调县委各部门之间、县政府各部门之间，县委各部门和县政府各部门之间以及各部门与乡镇之间的职责分工。</w:t>
      </w:r>
    </w:p>
    <w:p>
      <w:pPr>
        <w:pStyle w:val="22"/>
        <w:rPr>
          <w:rFonts w:hint="eastAsia"/>
        </w:rPr>
      </w:pPr>
      <w:r>
        <w:rPr>
          <w:rFonts w:hint="eastAsia"/>
          <w:lang w:eastAsia="zh-CN"/>
        </w:rPr>
        <w:t>（</w:t>
      </w:r>
      <w:r>
        <w:rPr>
          <w:rFonts w:hint="eastAsia"/>
          <w:lang w:val="en-US" w:eastAsia="zh-CN"/>
        </w:rPr>
        <w:t>四</w:t>
      </w:r>
      <w:r>
        <w:rPr>
          <w:rFonts w:hint="eastAsia"/>
          <w:lang w:eastAsia="zh-CN"/>
        </w:rPr>
        <w:t>）</w:t>
      </w:r>
      <w:r>
        <w:rPr>
          <w:rFonts w:hint="eastAsia"/>
        </w:rPr>
        <w:t>审核县委各部门、县政府各部门派出机构、垂直或以县为主管理机构的职能配置、机构设置、人员编制和领导职数；审核乡镇党委、政府副科级以上职能配置、机构设置、人员编制、领导职数，审核乡镇机构编制分类和乡镇、县直党政群机关人员编制总额；审核县直承担行政职能事业单位的科级以上机构设置。</w:t>
      </w:r>
    </w:p>
    <w:p>
      <w:pPr>
        <w:pStyle w:val="22"/>
        <w:rPr>
          <w:rFonts w:hint="eastAsia"/>
        </w:rPr>
      </w:pPr>
      <w:r>
        <w:rPr>
          <w:rFonts w:hint="eastAsia"/>
          <w:lang w:eastAsia="zh-CN"/>
        </w:rPr>
        <w:t>（</w:t>
      </w:r>
      <w:r>
        <w:rPr>
          <w:rFonts w:hint="eastAsia"/>
          <w:lang w:val="en-US" w:eastAsia="zh-CN"/>
        </w:rPr>
        <w:t>五</w:t>
      </w:r>
      <w:r>
        <w:rPr>
          <w:rFonts w:hint="eastAsia"/>
          <w:lang w:eastAsia="zh-CN"/>
        </w:rPr>
        <w:t>）</w:t>
      </w:r>
      <w:r>
        <w:rPr>
          <w:rFonts w:hint="eastAsia"/>
        </w:rPr>
        <w:t>审核县人大、政协、法院、检察院和各民主党派、人民团体机关的职能配置、机构设置、人员编制和领导职数。</w:t>
      </w:r>
    </w:p>
    <w:p>
      <w:pPr>
        <w:pStyle w:val="22"/>
        <w:rPr>
          <w:rFonts w:hint="eastAsia"/>
        </w:rPr>
      </w:pPr>
      <w:r>
        <w:rPr>
          <w:rFonts w:hint="eastAsia"/>
          <w:lang w:eastAsia="zh-CN"/>
        </w:rPr>
        <w:t>（</w:t>
      </w:r>
      <w:r>
        <w:rPr>
          <w:rFonts w:hint="eastAsia"/>
          <w:lang w:val="en-US" w:eastAsia="zh-CN"/>
        </w:rPr>
        <w:t>六</w:t>
      </w:r>
      <w:r>
        <w:rPr>
          <w:rFonts w:hint="eastAsia"/>
          <w:lang w:eastAsia="zh-CN"/>
        </w:rPr>
        <w:t>）</w:t>
      </w:r>
      <w:r>
        <w:rPr>
          <w:rFonts w:hint="eastAsia"/>
        </w:rPr>
        <w:t>研究拟定全县事业单位管理体制和机构改革方案；审核县委、县政府直属事业单位的机构编制方案；上述或审批县直各部门所属事业单位的机构设置、职责任务、人员编制和领导职数；负责事业单位法人登记的管理；负责事业机构编制管理方面其它重要事项；指导并协调乡镇以下事业管理体制改革和机构编制管理工作。</w:t>
      </w:r>
    </w:p>
    <w:p>
      <w:pPr>
        <w:pStyle w:val="22"/>
        <w:rPr>
          <w:rFonts w:hint="eastAsia"/>
        </w:rPr>
      </w:pPr>
      <w:r>
        <w:rPr>
          <w:rFonts w:hint="eastAsia"/>
          <w:lang w:eastAsia="zh-CN"/>
        </w:rPr>
        <w:t>（</w:t>
      </w:r>
      <w:r>
        <w:rPr>
          <w:rFonts w:hint="eastAsia"/>
          <w:lang w:val="en-US" w:eastAsia="zh-CN"/>
        </w:rPr>
        <w:t>七</w:t>
      </w:r>
      <w:r>
        <w:rPr>
          <w:rFonts w:hint="eastAsia"/>
          <w:lang w:eastAsia="zh-CN"/>
        </w:rPr>
        <w:t>）</w:t>
      </w:r>
      <w:r>
        <w:rPr>
          <w:rFonts w:hint="eastAsia"/>
        </w:rPr>
        <w:t>指导全县开发区（园区）行政管理体制改革工作。组织拟订开发区（园区）机构编制管理办法并组织实施，审核开发区（园区）职能配置、机构设置、人员编制和领导职数。</w:t>
      </w:r>
    </w:p>
    <w:p>
      <w:pPr>
        <w:pStyle w:val="22"/>
        <w:rPr>
          <w:rFonts w:hint="eastAsia"/>
        </w:rPr>
      </w:pPr>
      <w:r>
        <w:rPr>
          <w:rFonts w:hint="eastAsia"/>
          <w:lang w:eastAsia="zh-CN"/>
        </w:rPr>
        <w:t>（</w:t>
      </w:r>
      <w:r>
        <w:rPr>
          <w:rFonts w:hint="eastAsia"/>
          <w:lang w:val="en-US" w:eastAsia="zh-CN"/>
        </w:rPr>
        <w:t>八</w:t>
      </w:r>
      <w:r>
        <w:rPr>
          <w:rFonts w:hint="eastAsia"/>
          <w:lang w:eastAsia="zh-CN"/>
        </w:rPr>
        <w:t>）</w:t>
      </w:r>
      <w:r>
        <w:rPr>
          <w:rFonts w:hint="eastAsia"/>
        </w:rPr>
        <w:t>负责全县机构编制的总量控制和动态管理。会同有关部门负责机构编制实名制工作；负责县直机关事业单位编制使用核准；建立健全机构编制部门与有关部门间的协调配合约束机制。</w:t>
      </w:r>
    </w:p>
    <w:p>
      <w:pPr>
        <w:pStyle w:val="22"/>
        <w:rPr>
          <w:rFonts w:hint="eastAsia"/>
        </w:rPr>
      </w:pPr>
      <w:r>
        <w:rPr>
          <w:rFonts w:hint="eastAsia"/>
          <w:lang w:eastAsia="zh-CN"/>
        </w:rPr>
        <w:t>（</w:t>
      </w:r>
      <w:r>
        <w:rPr>
          <w:rFonts w:hint="eastAsia"/>
          <w:lang w:val="en-US" w:eastAsia="zh-CN"/>
        </w:rPr>
        <w:t>九</w:t>
      </w:r>
      <w:r>
        <w:rPr>
          <w:rFonts w:hint="eastAsia"/>
          <w:lang w:eastAsia="zh-CN"/>
        </w:rPr>
        <w:t>）</w:t>
      </w:r>
      <w:r>
        <w:rPr>
          <w:rFonts w:hint="eastAsia"/>
        </w:rPr>
        <w:t>负责对各乡镇、各部门行政、事业单位管理体制和机构改革及机构编制执行情况的跟踪评估和监督检查。负责受理违反机构编制法规、纪律的检举、控告和投诉，对违反机构编制法规、纪律问题进行调查处理。</w:t>
      </w:r>
    </w:p>
    <w:p>
      <w:pPr>
        <w:pStyle w:val="22"/>
        <w:rPr>
          <w:rFonts w:hint="eastAsia"/>
        </w:rPr>
      </w:pPr>
      <w:r>
        <w:rPr>
          <w:rFonts w:hint="eastAsia"/>
          <w:lang w:eastAsia="zh-CN"/>
        </w:rPr>
        <w:t>（</w:t>
      </w:r>
      <w:r>
        <w:rPr>
          <w:rFonts w:hint="eastAsia"/>
          <w:lang w:val="en-US" w:eastAsia="zh-CN"/>
        </w:rPr>
        <w:t>十</w:t>
      </w:r>
      <w:r>
        <w:rPr>
          <w:rFonts w:hint="eastAsia"/>
          <w:lang w:eastAsia="zh-CN"/>
        </w:rPr>
        <w:t>）</w:t>
      </w:r>
      <w:r>
        <w:rPr>
          <w:rFonts w:hint="eastAsia"/>
        </w:rPr>
        <w:t>负责全县事业单位法人登记管理工作。</w:t>
      </w:r>
    </w:p>
    <w:p>
      <w:pPr>
        <w:pStyle w:val="22"/>
        <w:rPr>
          <w:rFonts w:hint="eastAsia"/>
        </w:rPr>
      </w:pPr>
      <w:r>
        <w:rPr>
          <w:rFonts w:hint="eastAsia"/>
          <w:lang w:eastAsia="zh-CN"/>
        </w:rPr>
        <w:t>（</w:t>
      </w:r>
      <w:r>
        <w:rPr>
          <w:rFonts w:hint="eastAsia"/>
          <w:lang w:val="en-US" w:eastAsia="zh-CN"/>
        </w:rPr>
        <w:t>十一</w:t>
      </w:r>
      <w:r>
        <w:rPr>
          <w:rFonts w:hint="eastAsia"/>
          <w:lang w:eastAsia="zh-CN"/>
        </w:rPr>
        <w:t>）</w:t>
      </w:r>
      <w:r>
        <w:rPr>
          <w:rFonts w:hint="eastAsia"/>
        </w:rPr>
        <w:t xml:space="preserve">负责全县机构编制电子政务和信息化工作。负责全县机构编制统计工作；负责机构编制网站的建设管理以及网络安全工作；指导全县党政群机关、事业单位和其他非营利性单位网上名称管理工作。 </w:t>
      </w:r>
    </w:p>
    <w:p>
      <w:pPr>
        <w:pStyle w:val="22"/>
        <w:rPr>
          <w:rFonts w:hint="eastAsia"/>
        </w:rPr>
      </w:pPr>
      <w:r>
        <w:rPr>
          <w:rFonts w:hint="eastAsia"/>
          <w:lang w:eastAsia="zh-CN"/>
        </w:rPr>
        <w:t>（</w:t>
      </w:r>
      <w:r>
        <w:rPr>
          <w:rFonts w:hint="eastAsia"/>
          <w:lang w:val="en-US" w:eastAsia="zh-CN"/>
        </w:rPr>
        <w:t>十二</w:t>
      </w:r>
      <w:r>
        <w:rPr>
          <w:rFonts w:hint="eastAsia"/>
          <w:lang w:eastAsia="zh-CN"/>
        </w:rPr>
        <w:t>）</w:t>
      </w:r>
      <w:r>
        <w:rPr>
          <w:rFonts w:hint="eastAsia"/>
        </w:rPr>
        <w:t>组织开展行政体制改革及机构编制管理创新基础性和前瞻性研究。</w:t>
      </w:r>
    </w:p>
    <w:p>
      <w:pPr>
        <w:pStyle w:val="22"/>
        <w:rPr>
          <w:rFonts w:hint="eastAsia"/>
        </w:rPr>
      </w:pPr>
      <w:r>
        <w:rPr>
          <w:rFonts w:hint="eastAsia"/>
          <w:lang w:eastAsia="zh-CN"/>
        </w:rPr>
        <w:t>（</w:t>
      </w:r>
      <w:r>
        <w:rPr>
          <w:rFonts w:hint="eastAsia"/>
          <w:lang w:val="en-US" w:eastAsia="zh-CN"/>
        </w:rPr>
        <w:t>十三</w:t>
      </w:r>
      <w:r>
        <w:rPr>
          <w:rFonts w:hint="eastAsia"/>
          <w:lang w:eastAsia="zh-CN"/>
        </w:rPr>
        <w:t>）</w:t>
      </w:r>
      <w:r>
        <w:rPr>
          <w:rFonts w:hint="eastAsia"/>
        </w:rPr>
        <w:t>完成县委、县政府和县委机构编制委员会交办的其他任务。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中共涞水县委机构编制委员会办公室</w:t>
            </w:r>
            <w:r>
              <w:t>（本级）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10" w:name="_Toc3246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eastAsia="方正仿宋_GBK"/>
          <w:color w:val="000000"/>
          <w:sz w:val="28"/>
        </w:rPr>
      </w:pPr>
      <w:r>
        <w:rPr>
          <w:rFonts w:eastAsia="方正仿宋_GBK"/>
          <w:color w:val="000000"/>
          <w:sz w:val="28"/>
        </w:rPr>
        <w:t>按照预算管理有关规定，目前我部门预算的编制实行综合预算管理，即全部收入和支出都反映在预算中。</w:t>
      </w:r>
      <w:r>
        <w:rPr>
          <w:rFonts w:hint="eastAsia" w:eastAsia="方正仿宋_GBK"/>
          <w:color w:val="000000"/>
          <w:sz w:val="28"/>
          <w:lang w:val="en-US" w:eastAsia="zh-CN"/>
        </w:rPr>
        <w:t>中共涞水县委机构编制委员会办公室</w:t>
      </w:r>
      <w:r>
        <w:rPr>
          <w:rFonts w:eastAsia="方正仿宋_GBK"/>
          <w:color w:val="000000"/>
          <w:sz w:val="28"/>
        </w:rPr>
        <w:t>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方正仿宋_GBK" w:cs="Times New Roman"/>
          <w:sz w:val="28"/>
          <w:szCs w:val="24"/>
          <w:lang w:val="en-US" w:eastAsia="uk-UA" w:bidi="ar-SA"/>
        </w:rPr>
      </w:pPr>
      <w:r>
        <w:rPr>
          <w:rFonts w:hint="eastAsia" w:eastAsia="方正仿宋_GBK"/>
          <w:color w:val="000000"/>
          <w:sz w:val="28"/>
          <w:lang w:val="en-US" w:eastAsia="uk-UA"/>
        </w:rPr>
        <w:t>按照预算管理有关规定，目前我</w:t>
      </w:r>
      <w:r>
        <w:rPr>
          <w:rFonts w:hint="eastAsia" w:eastAsia="方正仿宋_GBK"/>
          <w:color w:val="000000"/>
          <w:sz w:val="28"/>
          <w:lang w:val="en-US" w:eastAsia="zh-CN"/>
        </w:rPr>
        <w:t>部门</w:t>
      </w:r>
      <w:r>
        <w:rPr>
          <w:rFonts w:hint="eastAsia" w:eastAsia="方正仿宋_GBK"/>
          <w:color w:val="000000"/>
          <w:sz w:val="28"/>
          <w:lang w:val="en-US" w:eastAsia="uk-UA"/>
        </w:rPr>
        <w:t>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（一）收入说明</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5"/>
        <w:rPr>
          <w:rFonts w:hint="eastAsia" w:eastAsia="方正仿宋_GBK"/>
          <w:color w:val="000000"/>
          <w:sz w:val="28"/>
          <w:lang w:val="en-US" w:eastAsia="uk-UA"/>
        </w:rPr>
      </w:pPr>
      <w:r>
        <w:rPr>
          <w:rFonts w:hint="eastAsia" w:eastAsia="方正仿宋_GBK"/>
          <w:color w:val="000000"/>
          <w:sz w:val="28"/>
          <w:lang w:val="en-US" w:eastAsia="uk-UA"/>
        </w:rPr>
        <w:t>202</w:t>
      </w:r>
      <w:r>
        <w:rPr>
          <w:rFonts w:hint="eastAsia" w:eastAsia="方正仿宋_GBK"/>
          <w:color w:val="000000"/>
          <w:sz w:val="28"/>
          <w:lang w:val="en-US" w:eastAsia="zh-CN"/>
        </w:rPr>
        <w:t>3</w:t>
      </w:r>
      <w:r>
        <w:rPr>
          <w:rFonts w:hint="eastAsia" w:eastAsia="方正仿宋_GBK"/>
          <w:color w:val="000000"/>
          <w:sz w:val="28"/>
          <w:lang w:val="en-US" w:eastAsia="uk-UA"/>
        </w:rPr>
        <w:t>年本</w:t>
      </w:r>
      <w:r>
        <w:rPr>
          <w:rFonts w:hint="eastAsia" w:eastAsia="方正仿宋_GBK"/>
          <w:color w:val="000000"/>
          <w:sz w:val="28"/>
          <w:lang w:val="en-US" w:eastAsia="zh-CN"/>
        </w:rPr>
        <w:t>部门</w:t>
      </w:r>
      <w:r>
        <w:rPr>
          <w:rFonts w:hint="eastAsia" w:eastAsia="方正仿宋_GBK"/>
          <w:color w:val="000000"/>
          <w:sz w:val="28"/>
          <w:lang w:val="en-US" w:eastAsia="uk-UA"/>
        </w:rPr>
        <w:t>预算收入总额为</w:t>
      </w:r>
      <w:r>
        <w:rPr>
          <w:rFonts w:hint="eastAsia" w:eastAsia="方正仿宋_GBK"/>
          <w:color w:val="000000"/>
          <w:sz w:val="28"/>
          <w:lang w:val="en-US" w:eastAsia="zh-CN"/>
        </w:rPr>
        <w:t>100.65</w:t>
      </w:r>
      <w:r>
        <w:rPr>
          <w:rFonts w:hint="eastAsia" w:eastAsia="方正仿宋_GBK"/>
          <w:color w:val="000000"/>
          <w:sz w:val="28"/>
          <w:lang w:val="en-US" w:eastAsia="uk-UA"/>
        </w:rPr>
        <w:t>万元，其中：一般公共财政拨款收入</w:t>
      </w:r>
      <w:r>
        <w:rPr>
          <w:rFonts w:hint="eastAsia" w:eastAsia="方正仿宋_GBK"/>
          <w:color w:val="000000"/>
          <w:sz w:val="28"/>
          <w:lang w:val="en-US" w:eastAsia="zh-CN"/>
        </w:rPr>
        <w:t>100.65</w:t>
      </w:r>
      <w:r>
        <w:rPr>
          <w:rFonts w:hint="eastAsia" w:eastAsia="方正仿宋_GBK"/>
          <w:color w:val="000000"/>
          <w:sz w:val="28"/>
          <w:lang w:val="en-US" w:eastAsia="uk-UA"/>
        </w:rPr>
        <w:t>万元，政府性基金预算拨款收入0万元，国有资产经营预算拨款收入0万元，其他来源收入0万元。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（二）支出说明</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5"/>
        <w:rPr>
          <w:rFonts w:hint="eastAsia" w:eastAsia="方正仿宋_GBK"/>
          <w:color w:val="000000"/>
          <w:sz w:val="28"/>
          <w:lang w:val="en-US" w:eastAsia="uk-UA"/>
        </w:rPr>
      </w:pPr>
      <w:r>
        <w:rPr>
          <w:rFonts w:hint="eastAsia" w:eastAsia="方正仿宋_GBK"/>
          <w:color w:val="000000"/>
          <w:sz w:val="28"/>
          <w:lang w:val="en-US" w:eastAsia="uk-UA"/>
        </w:rPr>
        <w:t>202</w:t>
      </w:r>
      <w:r>
        <w:rPr>
          <w:rFonts w:hint="eastAsia" w:eastAsia="方正仿宋_GBK"/>
          <w:color w:val="000000"/>
          <w:sz w:val="28"/>
          <w:lang w:val="en-US" w:eastAsia="zh-CN"/>
        </w:rPr>
        <w:t>3</w:t>
      </w:r>
      <w:r>
        <w:rPr>
          <w:rFonts w:hint="eastAsia" w:eastAsia="方正仿宋_GBK"/>
          <w:color w:val="000000"/>
          <w:sz w:val="28"/>
          <w:lang w:val="en-US" w:eastAsia="uk-UA"/>
        </w:rPr>
        <w:t>年安排预算支出</w:t>
      </w:r>
      <w:r>
        <w:rPr>
          <w:rFonts w:hint="eastAsia" w:eastAsia="方正仿宋_GBK"/>
          <w:color w:val="000000"/>
          <w:sz w:val="28"/>
          <w:lang w:val="en-US" w:eastAsia="zh-CN"/>
        </w:rPr>
        <w:t>100.65</w:t>
      </w:r>
      <w:r>
        <w:rPr>
          <w:rFonts w:hint="eastAsia" w:eastAsia="方正仿宋_GBK"/>
          <w:color w:val="000000"/>
          <w:sz w:val="28"/>
          <w:lang w:val="en-US" w:eastAsia="uk-UA"/>
        </w:rPr>
        <w:t>万元，其中：人员支出</w:t>
      </w:r>
      <w:r>
        <w:rPr>
          <w:rFonts w:hint="eastAsia" w:eastAsia="方正仿宋_GBK"/>
          <w:color w:val="000000"/>
          <w:sz w:val="28"/>
          <w:lang w:val="en-US" w:eastAsia="zh-CN"/>
        </w:rPr>
        <w:t>83.92</w:t>
      </w:r>
      <w:r>
        <w:rPr>
          <w:rFonts w:hint="eastAsia" w:eastAsia="方正仿宋_GBK"/>
          <w:color w:val="000000"/>
          <w:sz w:val="28"/>
          <w:lang w:val="en-US" w:eastAsia="uk-UA"/>
        </w:rPr>
        <w:t>万元，日常公用支出</w:t>
      </w:r>
      <w:r>
        <w:rPr>
          <w:rFonts w:hint="eastAsia" w:eastAsia="方正仿宋_GBK"/>
          <w:color w:val="000000"/>
          <w:sz w:val="28"/>
          <w:lang w:val="en-US" w:eastAsia="zh-CN"/>
        </w:rPr>
        <w:t>8.39</w:t>
      </w:r>
      <w:r>
        <w:rPr>
          <w:rFonts w:hint="eastAsia" w:eastAsia="方正仿宋_GBK"/>
          <w:color w:val="000000"/>
          <w:sz w:val="28"/>
          <w:lang w:val="en-US" w:eastAsia="uk-UA"/>
        </w:rPr>
        <w:t>万元。项目支出8.34万元。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（三）比上年增减情况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5"/>
        <w:rPr>
          <w:rFonts w:hint="eastAsia" w:eastAsia="方正仿宋_GBK"/>
          <w:color w:val="000000"/>
          <w:sz w:val="28"/>
          <w:lang w:val="en-US" w:eastAsia="uk-UA"/>
        </w:rPr>
      </w:pPr>
      <w:r>
        <w:rPr>
          <w:rFonts w:hint="eastAsia" w:eastAsia="方正仿宋_GBK"/>
          <w:color w:val="000000"/>
          <w:sz w:val="28"/>
          <w:lang w:val="en-US" w:eastAsia="uk-UA"/>
        </w:rPr>
        <w:t>本年度本</w:t>
      </w:r>
      <w:r>
        <w:rPr>
          <w:rFonts w:hint="eastAsia" w:eastAsia="方正仿宋_GBK"/>
          <w:color w:val="000000"/>
          <w:sz w:val="28"/>
          <w:lang w:val="en-US" w:eastAsia="zh-CN"/>
        </w:rPr>
        <w:t>部门</w:t>
      </w:r>
      <w:r>
        <w:rPr>
          <w:rFonts w:hint="eastAsia" w:eastAsia="方正仿宋_GBK"/>
          <w:color w:val="000000"/>
          <w:sz w:val="28"/>
          <w:lang w:val="en-US" w:eastAsia="uk-UA"/>
        </w:rPr>
        <w:t>预算收支安排</w:t>
      </w:r>
      <w:r>
        <w:rPr>
          <w:rFonts w:hint="eastAsia" w:eastAsia="方正仿宋_GBK"/>
          <w:color w:val="000000"/>
          <w:sz w:val="28"/>
          <w:lang w:val="en-US" w:eastAsia="zh-CN"/>
        </w:rPr>
        <w:t>100.65</w:t>
      </w:r>
      <w:r>
        <w:rPr>
          <w:rFonts w:hint="eastAsia" w:eastAsia="方正仿宋_GBK"/>
          <w:color w:val="000000"/>
          <w:sz w:val="28"/>
          <w:lang w:val="en-US" w:eastAsia="uk-UA"/>
        </w:rPr>
        <w:t>万元，较上年增加</w:t>
      </w:r>
      <w:r>
        <w:rPr>
          <w:rFonts w:hint="eastAsia" w:eastAsia="方正仿宋_GBK"/>
          <w:color w:val="000000"/>
          <w:sz w:val="28"/>
          <w:lang w:val="en-US" w:eastAsia="zh-CN"/>
        </w:rPr>
        <w:t>23.89</w:t>
      </w:r>
      <w:r>
        <w:rPr>
          <w:rFonts w:hint="eastAsia" w:eastAsia="方正仿宋_GBK"/>
          <w:color w:val="000000"/>
          <w:sz w:val="28"/>
          <w:lang w:val="en-US" w:eastAsia="uk-UA"/>
        </w:rPr>
        <w:t>万元。其中基本支出增加</w:t>
      </w:r>
      <w:r>
        <w:rPr>
          <w:rFonts w:hint="eastAsia" w:eastAsia="方正仿宋_GBK"/>
          <w:color w:val="000000"/>
          <w:sz w:val="28"/>
          <w:lang w:val="en-US" w:eastAsia="zh-CN"/>
        </w:rPr>
        <w:t>19.31</w:t>
      </w:r>
      <w:r>
        <w:rPr>
          <w:rFonts w:hint="eastAsia" w:eastAsia="方正仿宋_GBK"/>
          <w:color w:val="000000"/>
          <w:sz w:val="28"/>
          <w:lang w:val="en-US" w:eastAsia="uk-UA"/>
        </w:rPr>
        <w:t>万元，主要是工资的增加。公用经费支出增加</w:t>
      </w:r>
      <w:r>
        <w:rPr>
          <w:rFonts w:hint="eastAsia" w:eastAsia="方正仿宋_GBK"/>
          <w:color w:val="000000"/>
          <w:sz w:val="28"/>
          <w:lang w:val="en-US" w:eastAsia="zh-CN"/>
        </w:rPr>
        <w:t>0.67</w:t>
      </w:r>
      <w:r>
        <w:rPr>
          <w:rFonts w:hint="eastAsia" w:eastAsia="方正仿宋_GBK"/>
          <w:color w:val="000000"/>
          <w:sz w:val="28"/>
          <w:lang w:val="en-US" w:eastAsia="uk-UA"/>
        </w:rPr>
        <w:t>万元，主要是办公经费、差旅费、工会经费、职工福利费的增加。项目支出</w:t>
      </w:r>
      <w:r>
        <w:rPr>
          <w:rFonts w:hint="eastAsia" w:eastAsia="方正仿宋_GBK"/>
          <w:color w:val="000000"/>
          <w:sz w:val="28"/>
          <w:lang w:val="en-US" w:eastAsia="zh-CN"/>
        </w:rPr>
        <w:t>与上年持平</w:t>
      </w:r>
      <w:r>
        <w:rPr>
          <w:rFonts w:hint="eastAsia" w:eastAsia="方正仿宋_GBK"/>
          <w:color w:val="000000"/>
          <w:sz w:val="28"/>
          <w:lang w:val="en-US" w:eastAsia="uk-UA"/>
        </w:rPr>
        <w:t>。</w:t>
      </w:r>
    </w:p>
    <w:p>
      <w:pPr>
        <w:spacing w:line="500" w:lineRule="exact"/>
        <w:ind w:firstLine="560"/>
        <w:rPr>
          <w:rFonts w:eastAsia="方正仿宋_GBK"/>
          <w:color w:val="000000"/>
          <w:sz w:val="28"/>
        </w:rPr>
      </w:pPr>
    </w:p>
    <w:p>
      <w:pPr>
        <w:spacing w:before="10" w:after="10" w:line="360" w:lineRule="auto"/>
        <w:ind w:firstLine="640" w:firstLineChars="200"/>
        <w:outlineLvl w:val="2"/>
      </w:pPr>
      <w:bookmarkStart w:id="11" w:name="_Toc31900"/>
      <w:r>
        <w:rPr>
          <w:rFonts w:ascii="黑体" w:hAnsi="黑体" w:eastAsia="黑体" w:cs="黑体"/>
          <w:color w:val="000000"/>
          <w:sz w:val="32"/>
        </w:rPr>
        <w:t>三、机关运行经费安排情况</w:t>
      </w:r>
      <w:bookmarkEnd w:id="11"/>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中共涞水县委机构编制委员会办公室</w:t>
      </w:r>
      <w:r>
        <w:rPr>
          <w:rFonts w:hint="eastAsia" w:eastAsia="方正仿宋_GBK"/>
          <w:color w:val="000000"/>
          <w:sz w:val="28"/>
        </w:rPr>
        <w:t>部门预算安排机关运行经费支出</w:t>
      </w:r>
      <w:r>
        <w:rPr>
          <w:rFonts w:hint="eastAsia" w:eastAsia="方正仿宋_GBK"/>
          <w:color w:val="000000"/>
          <w:sz w:val="28"/>
          <w:lang w:val="en-US" w:eastAsia="zh-CN"/>
        </w:rPr>
        <w:t>8.39</w:t>
      </w:r>
      <w:r>
        <w:rPr>
          <w:rFonts w:hint="eastAsia" w:eastAsia="方正仿宋_GBK"/>
          <w:color w:val="000000"/>
          <w:sz w:val="28"/>
        </w:rPr>
        <w:t>万元，其中包括办公费</w:t>
      </w:r>
      <w:r>
        <w:rPr>
          <w:rFonts w:hint="eastAsia" w:eastAsia="方正仿宋_GBK"/>
          <w:color w:val="000000"/>
          <w:sz w:val="28"/>
          <w:lang w:val="en-US" w:eastAsia="zh-CN"/>
        </w:rPr>
        <w:t>1.76</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3.6</w:t>
      </w:r>
      <w:r>
        <w:rPr>
          <w:rFonts w:hint="eastAsia" w:eastAsia="方正仿宋_GBK"/>
          <w:color w:val="000000"/>
          <w:sz w:val="28"/>
        </w:rPr>
        <w:t>万元、工会经费</w:t>
      </w:r>
      <w:r>
        <w:rPr>
          <w:rFonts w:hint="eastAsia" w:eastAsia="方正仿宋_GBK"/>
          <w:color w:val="000000"/>
          <w:sz w:val="28"/>
          <w:lang w:val="en-US" w:eastAsia="zh-CN"/>
        </w:rPr>
        <w:t>0.69</w:t>
      </w:r>
      <w:r>
        <w:rPr>
          <w:rFonts w:hint="eastAsia" w:eastAsia="方正仿宋_GBK"/>
          <w:color w:val="000000"/>
          <w:sz w:val="28"/>
        </w:rPr>
        <w:t>万元、在职人员及退休人员福利费</w:t>
      </w:r>
      <w:r>
        <w:rPr>
          <w:rFonts w:hint="eastAsia" w:eastAsia="方正仿宋_GBK"/>
          <w:color w:val="000000"/>
          <w:sz w:val="28"/>
          <w:lang w:val="en-US" w:eastAsia="zh-CN"/>
        </w:rPr>
        <w:t>1.06</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离、退休人员公用经费0.12万元。</w:t>
      </w:r>
    </w:p>
    <w:p>
      <w:pPr>
        <w:spacing w:before="10" w:after="10" w:line="360" w:lineRule="auto"/>
        <w:ind w:firstLine="640"/>
        <w:outlineLvl w:val="2"/>
      </w:pPr>
      <w:bookmarkStart w:id="12" w:name="_Toc28600"/>
      <w:r>
        <w:rPr>
          <w:rFonts w:ascii="黑体" w:hAnsi="黑体" w:eastAsia="黑体" w:cs="黑体"/>
          <w:color w:val="000000"/>
          <w:sz w:val="32"/>
        </w:rPr>
        <w:t>四、财政拨款“三公”经费预算情况及增减变化原因</w:t>
      </w:r>
      <w:bookmarkEnd w:id="12"/>
    </w:p>
    <w:tbl>
      <w:tblPr>
        <w:tblStyle w:val="8"/>
        <w:tblW w:w="14124" w:type="dxa"/>
        <w:tblInd w:w="0" w:type="dxa"/>
        <w:tblLayout w:type="fixed"/>
        <w:tblCellMar>
          <w:top w:w="0" w:type="dxa"/>
          <w:left w:w="108" w:type="dxa"/>
          <w:bottom w:w="0" w:type="dxa"/>
          <w:right w:w="108" w:type="dxa"/>
        </w:tblCellMar>
      </w:tblPr>
      <w:tblGrid>
        <w:gridCol w:w="2894"/>
        <w:gridCol w:w="1400"/>
        <w:gridCol w:w="1276"/>
        <w:gridCol w:w="2444"/>
        <w:gridCol w:w="6110"/>
      </w:tblGrid>
      <w:tr>
        <w:tblPrEx>
          <w:tblCellMar>
            <w:top w:w="0" w:type="dxa"/>
            <w:left w:w="108" w:type="dxa"/>
            <w:bottom w:w="0" w:type="dxa"/>
            <w:right w:w="108" w:type="dxa"/>
          </w:tblCellMar>
        </w:tblPrEx>
        <w:trPr>
          <w:trHeight w:val="221" w:hRule="atLeast"/>
        </w:trPr>
        <w:tc>
          <w:tcPr>
            <w:tcW w:w="2894" w:type="dxa"/>
            <w:tcBorders>
              <w:top w:val="nil"/>
              <w:left w:val="nil"/>
              <w:bottom w:val="nil"/>
              <w:right w:val="nil"/>
            </w:tcBorders>
            <w:vAlign w:val="center"/>
          </w:tcPr>
          <w:p>
            <w:pPr>
              <w:rPr>
                <w:rFonts w:ascii="宋体" w:hAnsi="宋体" w:eastAsia="宋体" w:cs="宋体"/>
              </w:rPr>
            </w:pPr>
          </w:p>
        </w:tc>
        <w:tc>
          <w:tcPr>
            <w:tcW w:w="1400" w:type="dxa"/>
            <w:tcBorders>
              <w:top w:val="nil"/>
              <w:left w:val="nil"/>
              <w:bottom w:val="nil"/>
              <w:right w:val="nil"/>
            </w:tcBorders>
            <w:vAlign w:val="center"/>
          </w:tcPr>
          <w:p>
            <w:pPr>
              <w:rPr>
                <w:rFonts w:ascii="宋体" w:hAnsi="宋体" w:eastAsia="宋体" w:cs="宋体"/>
              </w:rPr>
            </w:pPr>
          </w:p>
        </w:tc>
        <w:tc>
          <w:tcPr>
            <w:tcW w:w="1276" w:type="dxa"/>
            <w:tcBorders>
              <w:top w:val="nil"/>
              <w:left w:val="nil"/>
              <w:bottom w:val="nil"/>
              <w:right w:val="nil"/>
            </w:tcBorders>
            <w:vAlign w:val="center"/>
          </w:tcPr>
          <w:p>
            <w:pPr>
              <w:rPr>
                <w:rFonts w:ascii="宋体" w:hAnsi="宋体" w:eastAsia="宋体" w:cs="宋体"/>
              </w:rPr>
            </w:pPr>
          </w:p>
        </w:tc>
        <w:tc>
          <w:tcPr>
            <w:tcW w:w="2444" w:type="dxa"/>
            <w:tcBorders>
              <w:top w:val="nil"/>
              <w:left w:val="nil"/>
              <w:bottom w:val="nil"/>
              <w:right w:val="nil"/>
            </w:tcBorders>
            <w:vAlign w:val="center"/>
          </w:tcPr>
          <w:p>
            <w:pPr>
              <w:rPr>
                <w:rFonts w:ascii="宋体" w:hAnsi="宋体" w:eastAsia="宋体" w:cs="宋体"/>
              </w:rPr>
            </w:pPr>
          </w:p>
        </w:tc>
        <w:tc>
          <w:tcPr>
            <w:tcW w:w="611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8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4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11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82"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2"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40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27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5"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40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90"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40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5"/>
      </w:pPr>
    </w:p>
    <w:p>
      <w:pPr>
        <w:spacing w:before="10" w:after="10" w:line="360" w:lineRule="auto"/>
        <w:ind w:firstLine="640"/>
        <w:outlineLvl w:val="2"/>
      </w:pPr>
      <w:bookmarkStart w:id="13" w:name="_Toc13499"/>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30" w:firstLineChars="225"/>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本部门总体绩效目标为巩固拓展机构改革成果。继续对党政部门“三定”规定执行情况进行跟踪，严格落实“三定”规定要求，聚焦主责主业，突出重点关键，推进机构、职能、人员全面融合，着眼推动部门规范履职尽责，建立健全政府部门权责清单动态调整机制。不断深化事业单位改革。严格落实中央和省委、市委、县委决策部署，优化事业单位布局结构，推进机构功能重塑再造和整体效能提升，建立健全事业单位管理制度和机制。巩固承担行政职能事业单位改革成果，统筹推进机构整合撤并。推进开发区管理体制改革。认真做好开发区改革后续工作，严格落实好开发区管理机构清理规范、合理确定各类开发区职能定位、理顺开发区管理机构与各方面职责关系、加强开发区人员编制管理等各项工作。创新公立医院人员编制管理。按照上级机构编制部门统一安排，结合我县实际，积极改革和创新公立医院人员编制管理模式，变编制管理为人员使用控制数管理，转换用人机制，搞活用人制度，激发公立医院发展活力，为实现健康涞水提供体制机制保障。创新机构编制管理方式。按时完成机关事业单位人事管理“一网通办、信息共享”改革，确保涉及信息共享的数据准确、详实和完整，简化办事流程，提升管理效益，充分发挥机构编制在人事管理全流程中基础地位和前置作用。积极探索人才编制“周转池”制度，按照“总量控制，动态调整”的原则，统筹编制资源，通过二次配置调剂用于编制紧缺的单位，提高使用效益，保障公益事业发展。加强事业单位法人登记管理。进一步提升事业单位登记管理服务水平，有效加强监管。为全县机关事业单位完成了中文域名注册管理续费和网站挂标工作。对事业单位改革中所涉及的新组建、撤并单位，主动与相关部门和单位沟通，按政策规定及时办理设立、变更、注销登记，不给改革留尾巴，确保改革到位，完全落地，为改革画上圆满句号。  </w:t>
      </w:r>
    </w:p>
    <w:p>
      <w:pPr>
        <w:spacing w:line="500" w:lineRule="exact"/>
        <w:ind w:firstLine="560"/>
      </w:pPr>
      <w:r>
        <w:rPr>
          <w:rFonts w:eastAsia="方正仿宋_GBK"/>
          <w:color w:val="000000"/>
          <w:sz w:val="28"/>
        </w:rPr>
        <w:t>（二）分项绩效目标</w:t>
      </w:r>
    </w:p>
    <w:p>
      <w:pPr>
        <w:pStyle w:val="27"/>
      </w:pPr>
      <w:r>
        <w:rPr>
          <w:rFonts w:hint="eastAsia"/>
          <w:lang w:eastAsia="zh-CN"/>
        </w:rPr>
        <w:t>1、</w:t>
      </w:r>
      <w:r>
        <w:t>机关办公运转保障</w:t>
      </w:r>
    </w:p>
    <w:p>
      <w:pPr>
        <w:pStyle w:val="27"/>
      </w:pPr>
      <w:r>
        <w:t>保证机关协调运行，下属事业单位工作正常开展，加强人事管理及干部队伍教育培训，做好机关财务和资产管理，实施基础设施建设及维修，严格办公设备购置管理，做好各级会议组织和管理。</w:t>
      </w:r>
    </w:p>
    <w:p>
      <w:pPr>
        <w:pStyle w:val="27"/>
        <w:numPr>
          <w:ilvl w:val="0"/>
          <w:numId w:val="1"/>
        </w:numPr>
        <w:ind w:left="-80" w:leftChars="0" w:firstLineChars="0"/>
        <w:rPr>
          <w:rFonts w:hint="eastAsia"/>
          <w:lang w:val="en-US" w:eastAsia="zh-CN"/>
        </w:rPr>
      </w:pPr>
      <w:r>
        <w:rPr>
          <w:rFonts w:hint="eastAsia"/>
          <w:lang w:val="en-US" w:eastAsia="zh-CN"/>
        </w:rPr>
        <w:t>中文域名维护正常运行</w:t>
      </w:r>
    </w:p>
    <w:p>
      <w:pPr>
        <w:pStyle w:val="27"/>
        <w:numPr>
          <w:ilvl w:val="0"/>
          <w:numId w:val="0"/>
        </w:numPr>
        <w:ind w:firstLine="560" w:firstLineChars="200"/>
      </w:pPr>
      <w:r>
        <w:t>按照省、市财政部门相关政策要求和县委、县政府任务安排，</w:t>
      </w:r>
      <w:r>
        <w:rPr>
          <w:rFonts w:hint="eastAsia" w:ascii="Times New Roman" w:hAnsi="Times New Roman" w:eastAsia="方正仿宋_GBK" w:cs="Times New Roman"/>
          <w:sz w:val="28"/>
          <w:szCs w:val="24"/>
          <w:lang w:val="en-US" w:eastAsia="uk-UA" w:bidi="ar-SA"/>
        </w:rPr>
        <w:t>为全县机关事业单位完成了中文域名注册管理续费和网站挂标工作。</w:t>
      </w:r>
    </w:p>
    <w:p>
      <w:pPr>
        <w:pStyle w:val="27"/>
      </w:pPr>
      <w:r>
        <w:rPr>
          <w:rFonts w:hint="eastAsia"/>
          <w:lang w:eastAsia="zh-CN"/>
        </w:rPr>
        <w:t>3、</w:t>
      </w:r>
      <w:r>
        <w:rPr>
          <w:rFonts w:hint="eastAsia" w:ascii="Times New Roman" w:hAnsi="Times New Roman" w:eastAsia="方正仿宋_GBK" w:cs="Times New Roman"/>
          <w:sz w:val="28"/>
          <w:szCs w:val="24"/>
          <w:lang w:val="en-US" w:eastAsia="uk-UA" w:bidi="ar-SA"/>
        </w:rPr>
        <w:t>不断深化事业单位改革</w:t>
      </w:r>
    </w:p>
    <w:p>
      <w:pPr>
        <w:pStyle w:val="27"/>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严格落实中央和省委、市委、县委决策部署，优化事业单位布局结构，推进机构功能重塑再造和整体效能提升，建立健全事业单位管理制度和机制。巩固承担行政职能事业单位改革成果，统筹推进机构整合撤并。</w:t>
      </w:r>
    </w:p>
    <w:p>
      <w:pPr>
        <w:spacing w:line="500" w:lineRule="exact"/>
        <w:ind w:firstLine="932" w:firstLineChars="333"/>
      </w:pPr>
      <w:r>
        <w:rPr>
          <w:rFonts w:eastAsia="方正仿宋_GBK"/>
          <w:color w:val="000000"/>
          <w:sz w:val="28"/>
        </w:rPr>
        <w:t>（三）工作保障措施</w:t>
      </w:r>
    </w:p>
    <w:p>
      <w:pPr>
        <w:pStyle w:val="28"/>
      </w:pPr>
      <w:r>
        <w:t>为保证年度发展规划目标的实现，特制定以下保障措施：</w:t>
      </w:r>
    </w:p>
    <w:p>
      <w:pPr>
        <w:pStyle w:val="27"/>
        <w:keepNext w:val="0"/>
        <w:keepLines w:val="0"/>
        <w:pageBreakBefore w:val="0"/>
        <w:widowControl/>
        <w:numPr>
          <w:ilvl w:val="0"/>
          <w:numId w:val="0"/>
        </w:numPr>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完善制度建设。</w:t>
      </w:r>
    </w:p>
    <w:p>
      <w:pPr>
        <w:pStyle w:val="27"/>
        <w:keepNext w:val="0"/>
        <w:keepLines w:val="0"/>
        <w:pageBreakBefore w:val="0"/>
        <w:widowControl/>
        <w:numPr>
          <w:ilvl w:val="0"/>
          <w:numId w:val="0"/>
        </w:numPr>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完善预算绩效管理制度、资金管理办法、工作保障制度等，为全年绩效目标的实现奠定制度基础。</w:t>
      </w:r>
    </w:p>
    <w:p>
      <w:pPr>
        <w:pStyle w:val="27"/>
        <w:keepNext w:val="0"/>
        <w:keepLines w:val="0"/>
        <w:pageBreakBefore w:val="0"/>
        <w:widowControl/>
        <w:numPr>
          <w:ilvl w:val="0"/>
          <w:numId w:val="0"/>
        </w:numPr>
        <w:kinsoku/>
        <w:wordWrap/>
        <w:overflowPunct/>
        <w:topLinePunct w:val="0"/>
        <w:autoSpaceDE/>
        <w:autoSpaceDN/>
        <w:bidi w:val="0"/>
        <w:adjustRightInd/>
        <w:snapToGrid/>
        <w:ind w:left="0" w:leftChars="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加强支出管理。</w:t>
      </w:r>
    </w:p>
    <w:p>
      <w:pPr>
        <w:pStyle w:val="27"/>
        <w:keepNext w:val="0"/>
        <w:keepLines w:val="0"/>
        <w:pageBreakBefore w:val="0"/>
        <w:widowControl/>
        <w:numPr>
          <w:ilvl w:val="0"/>
          <w:numId w:val="0"/>
        </w:numPr>
        <w:kinsoku/>
        <w:wordWrap/>
        <w:overflowPunct/>
        <w:topLinePunct w:val="0"/>
        <w:autoSpaceDE/>
        <w:autoSpaceDN/>
        <w:bidi w:val="0"/>
        <w:adjustRightInd/>
        <w:snapToGrid/>
        <w:ind w:left="0" w:leftChars="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优化支出结构、编细编实预算、加快履行政府采购手段、尽快启动项目、及时支付资金、6月底前细化代编预算、按规定及时下达资金等多种措施，确保支出进度达标。</w:t>
      </w:r>
    </w:p>
    <w:p>
      <w:pPr>
        <w:pStyle w:val="27"/>
        <w:keepNext w:val="0"/>
        <w:keepLines w:val="0"/>
        <w:pageBreakBefore w:val="0"/>
        <w:widowControl/>
        <w:numPr>
          <w:ilvl w:val="0"/>
          <w:numId w:val="0"/>
        </w:numPr>
        <w:kinsoku/>
        <w:wordWrap/>
        <w:overflowPunct/>
        <w:topLinePunct w:val="0"/>
        <w:autoSpaceDE/>
        <w:autoSpaceDN/>
        <w:bidi w:val="0"/>
        <w:adjustRightInd/>
        <w:snapToGrid/>
        <w:ind w:left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加强绩效运行监控。</w:t>
      </w:r>
    </w:p>
    <w:p>
      <w:pPr>
        <w:pStyle w:val="27"/>
        <w:keepNext w:val="0"/>
        <w:keepLines w:val="0"/>
        <w:pageBreakBefore w:val="0"/>
        <w:widowControl/>
        <w:numPr>
          <w:ilvl w:val="0"/>
          <w:numId w:val="0"/>
        </w:numPr>
        <w:kinsoku/>
        <w:wordWrap/>
        <w:overflowPunct/>
        <w:topLinePunct w:val="0"/>
        <w:autoSpaceDE/>
        <w:autoSpaceDN/>
        <w:bidi w:val="0"/>
        <w:adjustRightInd/>
        <w:snapToGrid/>
        <w:ind w:left="0" w:leftChars="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按要求开展绩效运行看监控，发现问题及时采取措施，确保绩效目标如期保质实现。</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4、</w:t>
      </w:r>
      <w:r>
        <w:rPr>
          <w:rFonts w:hint="eastAsia" w:ascii="Times New Roman" w:hAnsi="Times New Roman" w:eastAsia="方正仿宋_GBK" w:cs="Times New Roman"/>
          <w:sz w:val="28"/>
          <w:szCs w:val="24"/>
          <w:lang w:val="en-US" w:eastAsia="uk-UA" w:bidi="ar-SA"/>
        </w:rPr>
        <w:t>做好绩效自评。</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按要求开展上年度部门预算绩效自评和重点评价工作，对评价中发现的问题及时整改，调整优化支出结构，提高财政资金使用效益。</w:t>
      </w:r>
    </w:p>
    <w:p>
      <w:pPr>
        <w:pStyle w:val="27"/>
        <w:keepNext w:val="0"/>
        <w:keepLines w:val="0"/>
        <w:pageBreakBefore w:val="0"/>
        <w:widowControl/>
        <w:numPr>
          <w:ilvl w:val="0"/>
          <w:numId w:val="2"/>
        </w:numPr>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规范财务资产管理。</w:t>
      </w:r>
    </w:p>
    <w:p>
      <w:pPr>
        <w:pStyle w:val="27"/>
        <w:keepNext w:val="0"/>
        <w:keepLines w:val="0"/>
        <w:pageBreakBefore w:val="0"/>
        <w:widowControl/>
        <w:numPr>
          <w:ilvl w:val="0"/>
          <w:numId w:val="0"/>
        </w:numPr>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完善财务管理制度，严格审批程序，加强固定资产登记、使用和报废处理管理，做到支出合理，物尽其用。</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加强内部监督。</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cs="Times New Roman"/>
          <w:sz w:val="28"/>
          <w:szCs w:val="24"/>
          <w:lang w:val="en-US" w:eastAsia="uk-UA" w:bidi="ar-SA"/>
        </w:rPr>
      </w:pPr>
      <w:r>
        <w:rPr>
          <w:rFonts w:hint="eastAsia" w:cs="Times New Roman"/>
          <w:sz w:val="28"/>
          <w:szCs w:val="24"/>
          <w:lang w:val="en-US" w:eastAsia="zh-CN" w:bidi="ar-SA"/>
        </w:rPr>
        <w:t>7、</w:t>
      </w:r>
      <w:r>
        <w:rPr>
          <w:rFonts w:hint="eastAsia" w:cs="Times New Roman"/>
          <w:sz w:val="28"/>
          <w:szCs w:val="24"/>
          <w:lang w:val="en-US" w:eastAsia="uk-UA" w:bidi="ar-SA"/>
        </w:rPr>
        <w:t>加强宣传培训调研等。</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uk-UA" w:bidi="ar-SA"/>
        </w:rPr>
        <w:t>加强人员培训，提高本部门职工业务素质；加强调研，提出优化财政资金配置、提高资金使用效益的意见；加大宣传力度，强化预算绩效管理意识，促进预算绩效管理水平进一步提</w:t>
      </w:r>
      <w:r>
        <w:rPr>
          <w:rFonts w:hint="eastAsia" w:ascii="Times New Roman" w:hAnsi="Times New Roman" w:eastAsia="方正仿宋_GBK" w:cs="Times New Roman"/>
          <w:sz w:val="28"/>
          <w:szCs w:val="24"/>
          <w:lang w:val="en-US" w:eastAsia="uk-UA" w:bidi="ar-SA"/>
        </w:rPr>
        <w:t>高。</w:t>
      </w:r>
    </w:p>
    <w:p>
      <w:pPr>
        <w:pStyle w:val="27"/>
        <w:rPr>
          <w:rFonts w:hint="eastAsia" w:ascii="Times New Roman" w:hAnsi="Times New Roman" w:eastAsia="方正仿宋_GBK" w:cs="Times New Roman"/>
          <w:sz w:val="28"/>
          <w:szCs w:val="24"/>
          <w:lang w:val="en-US" w:eastAsia="uk-UA" w:bidi="ar-SA"/>
        </w:rPr>
        <w:sectPr>
          <w:footerReference r:id="rId5" w:type="default"/>
          <w:pgSz w:w="16839" w:h="11907" w:orient="landscape"/>
          <w:pgMar w:top="1304" w:right="1984" w:bottom="1304" w:left="1134" w:header="851" w:footer="992" w:gutter="0"/>
          <w:cols w:space="720" w:num="1"/>
          <w:docGrid w:type="lines" w:linePitch="312" w:charSpace="0"/>
        </w:sectPr>
      </w:pPr>
    </w:p>
    <w:p>
      <w:pPr>
        <w:pStyle w:val="28"/>
      </w:pPr>
    </w:p>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kinsoku/>
        <w:wordWrap/>
        <w:overflowPunct/>
        <w:topLinePunct w:val="0"/>
        <w:autoSpaceDE/>
        <w:autoSpaceDN/>
        <w:bidi w:val="0"/>
        <w:adjustRightInd/>
        <w:snapToGrid/>
        <w:ind w:firstLine="560" w:firstLineChars="200"/>
        <w:textAlignment w:val="auto"/>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中文域名运行</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default" w:eastAsia="方正书宋_GBK"/>
                <w:lang w:val="en-US" w:eastAsia="zh-CN"/>
              </w:rPr>
            </w:pPr>
            <w:r>
              <w:t>1.</w:t>
            </w:r>
            <w:r>
              <w:rPr>
                <w:rFonts w:hint="eastAsia"/>
                <w:lang w:val="en-US" w:eastAsia="zh-CN"/>
              </w:rPr>
              <w:t>保障中文域名正常运行维护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8"/>
            </w:pPr>
            <w:r>
              <w:rPr>
                <w:rFonts w:hint="eastAsia"/>
              </w:rPr>
              <w:t>数量指标</w:t>
            </w:r>
          </w:p>
        </w:tc>
        <w:tc>
          <w:tcPr>
            <w:tcW w:w="2835" w:type="dxa"/>
            <w:vAlign w:val="center"/>
          </w:tcPr>
          <w:p>
            <w:pPr>
              <w:pStyle w:val="18"/>
              <w:jc w:val="left"/>
            </w:pPr>
            <w:r>
              <w:rPr>
                <w:rFonts w:hint="eastAsia"/>
              </w:rPr>
              <w:t>覆盖单位</w:t>
            </w:r>
          </w:p>
        </w:tc>
        <w:tc>
          <w:tcPr>
            <w:tcW w:w="2835" w:type="dxa"/>
            <w:vAlign w:val="center"/>
          </w:tcPr>
          <w:p>
            <w:pPr>
              <w:pStyle w:val="18"/>
              <w:jc w:val="left"/>
            </w:pPr>
            <w:r>
              <w:rPr>
                <w:rFonts w:hint="eastAsia"/>
              </w:rPr>
              <w:t>覆盖单位</w:t>
            </w:r>
          </w:p>
        </w:tc>
        <w:tc>
          <w:tcPr>
            <w:tcW w:w="2551" w:type="dxa"/>
            <w:vAlign w:val="center"/>
          </w:tcPr>
          <w:p>
            <w:pPr>
              <w:pStyle w:val="17"/>
              <w:rPr>
                <w:rFonts w:hint="default"/>
                <w:lang w:val="en-US"/>
              </w:rPr>
            </w:pPr>
            <w:r>
              <w:rPr>
                <w:rFonts w:hint="eastAsia"/>
                <w:lang w:val="en-US" w:eastAsia="zh-CN"/>
              </w:rPr>
              <w:t>342个</w:t>
            </w:r>
          </w:p>
        </w:tc>
        <w:tc>
          <w:tcPr>
            <w:tcW w:w="2268" w:type="dxa"/>
            <w:vAlign w:val="center"/>
          </w:tcPr>
          <w:p>
            <w:pPr>
              <w:pStyle w:val="17"/>
              <w:rPr>
                <w:rFonts w:hint="default"/>
                <w:lang w:val="en-US"/>
              </w:rPr>
            </w:pPr>
            <w:r>
              <w:rPr>
                <w:rFonts w:hint="eastAsia"/>
                <w:lang w:val="en-US" w:eastAsia="zh-CN"/>
              </w:rPr>
              <w:t>行政事业单位个数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jc w:val="left"/>
            </w:pPr>
            <w:r>
              <w:rPr>
                <w:rFonts w:hint="eastAsia"/>
              </w:rPr>
              <w:t>机关运转率（%）</w:t>
            </w:r>
          </w:p>
        </w:tc>
        <w:tc>
          <w:tcPr>
            <w:tcW w:w="2835" w:type="dxa"/>
            <w:vAlign w:val="center"/>
          </w:tcPr>
          <w:p>
            <w:pPr>
              <w:pStyle w:val="18"/>
              <w:jc w:val="left"/>
            </w:pPr>
            <w:r>
              <w:rPr>
                <w:rFonts w:hint="eastAsia"/>
              </w:rPr>
              <w:t>机关运转率（%）</w:t>
            </w:r>
          </w:p>
        </w:tc>
        <w:tc>
          <w:tcPr>
            <w:tcW w:w="2551" w:type="dxa"/>
            <w:vAlign w:val="center"/>
          </w:tcPr>
          <w:p>
            <w:pPr>
              <w:pStyle w:val="17"/>
            </w:pPr>
            <w:r>
              <w:rPr>
                <w:rFonts w:hint="eastAsia"/>
                <w:lang w:val="en-US" w:eastAsia="zh-CN"/>
              </w:rPr>
              <w:t>100%</w:t>
            </w:r>
          </w:p>
        </w:tc>
        <w:tc>
          <w:tcPr>
            <w:tcW w:w="2268" w:type="dxa"/>
            <w:vAlign w:val="center"/>
          </w:tcPr>
          <w:p>
            <w:pPr>
              <w:pStyle w:val="17"/>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vAlign w:val="center"/>
          </w:tcPr>
          <w:p>
            <w:pPr>
              <w:pStyle w:val="18"/>
              <w:jc w:val="left"/>
            </w:pPr>
            <w:r>
              <w:rPr>
                <w:rFonts w:hint="eastAsia"/>
              </w:rPr>
              <w:t>项目按时完成率</w:t>
            </w:r>
          </w:p>
        </w:tc>
        <w:tc>
          <w:tcPr>
            <w:tcW w:w="2835" w:type="dxa"/>
            <w:vAlign w:val="center"/>
          </w:tcPr>
          <w:p>
            <w:pPr>
              <w:pStyle w:val="18"/>
              <w:jc w:val="left"/>
            </w:pPr>
            <w:r>
              <w:rPr>
                <w:rFonts w:hint="eastAsia"/>
              </w:rPr>
              <w:t>项目完成率</w:t>
            </w:r>
          </w:p>
        </w:tc>
        <w:tc>
          <w:tcPr>
            <w:tcW w:w="2551" w:type="dxa"/>
            <w:vAlign w:val="center"/>
          </w:tcPr>
          <w:p>
            <w:pPr>
              <w:pStyle w:val="17"/>
            </w:pPr>
            <w:r>
              <w:t>≥</w:t>
            </w:r>
            <w:r>
              <w:rPr>
                <w:rFonts w:hint="eastAsia"/>
                <w:lang w:val="en-US" w:eastAsia="zh-CN"/>
              </w:rPr>
              <w:t>95</w:t>
            </w:r>
            <w:r>
              <w:t>%</w:t>
            </w:r>
          </w:p>
        </w:tc>
        <w:tc>
          <w:tcPr>
            <w:tcW w:w="2268" w:type="dxa"/>
            <w:vAlign w:val="center"/>
          </w:tcPr>
          <w:p>
            <w:pPr>
              <w:pStyle w:val="17"/>
            </w:pPr>
            <w:r>
              <w:rPr>
                <w:rFonts w:hint="eastAsia"/>
                <w:lang w:val="en-US" w:eastAsia="zh-CN"/>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jc w:val="left"/>
            </w:pPr>
            <w:r>
              <w:rPr>
                <w:rFonts w:hint="eastAsia"/>
              </w:rPr>
              <w:t>预算控制数</w:t>
            </w:r>
          </w:p>
        </w:tc>
        <w:tc>
          <w:tcPr>
            <w:tcW w:w="2835" w:type="dxa"/>
            <w:vAlign w:val="center"/>
          </w:tcPr>
          <w:p>
            <w:pPr>
              <w:pStyle w:val="18"/>
              <w:jc w:val="left"/>
            </w:pPr>
            <w:r>
              <w:rPr>
                <w:rFonts w:hint="eastAsia"/>
              </w:rPr>
              <w:t>预算控制数</w:t>
            </w:r>
          </w:p>
        </w:tc>
        <w:tc>
          <w:tcPr>
            <w:tcW w:w="2551" w:type="dxa"/>
            <w:vAlign w:val="center"/>
          </w:tcPr>
          <w:p>
            <w:pPr>
              <w:pStyle w:val="17"/>
            </w:pPr>
            <w:r>
              <w:t>≤</w:t>
            </w:r>
            <w:r>
              <w:rPr>
                <w:rFonts w:hint="eastAsia"/>
                <w:lang w:val="en-US" w:eastAsia="zh-CN"/>
              </w:rPr>
              <w:t>6.84</w:t>
            </w:r>
            <w:r>
              <w:t>万元</w:t>
            </w:r>
          </w:p>
        </w:tc>
        <w:tc>
          <w:tcPr>
            <w:tcW w:w="2268" w:type="dxa"/>
            <w:vAlign w:val="center"/>
          </w:tcPr>
          <w:p>
            <w:pPr>
              <w:pStyle w:val="17"/>
            </w:pPr>
            <w:r>
              <w:rPr>
                <w:rFonts w:hint="eastAsia"/>
                <w:lang w:val="en-US" w:eastAsia="zh-CN"/>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保障机关单位正常运转</w:t>
            </w:r>
          </w:p>
        </w:tc>
        <w:tc>
          <w:tcPr>
            <w:tcW w:w="2835" w:type="dxa"/>
            <w:vAlign w:val="center"/>
          </w:tcPr>
          <w:p>
            <w:pPr>
              <w:pStyle w:val="18"/>
            </w:pPr>
            <w:r>
              <w:rPr>
                <w:rFonts w:hint="eastAsia"/>
              </w:rPr>
              <w:t>保障机关单位正常运转</w:t>
            </w:r>
          </w:p>
        </w:tc>
        <w:tc>
          <w:tcPr>
            <w:tcW w:w="2551" w:type="dxa"/>
            <w:vAlign w:val="center"/>
          </w:tcPr>
          <w:p>
            <w:pPr>
              <w:pStyle w:val="17"/>
            </w:pPr>
            <w:r>
              <w:rPr>
                <w:rFonts w:hint="eastAsia"/>
                <w:lang w:val="en-US" w:eastAsia="zh-CN"/>
              </w:rPr>
              <w:t>良好</w:t>
            </w:r>
          </w:p>
        </w:tc>
        <w:tc>
          <w:tcPr>
            <w:tcW w:w="2268" w:type="dxa"/>
            <w:vAlign w:val="center"/>
          </w:tcPr>
          <w:p>
            <w:pPr>
              <w:pStyle w:val="17"/>
            </w:pPr>
            <w:r>
              <w:rPr>
                <w:rFonts w:hint="eastAsia"/>
                <w:lang w:val="en-US" w:eastAsia="zh-CN"/>
              </w:rPr>
              <w:t>维护机关正常办公秩序，保障机关正常运转</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2、机关办公运转保障经费绩效目标表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jc w:val="left"/>
              <w:rPr>
                <w:rFonts w:hint="default" w:eastAsia="方正书宋_GBK"/>
                <w:lang w:val="en-US" w:eastAsia="zh-CN"/>
              </w:rPr>
            </w:pPr>
            <w:r>
              <w:rPr>
                <w:rFonts w:hint="eastAsia"/>
                <w:lang w:val="en-US" w:eastAsia="zh-CN"/>
              </w:rPr>
              <w:t>覆盖单位</w:t>
            </w:r>
          </w:p>
        </w:tc>
        <w:tc>
          <w:tcPr>
            <w:tcW w:w="2835" w:type="dxa"/>
            <w:vAlign w:val="center"/>
          </w:tcPr>
          <w:p>
            <w:pPr>
              <w:pStyle w:val="17"/>
              <w:jc w:val="left"/>
              <w:rPr>
                <w:rFonts w:hint="default" w:eastAsia="方正书宋_GBK"/>
                <w:lang w:val="en-US" w:eastAsia="zh-CN"/>
              </w:rPr>
            </w:pPr>
            <w:r>
              <w:rPr>
                <w:rFonts w:hint="eastAsia"/>
                <w:lang w:val="en-US" w:eastAsia="zh-CN"/>
              </w:rPr>
              <w:t>覆盖单位</w:t>
            </w:r>
          </w:p>
        </w:tc>
        <w:tc>
          <w:tcPr>
            <w:tcW w:w="2551" w:type="dxa"/>
            <w:vAlign w:val="center"/>
          </w:tcPr>
          <w:p>
            <w:pPr>
              <w:pStyle w:val="17"/>
              <w:rPr>
                <w:rFonts w:hint="default" w:eastAsia="方正书宋_GBK"/>
                <w:lang w:val="en-US" w:eastAsia="zh-CN"/>
              </w:rPr>
            </w:pPr>
            <w:r>
              <w:rPr>
                <w:rFonts w:hint="eastAsia"/>
                <w:lang w:val="en-US" w:eastAsia="zh-CN"/>
              </w:rPr>
              <w:t>100%</w:t>
            </w:r>
          </w:p>
        </w:tc>
        <w:tc>
          <w:tcPr>
            <w:tcW w:w="2268" w:type="dxa"/>
            <w:vAlign w:val="center"/>
          </w:tcPr>
          <w:p>
            <w:pPr>
              <w:pStyle w:val="17"/>
              <w:rPr>
                <w:rFonts w:hint="default" w:eastAsia="方正书宋_GBK"/>
                <w:lang w:val="en-US" w:eastAsia="zh-CN"/>
              </w:rPr>
            </w:pPr>
            <w:r>
              <w:rPr>
                <w:rFonts w:hint="eastAsia"/>
                <w:lang w:val="en-US" w:eastAsia="zh-CN"/>
              </w:rPr>
              <w:t>保障单位行政事业正常运行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8"/>
              <w:jc w:val="left"/>
            </w:pPr>
            <w:r>
              <w:rPr>
                <w:rFonts w:hint="eastAsia"/>
              </w:rPr>
              <w:t>机关运转率（%）</w:t>
            </w:r>
          </w:p>
        </w:tc>
        <w:tc>
          <w:tcPr>
            <w:tcW w:w="2835" w:type="dxa"/>
            <w:vAlign w:val="center"/>
          </w:tcPr>
          <w:p>
            <w:pPr>
              <w:pStyle w:val="18"/>
              <w:jc w:val="left"/>
            </w:pPr>
            <w:r>
              <w:rPr>
                <w:rFonts w:hint="eastAsia"/>
              </w:rPr>
              <w:t>机关运转率（%）</w:t>
            </w:r>
          </w:p>
        </w:tc>
        <w:tc>
          <w:tcPr>
            <w:tcW w:w="2551" w:type="dxa"/>
            <w:vAlign w:val="center"/>
          </w:tcPr>
          <w:p>
            <w:pPr>
              <w:pStyle w:val="17"/>
            </w:pPr>
            <w:r>
              <w:rPr>
                <w:rFonts w:hint="eastAsia"/>
                <w:lang w:val="en-US" w:eastAsia="zh-CN"/>
              </w:rPr>
              <w:t>100%</w:t>
            </w:r>
          </w:p>
        </w:tc>
        <w:tc>
          <w:tcPr>
            <w:tcW w:w="2268" w:type="dxa"/>
            <w:vAlign w:val="center"/>
          </w:tcPr>
          <w:p>
            <w:pPr>
              <w:pStyle w:val="17"/>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8"/>
              <w:jc w:val="left"/>
            </w:pPr>
            <w:r>
              <w:rPr>
                <w:rFonts w:hint="eastAsia"/>
              </w:rPr>
              <w:t>项目按时完成率</w:t>
            </w:r>
          </w:p>
        </w:tc>
        <w:tc>
          <w:tcPr>
            <w:tcW w:w="2835" w:type="dxa"/>
            <w:vAlign w:val="center"/>
          </w:tcPr>
          <w:p>
            <w:pPr>
              <w:pStyle w:val="18"/>
              <w:jc w:val="left"/>
            </w:pPr>
            <w:r>
              <w:rPr>
                <w:rFonts w:hint="eastAsia"/>
              </w:rPr>
              <w:t>项目完成率</w:t>
            </w:r>
          </w:p>
        </w:tc>
        <w:tc>
          <w:tcPr>
            <w:tcW w:w="2551" w:type="dxa"/>
            <w:vAlign w:val="center"/>
          </w:tcPr>
          <w:p>
            <w:pPr>
              <w:pStyle w:val="17"/>
            </w:pPr>
            <w:r>
              <w:t>≥</w:t>
            </w:r>
            <w:r>
              <w:rPr>
                <w:rFonts w:hint="eastAsia"/>
                <w:lang w:val="en-US" w:eastAsia="zh-CN"/>
              </w:rPr>
              <w:t>95</w:t>
            </w:r>
            <w:r>
              <w:t>%</w:t>
            </w:r>
          </w:p>
        </w:tc>
        <w:tc>
          <w:tcPr>
            <w:tcW w:w="2268" w:type="dxa"/>
            <w:vAlign w:val="center"/>
          </w:tcPr>
          <w:p>
            <w:pPr>
              <w:pStyle w:val="17"/>
              <w:rPr>
                <w:rFonts w:hint="default" w:eastAsia="方正书宋_GBK"/>
                <w:lang w:val="en-US" w:eastAsia="zh-CN"/>
              </w:rPr>
            </w:pPr>
            <w:r>
              <w:rPr>
                <w:rFonts w:hint="eastAsia"/>
                <w:lang w:val="en-US" w:eastAsia="zh-CN"/>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8"/>
              <w:jc w:val="left"/>
            </w:pPr>
            <w:r>
              <w:rPr>
                <w:rFonts w:hint="eastAsia"/>
              </w:rPr>
              <w:t>预算控制数</w:t>
            </w:r>
          </w:p>
        </w:tc>
        <w:tc>
          <w:tcPr>
            <w:tcW w:w="2835" w:type="dxa"/>
            <w:vAlign w:val="center"/>
          </w:tcPr>
          <w:p>
            <w:pPr>
              <w:pStyle w:val="18"/>
              <w:jc w:val="left"/>
            </w:pPr>
            <w:r>
              <w:rPr>
                <w:rFonts w:hint="eastAsia"/>
              </w:rPr>
              <w:t>预算控制数</w:t>
            </w:r>
          </w:p>
        </w:tc>
        <w:tc>
          <w:tcPr>
            <w:tcW w:w="2551" w:type="dxa"/>
            <w:vAlign w:val="center"/>
          </w:tcPr>
          <w:p>
            <w:pPr>
              <w:pStyle w:val="17"/>
            </w:pPr>
            <w:r>
              <w:t>≤</w:t>
            </w:r>
            <w:r>
              <w:rPr>
                <w:rFonts w:hint="eastAsia"/>
                <w:lang w:val="en-US" w:eastAsia="zh-CN"/>
              </w:rPr>
              <w:t>1.5</w:t>
            </w:r>
            <w:r>
              <w:t>万元</w:t>
            </w:r>
          </w:p>
        </w:tc>
        <w:tc>
          <w:tcPr>
            <w:tcW w:w="2268" w:type="dxa"/>
            <w:vAlign w:val="center"/>
          </w:tcPr>
          <w:p>
            <w:pPr>
              <w:pStyle w:val="17"/>
              <w:rPr>
                <w:rFonts w:hint="default" w:eastAsia="方正书宋_GBK"/>
                <w:lang w:val="en-US" w:eastAsia="zh-CN"/>
              </w:rPr>
            </w:pPr>
            <w:r>
              <w:rPr>
                <w:rFonts w:hint="eastAsia"/>
                <w:lang w:val="en-US" w:eastAsia="zh-CN"/>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保障机关单位正常运转</w:t>
            </w:r>
          </w:p>
        </w:tc>
        <w:tc>
          <w:tcPr>
            <w:tcW w:w="2835" w:type="dxa"/>
            <w:vAlign w:val="center"/>
          </w:tcPr>
          <w:p>
            <w:pPr>
              <w:pStyle w:val="18"/>
            </w:pPr>
            <w:r>
              <w:rPr>
                <w:rFonts w:hint="eastAsia"/>
              </w:rPr>
              <w:t>保障机关单位正常运转</w:t>
            </w:r>
          </w:p>
        </w:tc>
        <w:tc>
          <w:tcPr>
            <w:tcW w:w="2551" w:type="dxa"/>
            <w:vAlign w:val="center"/>
          </w:tcPr>
          <w:p>
            <w:pPr>
              <w:pStyle w:val="17"/>
              <w:rPr>
                <w:rFonts w:hint="default" w:eastAsia="方正书宋_GBK"/>
                <w:lang w:val="en-US" w:eastAsia="zh-CN"/>
              </w:rPr>
            </w:pPr>
            <w:r>
              <w:rPr>
                <w:rFonts w:hint="eastAsia"/>
                <w:lang w:val="en-US" w:eastAsia="zh-CN"/>
              </w:rPr>
              <w:t>良好</w:t>
            </w:r>
          </w:p>
        </w:tc>
        <w:tc>
          <w:tcPr>
            <w:tcW w:w="2268" w:type="dxa"/>
            <w:vAlign w:val="center"/>
          </w:tcPr>
          <w:p>
            <w:pPr>
              <w:pStyle w:val="17"/>
              <w:rPr>
                <w:rFonts w:hint="default" w:eastAsia="方正书宋_GBK"/>
                <w:lang w:val="en-US" w:eastAsia="zh-CN"/>
              </w:rPr>
            </w:pPr>
            <w:r>
              <w:rPr>
                <w:rFonts w:hint="eastAsia"/>
                <w:lang w:val="en-US" w:eastAsia="zh-CN"/>
              </w:rPr>
              <w:t>维护机关正常办公秩序，保障机关正常运转</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7901"/>
      <w:r>
        <w:rPr>
          <w:rFonts w:ascii="黑体" w:hAnsi="黑体" w:eastAsia="黑体" w:cs="黑体"/>
          <w:color w:val="000000"/>
          <w:sz w:val="32"/>
        </w:rPr>
        <w:t>六、政府采购预算情况</w:t>
      </w:r>
      <w:bookmarkEnd w:id="14"/>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2023年本部门无政府采购预算，空表列示。</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8"/>
        <w:tblW w:w="145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903"/>
        <w:gridCol w:w="1062"/>
        <w:gridCol w:w="1062"/>
        <w:gridCol w:w="664"/>
        <w:gridCol w:w="796"/>
        <w:gridCol w:w="798"/>
        <w:gridCol w:w="903"/>
        <w:gridCol w:w="903"/>
        <w:gridCol w:w="903"/>
        <w:gridCol w:w="903"/>
        <w:gridCol w:w="903"/>
        <w:gridCol w:w="903"/>
        <w:gridCol w:w="903"/>
        <w:gridCol w:w="905"/>
        <w:gridCol w:w="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30"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382 中共涞水县委机构编制委员会办公室</w:t>
            </w:r>
          </w:p>
        </w:tc>
        <w:tc>
          <w:tcPr>
            <w:tcW w:w="8129"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48" w:type="dxa"/>
            <w:gridSpan w:val="2"/>
            <w:vAlign w:val="center"/>
          </w:tcPr>
          <w:p>
            <w:pPr>
              <w:pStyle w:val="15"/>
            </w:pPr>
            <w:r>
              <w:t>政府采购项目来源</w:t>
            </w:r>
          </w:p>
        </w:tc>
        <w:tc>
          <w:tcPr>
            <w:tcW w:w="1062" w:type="dxa"/>
            <w:vMerge w:val="restart"/>
            <w:vAlign w:val="center"/>
          </w:tcPr>
          <w:p>
            <w:pPr>
              <w:pStyle w:val="15"/>
            </w:pPr>
            <w:r>
              <w:t>采购物品名称</w:t>
            </w:r>
          </w:p>
        </w:tc>
        <w:tc>
          <w:tcPr>
            <w:tcW w:w="1062" w:type="dxa"/>
            <w:vMerge w:val="restart"/>
            <w:vAlign w:val="center"/>
          </w:tcPr>
          <w:p>
            <w:pPr>
              <w:pStyle w:val="15"/>
            </w:pPr>
            <w:r>
              <w:t>政府采购目录序号</w:t>
            </w:r>
          </w:p>
        </w:tc>
        <w:tc>
          <w:tcPr>
            <w:tcW w:w="664" w:type="dxa"/>
            <w:vMerge w:val="restart"/>
            <w:vAlign w:val="center"/>
          </w:tcPr>
          <w:p>
            <w:pPr>
              <w:pStyle w:val="15"/>
            </w:pPr>
            <w:r>
              <w:t>计量  单位</w:t>
            </w:r>
          </w:p>
        </w:tc>
        <w:tc>
          <w:tcPr>
            <w:tcW w:w="796" w:type="dxa"/>
            <w:vMerge w:val="restart"/>
            <w:vAlign w:val="center"/>
          </w:tcPr>
          <w:p>
            <w:pPr>
              <w:pStyle w:val="15"/>
            </w:pPr>
            <w:r>
              <w:t>数量</w:t>
            </w:r>
          </w:p>
        </w:tc>
        <w:tc>
          <w:tcPr>
            <w:tcW w:w="798" w:type="dxa"/>
            <w:vMerge w:val="restart"/>
            <w:vAlign w:val="center"/>
          </w:tcPr>
          <w:p>
            <w:pPr>
              <w:pStyle w:val="15"/>
            </w:pPr>
            <w:r>
              <w:t>单价</w:t>
            </w:r>
          </w:p>
        </w:tc>
        <w:tc>
          <w:tcPr>
            <w:tcW w:w="7226" w:type="dxa"/>
            <w:gridSpan w:val="8"/>
            <w:vAlign w:val="center"/>
          </w:tcPr>
          <w:p>
            <w:pPr>
              <w:pStyle w:val="15"/>
            </w:pPr>
            <w:r>
              <w:t>政府采购金额（当年部门预算安排资金）</w:t>
            </w:r>
          </w:p>
        </w:tc>
        <w:tc>
          <w:tcPr>
            <w:tcW w:w="903" w:type="dxa"/>
            <w:vMerge w:val="restart"/>
            <w:vAlign w:val="center"/>
          </w:tcPr>
          <w:p>
            <w:pPr>
              <w:pStyle w:val="15"/>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45" w:type="dxa"/>
            <w:vAlign w:val="center"/>
          </w:tcPr>
          <w:p>
            <w:pPr>
              <w:pStyle w:val="15"/>
            </w:pPr>
            <w:r>
              <w:t>项目名称</w:t>
            </w:r>
          </w:p>
        </w:tc>
        <w:tc>
          <w:tcPr>
            <w:tcW w:w="903" w:type="dxa"/>
            <w:vAlign w:val="center"/>
          </w:tcPr>
          <w:p>
            <w:pPr>
              <w:pStyle w:val="15"/>
            </w:pPr>
            <w:r>
              <w:t>预算    资金</w:t>
            </w:r>
          </w:p>
        </w:tc>
        <w:tc>
          <w:tcPr>
            <w:tcW w:w="1062" w:type="dxa"/>
            <w:vMerge w:val="continue"/>
          </w:tcPr>
          <w:p/>
        </w:tc>
        <w:tc>
          <w:tcPr>
            <w:tcW w:w="1062" w:type="dxa"/>
            <w:vMerge w:val="continue"/>
          </w:tcPr>
          <w:p/>
        </w:tc>
        <w:tc>
          <w:tcPr>
            <w:tcW w:w="664" w:type="dxa"/>
            <w:vMerge w:val="continue"/>
          </w:tcPr>
          <w:p/>
        </w:tc>
        <w:tc>
          <w:tcPr>
            <w:tcW w:w="796" w:type="dxa"/>
            <w:vMerge w:val="continue"/>
          </w:tcPr>
          <w:p/>
        </w:tc>
        <w:tc>
          <w:tcPr>
            <w:tcW w:w="798" w:type="dxa"/>
            <w:vMerge w:val="continue"/>
          </w:tcPr>
          <w:p/>
        </w:tc>
        <w:tc>
          <w:tcPr>
            <w:tcW w:w="903" w:type="dxa"/>
            <w:vAlign w:val="center"/>
          </w:tcPr>
          <w:p>
            <w:pPr>
              <w:pStyle w:val="15"/>
            </w:pPr>
            <w:r>
              <w:t>合计</w:t>
            </w:r>
          </w:p>
        </w:tc>
        <w:tc>
          <w:tcPr>
            <w:tcW w:w="903" w:type="dxa"/>
            <w:vAlign w:val="center"/>
          </w:tcPr>
          <w:p>
            <w:pPr>
              <w:pStyle w:val="15"/>
            </w:pPr>
            <w:r>
              <w:t>一般公共预算拨款</w:t>
            </w:r>
          </w:p>
        </w:tc>
        <w:tc>
          <w:tcPr>
            <w:tcW w:w="903" w:type="dxa"/>
            <w:vAlign w:val="center"/>
          </w:tcPr>
          <w:p>
            <w:pPr>
              <w:pStyle w:val="15"/>
            </w:pPr>
            <w:r>
              <w:t>基金预算拨款</w:t>
            </w:r>
          </w:p>
        </w:tc>
        <w:tc>
          <w:tcPr>
            <w:tcW w:w="903" w:type="dxa"/>
            <w:vAlign w:val="center"/>
          </w:tcPr>
          <w:p>
            <w:pPr>
              <w:pStyle w:val="15"/>
            </w:pPr>
            <w:r>
              <w:t>国有资本经营预算拨款</w:t>
            </w:r>
          </w:p>
        </w:tc>
        <w:tc>
          <w:tcPr>
            <w:tcW w:w="903" w:type="dxa"/>
            <w:vAlign w:val="center"/>
          </w:tcPr>
          <w:p>
            <w:pPr>
              <w:pStyle w:val="15"/>
            </w:pPr>
            <w:r>
              <w:t>财政专户核拨</w:t>
            </w:r>
          </w:p>
        </w:tc>
        <w:tc>
          <w:tcPr>
            <w:tcW w:w="903" w:type="dxa"/>
            <w:vAlign w:val="center"/>
          </w:tcPr>
          <w:p>
            <w:pPr>
              <w:pStyle w:val="15"/>
            </w:pPr>
            <w:r>
              <w:t>单位    资金</w:t>
            </w:r>
          </w:p>
        </w:tc>
        <w:tc>
          <w:tcPr>
            <w:tcW w:w="903" w:type="dxa"/>
            <w:vAlign w:val="center"/>
          </w:tcPr>
          <w:p>
            <w:pPr>
              <w:pStyle w:val="15"/>
            </w:pPr>
            <w:r>
              <w:t>财政拨    款结转</w:t>
            </w:r>
          </w:p>
        </w:tc>
        <w:tc>
          <w:tcPr>
            <w:tcW w:w="905" w:type="dxa"/>
            <w:vAlign w:val="center"/>
          </w:tcPr>
          <w:p>
            <w:pPr>
              <w:pStyle w:val="15"/>
            </w:pPr>
            <w:r>
              <w:t>非财政    拨款结    转结余</w:t>
            </w:r>
          </w:p>
        </w:tc>
        <w:tc>
          <w:tcPr>
            <w:tcW w:w="9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jc w:val="center"/>
        </w:trPr>
        <w:tc>
          <w:tcPr>
            <w:tcW w:w="1145" w:type="dxa"/>
            <w:vAlign w:val="center"/>
          </w:tcPr>
          <w:p>
            <w:pPr>
              <w:pStyle w:val="19"/>
            </w:pPr>
            <w:r>
              <w:t>合  计</w:t>
            </w:r>
          </w:p>
        </w:tc>
        <w:tc>
          <w:tcPr>
            <w:tcW w:w="903" w:type="dxa"/>
            <w:vAlign w:val="center"/>
          </w:tcPr>
          <w:p>
            <w:pPr>
              <w:pStyle w:val="20"/>
            </w:pPr>
          </w:p>
        </w:tc>
        <w:tc>
          <w:tcPr>
            <w:tcW w:w="1062" w:type="dxa"/>
            <w:vAlign w:val="center"/>
          </w:tcPr>
          <w:p>
            <w:pPr>
              <w:pStyle w:val="21"/>
            </w:pPr>
          </w:p>
        </w:tc>
        <w:tc>
          <w:tcPr>
            <w:tcW w:w="1062" w:type="dxa"/>
            <w:vAlign w:val="center"/>
          </w:tcPr>
          <w:p>
            <w:pPr>
              <w:pStyle w:val="21"/>
            </w:pPr>
          </w:p>
        </w:tc>
        <w:tc>
          <w:tcPr>
            <w:tcW w:w="664" w:type="dxa"/>
            <w:vAlign w:val="center"/>
          </w:tcPr>
          <w:p>
            <w:pPr>
              <w:pStyle w:val="19"/>
            </w:pPr>
          </w:p>
        </w:tc>
        <w:tc>
          <w:tcPr>
            <w:tcW w:w="796" w:type="dxa"/>
            <w:vAlign w:val="center"/>
          </w:tcPr>
          <w:p>
            <w:pPr>
              <w:pStyle w:val="20"/>
            </w:pPr>
          </w:p>
        </w:tc>
        <w:tc>
          <w:tcPr>
            <w:tcW w:w="798"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5" w:type="dxa"/>
            <w:vAlign w:val="center"/>
          </w:tcPr>
          <w:p>
            <w:pPr>
              <w:pStyle w:val="20"/>
            </w:pPr>
          </w:p>
        </w:tc>
        <w:tc>
          <w:tcPr>
            <w:tcW w:w="90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jc w:val="center"/>
        </w:trPr>
        <w:tc>
          <w:tcPr>
            <w:tcW w:w="1145" w:type="dxa"/>
            <w:vAlign w:val="center"/>
          </w:tcPr>
          <w:p>
            <w:pPr>
              <w:pStyle w:val="19"/>
            </w:pPr>
          </w:p>
        </w:tc>
        <w:tc>
          <w:tcPr>
            <w:tcW w:w="903" w:type="dxa"/>
            <w:vAlign w:val="center"/>
          </w:tcPr>
          <w:p>
            <w:pPr>
              <w:pStyle w:val="20"/>
            </w:pPr>
          </w:p>
        </w:tc>
        <w:tc>
          <w:tcPr>
            <w:tcW w:w="1062" w:type="dxa"/>
            <w:vAlign w:val="center"/>
          </w:tcPr>
          <w:p>
            <w:pPr>
              <w:pStyle w:val="21"/>
            </w:pPr>
          </w:p>
        </w:tc>
        <w:tc>
          <w:tcPr>
            <w:tcW w:w="1062" w:type="dxa"/>
            <w:vAlign w:val="center"/>
          </w:tcPr>
          <w:p>
            <w:pPr>
              <w:pStyle w:val="21"/>
            </w:pPr>
          </w:p>
        </w:tc>
        <w:tc>
          <w:tcPr>
            <w:tcW w:w="664" w:type="dxa"/>
            <w:vAlign w:val="center"/>
          </w:tcPr>
          <w:p>
            <w:pPr>
              <w:pStyle w:val="19"/>
            </w:pPr>
          </w:p>
        </w:tc>
        <w:tc>
          <w:tcPr>
            <w:tcW w:w="796" w:type="dxa"/>
            <w:vAlign w:val="center"/>
          </w:tcPr>
          <w:p>
            <w:pPr>
              <w:pStyle w:val="20"/>
            </w:pPr>
          </w:p>
        </w:tc>
        <w:tc>
          <w:tcPr>
            <w:tcW w:w="798"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5" w:type="dxa"/>
            <w:vAlign w:val="center"/>
          </w:tcPr>
          <w:p>
            <w:pPr>
              <w:pStyle w:val="20"/>
            </w:pPr>
          </w:p>
        </w:tc>
        <w:tc>
          <w:tcPr>
            <w:tcW w:w="903" w:type="dxa"/>
            <w:vAlign w:val="center"/>
          </w:tcPr>
          <w:p>
            <w:pPr>
              <w:pStyle w:val="20"/>
            </w:pPr>
          </w:p>
        </w:tc>
      </w:tr>
    </w:tbl>
    <w:p>
      <w:pPr>
        <w:spacing w:before="10" w:after="10"/>
        <w:ind w:firstLine="640"/>
        <w:outlineLvl w:val="2"/>
        <w:rPr>
          <w:rFonts w:ascii="黑体" w:hAnsi="黑体" w:eastAsia="黑体" w:cs="黑体"/>
          <w:color w:val="000000"/>
          <w:sz w:val="32"/>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同一采购目录序号的物品，其单价会因配置规格不同而变动，均符合资产配置标准。涉密采购事项按照相关规定执行。</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val="en-US" w:eastAsia="zh-CN"/>
        </w:rPr>
        <w:t>部门政府采购预算</w:t>
      </w:r>
      <w:r>
        <w:rPr>
          <w:rFonts w:ascii="方正书宋_GBK" w:hAnsi="方正书宋_GBK" w:eastAsia="方正书宋_GBK" w:cs="方正书宋_GBK"/>
          <w:color w:val="000000"/>
          <w:sz w:val="21"/>
        </w:rPr>
        <w:t>情况，空表列示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bookmarkStart w:id="15" w:name="_Toc14440"/>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5"/>
    </w:p>
    <w:p>
      <w:pPr>
        <w:spacing w:line="520" w:lineRule="exact"/>
        <w:ind w:firstLine="560" w:firstLineChars="200"/>
        <w:rPr>
          <w:rFonts w:hint="eastAsia" w:eastAsia="方正仿宋_GBK"/>
          <w:color w:val="000000"/>
          <w:sz w:val="28"/>
          <w:lang w:val="en-US" w:eastAsia="zh-CN"/>
        </w:rPr>
      </w:pPr>
      <w:r>
        <w:rPr>
          <w:rFonts w:hint="eastAsia" w:eastAsia="方正仿宋_GBK"/>
          <w:color w:val="000000"/>
          <w:sz w:val="28"/>
          <w:lang w:val="en-US" w:eastAsia="zh-CN"/>
        </w:rPr>
        <w:t>中共涞水县委机构编制委员会办公室</w:t>
      </w:r>
      <w:r>
        <w:rPr>
          <w:rFonts w:eastAsia="方正仿宋_GBK"/>
          <w:color w:val="000000"/>
          <w:sz w:val="28"/>
        </w:rPr>
        <w:t>（含所属单位）上年末固定资产金额为</w:t>
      </w:r>
      <w:r>
        <w:rPr>
          <w:rFonts w:hint="eastAsia" w:eastAsia="方正仿宋_GBK"/>
          <w:color w:val="000000"/>
          <w:sz w:val="28"/>
          <w:lang w:val="en-US" w:eastAsia="zh-CN"/>
        </w:rPr>
        <w:t>1.07</w:t>
      </w:r>
      <w:r>
        <w:rPr>
          <w:rFonts w:eastAsia="方正仿宋_GBK"/>
          <w:color w:val="000000"/>
          <w:sz w:val="28"/>
        </w:rPr>
        <w:t>万元（</w:t>
      </w:r>
      <w:r>
        <w:rPr>
          <w:rFonts w:hint="eastAsia" w:eastAsia="方正仿宋_GBK"/>
          <w:color w:val="000000"/>
          <w:sz w:val="28"/>
          <w:lang w:val="en-US" w:eastAsia="zh-CN"/>
        </w:rPr>
        <w:t>详见下表）。2023年无拟购置固定资产计划。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1.07</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6" w:name="_Toc6561"/>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2902"/>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2</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E455A"/>
    <w:multiLevelType w:val="singleLevel"/>
    <w:tmpl w:val="A53E455A"/>
    <w:lvl w:ilvl="0" w:tentative="0">
      <w:start w:val="2"/>
      <w:numFmt w:val="decimal"/>
      <w:suff w:val="nothing"/>
      <w:lvlText w:val="%1、"/>
      <w:lvlJc w:val="left"/>
      <w:pPr>
        <w:ind w:left="-80"/>
      </w:pPr>
    </w:lvl>
  </w:abstractNum>
  <w:abstractNum w:abstractNumId="1">
    <w:nsid w:val="DE51BD5E"/>
    <w:multiLevelType w:val="singleLevel"/>
    <w:tmpl w:val="DE51BD5E"/>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jMDFhM2EwMTc3NmIzMGMyZDZmNjU0YTRkOGJkNWE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430275A"/>
    <w:rsid w:val="05443F6F"/>
    <w:rsid w:val="054B4674"/>
    <w:rsid w:val="070A6B90"/>
    <w:rsid w:val="083523BD"/>
    <w:rsid w:val="08971D17"/>
    <w:rsid w:val="0AEE0E67"/>
    <w:rsid w:val="0B7A69B0"/>
    <w:rsid w:val="0C4C20FB"/>
    <w:rsid w:val="0F5C64E6"/>
    <w:rsid w:val="0FE65409"/>
    <w:rsid w:val="12D469A6"/>
    <w:rsid w:val="14B940A6"/>
    <w:rsid w:val="152E6419"/>
    <w:rsid w:val="153D46E4"/>
    <w:rsid w:val="170D2487"/>
    <w:rsid w:val="17691477"/>
    <w:rsid w:val="191243EA"/>
    <w:rsid w:val="1A2D0BE5"/>
    <w:rsid w:val="1B9F1CAA"/>
    <w:rsid w:val="1C3B1844"/>
    <w:rsid w:val="1F001077"/>
    <w:rsid w:val="20045221"/>
    <w:rsid w:val="20D06CC0"/>
    <w:rsid w:val="214E4144"/>
    <w:rsid w:val="21585C6E"/>
    <w:rsid w:val="23005595"/>
    <w:rsid w:val="24474D05"/>
    <w:rsid w:val="256A4F48"/>
    <w:rsid w:val="26150C1F"/>
    <w:rsid w:val="26992D6A"/>
    <w:rsid w:val="272A774D"/>
    <w:rsid w:val="27B30561"/>
    <w:rsid w:val="27E2170E"/>
    <w:rsid w:val="28603A18"/>
    <w:rsid w:val="29C966E1"/>
    <w:rsid w:val="2A1831C5"/>
    <w:rsid w:val="2C7F0D48"/>
    <w:rsid w:val="2DAD2ACA"/>
    <w:rsid w:val="311346E6"/>
    <w:rsid w:val="32244352"/>
    <w:rsid w:val="327613D0"/>
    <w:rsid w:val="337F7F5C"/>
    <w:rsid w:val="36F471F6"/>
    <w:rsid w:val="37466412"/>
    <w:rsid w:val="37CF26CA"/>
    <w:rsid w:val="38E975F1"/>
    <w:rsid w:val="3B2D1AC7"/>
    <w:rsid w:val="3DAD062C"/>
    <w:rsid w:val="3DC34688"/>
    <w:rsid w:val="43A833B4"/>
    <w:rsid w:val="45DF01E8"/>
    <w:rsid w:val="482D5219"/>
    <w:rsid w:val="484477A4"/>
    <w:rsid w:val="48BA73C9"/>
    <w:rsid w:val="49644254"/>
    <w:rsid w:val="4A0F6DB7"/>
    <w:rsid w:val="4A6E08DD"/>
    <w:rsid w:val="4B8B4870"/>
    <w:rsid w:val="4BEA27BB"/>
    <w:rsid w:val="4C433C79"/>
    <w:rsid w:val="4C852DC9"/>
    <w:rsid w:val="4C8B54B2"/>
    <w:rsid w:val="4D7B0BFC"/>
    <w:rsid w:val="4EE6336E"/>
    <w:rsid w:val="558F7F2F"/>
    <w:rsid w:val="55BC165F"/>
    <w:rsid w:val="55EF0418"/>
    <w:rsid w:val="56DD7DD0"/>
    <w:rsid w:val="5B01542B"/>
    <w:rsid w:val="5CFD7E74"/>
    <w:rsid w:val="5E015742"/>
    <w:rsid w:val="618868A7"/>
    <w:rsid w:val="63041F5D"/>
    <w:rsid w:val="65362175"/>
    <w:rsid w:val="65975655"/>
    <w:rsid w:val="679D64DC"/>
    <w:rsid w:val="691A2556"/>
    <w:rsid w:val="6AF00F3A"/>
    <w:rsid w:val="6AF72513"/>
    <w:rsid w:val="6B661525"/>
    <w:rsid w:val="6C384A25"/>
    <w:rsid w:val="6EA17455"/>
    <w:rsid w:val="755723C0"/>
    <w:rsid w:val="75D24853"/>
    <w:rsid w:val="79815C5D"/>
    <w:rsid w:val="7A54413B"/>
    <w:rsid w:val="7ACE4ED2"/>
    <w:rsid w:val="7B66515F"/>
    <w:rsid w:val="7BD627E1"/>
    <w:rsid w:val="7CB41EA6"/>
    <w:rsid w:val="7D1E37C3"/>
    <w:rsid w:val="7FCB5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C864F1CC-9C8C-41E6-8FD8-C85E12A44050}">
  <ds:schemaRefs/>
</ds:datastoreItem>
</file>

<file path=customXml/itemProps10.xml><?xml version="1.0" encoding="utf-8"?>
<ds:datastoreItem xmlns:ds="http://schemas.openxmlformats.org/officeDocument/2006/customXml" ds:itemID="{1C4E702D-2594-4689-8404-84AFD7E73E5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C66F43F9-0AB8-4241-BA67-D8AE60CF6C21}">
  <ds:schemaRefs/>
</ds:datastoreItem>
</file>

<file path=customXml/itemProps15.xml><?xml version="1.0" encoding="utf-8"?>
<ds:datastoreItem xmlns:ds="http://schemas.openxmlformats.org/officeDocument/2006/customXml" ds:itemID="{989DA21E-0CDF-4E3D-84F6-1D172BF7F4B9}">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127F30A9-AC64-4000-970B-04BBBAF6782F}">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6C8F0DDD-DA95-49D7-BEC9-54BED6023821}">
  <ds:schemaRefs/>
</ds:datastoreItem>
</file>

<file path=customXml/itemProps27.xml><?xml version="1.0" encoding="utf-8"?>
<ds:datastoreItem xmlns:ds="http://schemas.openxmlformats.org/officeDocument/2006/customXml" ds:itemID="{DD8D39B1-E032-4B64-9020-66CD65ABCD3B}">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8034E79-3EC9-4FB4-8900-8DB566ED87F2}">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907DF196-29BA-4F64-A2E6-9B891D8DA970}">
  <ds:schemaRefs/>
</ds:datastoreItem>
</file>

<file path=customXml/itemProps35.xml><?xml version="1.0" encoding="utf-8"?>
<ds:datastoreItem xmlns:ds="http://schemas.openxmlformats.org/officeDocument/2006/customXml" ds:itemID="{BF249A3C-5046-4792-B1C7-86A45BD0F7B3}">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5A60376-5F1A-4B58-BE70-A0B8CD8AC39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B52E45D6-0F3C-4B21-B161-FA591631F8EB}">
  <ds:schemaRefs/>
</ds:datastoreItem>
</file>

<file path=customXml/itemProps5.xml><?xml version="1.0" encoding="utf-8"?>
<ds:datastoreItem xmlns:ds="http://schemas.openxmlformats.org/officeDocument/2006/customXml" ds:itemID="{335668B4-649C-41E0-BC80-7D94ABF681A2}">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3300B263-A8B2-4577-A8B1-07D060066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7607</Words>
  <Characters>8676</Characters>
  <Lines>107</Lines>
  <Paragraphs>30</Paragraphs>
  <TotalTime>6</TotalTime>
  <ScaleCrop>false</ScaleCrop>
  <LinksUpToDate>false</LinksUpToDate>
  <CharactersWithSpaces>8911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一点儿浩然气</cp:lastModifiedBy>
  <cp:lastPrinted>2023-02-07T01:55:00Z</cp:lastPrinted>
  <dcterms:modified xsi:type="dcterms:W3CDTF">2023-11-10T01:51:56Z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