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utoSpaceDE w:val="0"/>
        <w:autoSpaceDN w:val="0"/>
        <w:adjustRightInd w:val="0"/>
        <w:spacing w:line="560" w:lineRule="exact"/>
        <w:jc w:val="center"/>
        <w:rPr>
          <w:rFonts w:ascii="宋体" w:cs="宋体"/>
          <w:b/>
          <w:bCs/>
          <w:kern w:val="0"/>
          <w:sz w:val="44"/>
          <w:szCs w:val="44"/>
          <w:lang w:val="zh-CN"/>
        </w:rPr>
      </w:pPr>
      <w:r>
        <w:rPr>
          <w:rFonts w:ascii="宋体" w:cs="宋体" w:hint="eastAsia"/>
          <w:b/>
          <w:bCs/>
          <w:kern w:val="0"/>
          <w:sz w:val="44"/>
          <w:szCs w:val="44"/>
          <w:lang w:val="zh-CN"/>
        </w:rPr>
        <w:t>涞水县审计局</w:t>
      </w:r>
    </w:p>
    <w:p>
      <w:pPr>
        <w:autoSpaceDE w:val="0"/>
        <w:autoSpaceDN w:val="0"/>
        <w:adjustRightInd w:val="0"/>
        <w:spacing w:line="560" w:lineRule="exact"/>
        <w:jc w:val="center"/>
        <w:rPr>
          <w:rFonts w:ascii="宋体" w:cs="宋体" w:hint="eastAsia"/>
          <w:b/>
          <w:bCs/>
          <w:kern w:val="0"/>
          <w:sz w:val="44"/>
          <w:szCs w:val="44"/>
          <w:lang w:val="zh-CN"/>
        </w:rPr>
      </w:pPr>
      <w:r>
        <w:rPr>
          <w:rFonts w:ascii="宋体" w:cs="宋体" w:hint="eastAsia"/>
          <w:b/>
          <w:bCs/>
          <w:kern w:val="0"/>
          <w:sz w:val="44"/>
          <w:szCs w:val="44"/>
          <w:lang w:val="zh-CN"/>
        </w:rPr>
        <w:t>2020年部门预算公开有关事项的说明</w:t>
      </w:r>
    </w:p>
    <w:p>
      <w:pPr>
        <w:autoSpaceDE w:val="0"/>
        <w:autoSpaceDN w:val="0"/>
        <w:adjustRightInd w:val="0"/>
        <w:spacing w:line="560" w:lineRule="exact"/>
        <w:jc w:val="left"/>
        <w:rPr>
          <w:rFonts w:ascii="仿宋" w:eastAsia="仿宋" w:cs="仿宋" w:hint="eastAsia"/>
          <w:sz w:val="32"/>
          <w:szCs w:val="32"/>
          <w:lang w:val="zh-CN"/>
        </w:rPr>
      </w:pPr>
      <w:r>
        <w:rPr>
          <w:rFonts w:ascii="宋体" w:eastAsia="仿宋" w:cs="宋体" w:hAnsi="宋体" w:hint="eastAsia"/>
          <w:b/>
          <w:bCs/>
          <w:kern w:val="0"/>
          <w:sz w:val="44"/>
          <w:szCs w:val="44"/>
          <w:lang w:val="en-US" w:eastAsia="zh-CN"/>
        </w:rPr>
        <w:t xml:space="preserve">   </w:t>
      </w:r>
      <w:r>
        <w:rPr>
          <w:rFonts w:ascii="仿宋" w:eastAsia="仿宋" w:cs="仿宋" w:hint="eastAsia"/>
          <w:sz w:val="32"/>
          <w:szCs w:val="32"/>
        </w:rPr>
        <w:t>按照《</w:t>
      </w:r>
      <w:r>
        <w:rPr>
          <w:rFonts w:ascii="仿宋" w:eastAsia="仿宋" w:hint="eastAsia"/>
          <w:color w:val="000000"/>
          <w:sz w:val="32"/>
          <w:szCs w:val="32"/>
        </w:rPr>
        <w:t>中</w:t>
      </w:r>
      <w:r>
        <w:rPr>
          <w:rFonts w:ascii="仿宋" w:eastAsia="仿宋" w:cs="仿宋" w:hint="eastAsia"/>
          <w:sz w:val="32"/>
          <w:szCs w:val="32"/>
        </w:rPr>
        <w:t>华人民共和国预</w:t>
      </w:r>
      <w:r>
        <w:rPr>
          <w:rFonts w:ascii="仿宋" w:eastAsia="仿宋" w:cs="仿宋" w:hint="eastAsia"/>
          <w:sz w:val="32"/>
          <w:szCs w:val="32"/>
        </w:rPr>
        <w:t>算法》、《地方预决算公开操作规程》和《河北省省级预算公开办法》</w:t>
      </w:r>
      <w:bookmarkStart w:id="0" w:name="_GoBack"/>
      <w:bookmarkEnd w:id="0"/>
      <w:r>
        <w:rPr>
          <w:rFonts w:ascii="仿宋" w:eastAsia="仿宋" w:cs="仿宋" w:hint="eastAsia"/>
          <w:sz w:val="32"/>
          <w:szCs w:val="32"/>
        </w:rPr>
        <w:t>规定，现将涞水县审计局2020年部门预算公开如下：</w:t>
      </w:r>
    </w:p>
    <w:p>
      <w:pPr>
        <w:spacing w:line="520" w:lineRule="exact"/>
        <w:jc w:val="left"/>
        <w:rPr>
          <w:rFonts w:ascii="黑体" w:eastAsia="黑体" w:cs="黑体"/>
          <w:bCs/>
          <w:sz w:val="32"/>
          <w:szCs w:val="32"/>
        </w:rPr>
      </w:pPr>
      <w:r>
        <w:rPr>
          <w:rFonts w:ascii="仿宋" w:eastAsia="仿宋" w:cs="仿宋" w:hint="eastAsia"/>
          <w:b/>
          <w:sz w:val="32"/>
          <w:szCs w:val="32"/>
        </w:rPr>
        <w:t xml:space="preserve">   </w:t>
      </w:r>
      <w:r>
        <w:rPr>
          <w:rFonts w:ascii="黑体" w:eastAsia="黑体" w:cs="黑体" w:hint="eastAsia"/>
          <w:bCs/>
          <w:sz w:val="32"/>
          <w:szCs w:val="32"/>
        </w:rPr>
        <w:t xml:space="preserve"> 一、部门职责、机构设置等基本情况</w:t>
      </w:r>
    </w:p>
    <w:p>
      <w:pPr>
        <w:spacing w:line="520" w:lineRule="exact"/>
        <w:jc w:val="left"/>
        <w:rPr>
          <w:rFonts w:ascii="楷体" w:eastAsia="楷体" w:cs="楷体"/>
          <w:sz w:val="32"/>
          <w:szCs w:val="32"/>
        </w:rPr>
      </w:pPr>
      <w:r>
        <w:rPr>
          <w:rFonts w:ascii="楷体" w:eastAsia="楷体" w:cs="楷体" w:hint="eastAsia"/>
          <w:sz w:val="32"/>
          <w:szCs w:val="32"/>
        </w:rPr>
        <w:t xml:space="preserve">  （一）部门职责</w:t>
      </w:r>
    </w:p>
    <w:p>
      <w:pPr>
        <w:spacing w:line="520" w:lineRule="exact"/>
        <w:rPr>
          <w:rFonts w:ascii="仿宋" w:eastAsia="仿宋" w:cs="仿宋"/>
          <w:sz w:val="32"/>
          <w:szCs w:val="32"/>
        </w:rPr>
      </w:pPr>
      <w:r>
        <w:rPr>
          <w:rFonts w:ascii="仿宋" w:eastAsia="仿宋" w:cs="仿宋" w:hint="eastAsia"/>
          <w:sz w:val="32"/>
          <w:szCs w:val="32"/>
        </w:rPr>
        <w:t xml:space="preserve">   根据《涞水县审计局职能配置、内设机构和人员编制规定》，涞水县审计局的主要职责是：</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主管全县审计工作。负责对县级各部门（含所属部门）和乡镇政府预决算执行情况进行审计监督。向政府和市审计局提出审计结果报告，为政府向县人大常委会提交审计机关对预算执行和其他财政收支的审计工作报告提供有关资料。负责对县政府财政收支和法律法规规定属于审计监督范围的财务收支的真实、合法和效益进行审计监督，维护财政经济秩序，提高财政资金使用效益，促进廉政建设，保障全县经济和社会健康发展。</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对国家审计署授权的国有金融、保险机构以及上级审计机关授权或委托我县辖区内的中央、省、市属企业单位的资产、负债和损益进行审计。</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对严重和贪污盗窃、侵占国家财产、严重损失浪费及损害国家利益等行为进行专案审计。</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对各部门、国有金融机构和企事业单位的内部审计进行业务指导和监督。</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对依法独立进行社会审计的中介组织进行指导、监督和管理，对其执行有关财经法规情况进行审计监督。</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对全县党政机关领导干部和国有企业领导人进行经济责任审计。</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负责组织审计工作业务培训。</w:t>
      </w:r>
    </w:p>
    <w:p>
      <w:pPr>
        <w:numPr>
          <w:ilvl w:val="0"/>
          <w:numId w:val="1"/>
        </w:numPr>
        <w:spacing w:line="520" w:lineRule="exact"/>
        <w:ind w:left="0" w:firstLineChars="200" w:firstLine="640"/>
        <w:rPr>
          <w:rFonts w:ascii="仿宋" w:eastAsia="仿宋" w:cs="仿宋"/>
          <w:sz w:val="32"/>
          <w:szCs w:val="32"/>
        </w:rPr>
      </w:pPr>
      <w:r>
        <w:rPr>
          <w:rFonts w:ascii="仿宋" w:eastAsia="仿宋" w:cs="仿宋" w:hint="eastAsia"/>
          <w:sz w:val="32"/>
          <w:szCs w:val="32"/>
        </w:rPr>
        <w:t>承办县委、县政府和上级审计机关交办的其他事项。</w:t>
      </w:r>
    </w:p>
    <w:p>
      <w:pPr>
        <w:spacing w:line="520" w:lineRule="exact"/>
        <w:ind w:firstLineChars="200" w:firstLine="640"/>
        <w:jc w:val="left"/>
        <w:rPr>
          <w:rFonts w:ascii="楷体" w:eastAsia="楷体" w:cs="楷体"/>
          <w:b/>
          <w:bCs/>
          <w:sz w:val="32"/>
          <w:szCs w:val="32"/>
        </w:rPr>
      </w:pPr>
      <w:r>
        <w:rPr>
          <w:rFonts w:ascii="楷体" w:eastAsia="楷体" w:cs="楷体" w:hint="eastAsia"/>
          <w:sz w:val="32"/>
          <w:szCs w:val="32"/>
        </w:rPr>
        <w:t>（二）机构设置情况</w:t>
      </w:r>
      <w:r>
        <w:rPr>
          <w:rFonts w:ascii="楷体" w:eastAsia="楷体" w:cs="楷体" w:hint="eastAsia"/>
          <w:b/>
          <w:bCs/>
          <w:sz w:val="32"/>
          <w:szCs w:val="32"/>
        </w:rPr>
        <w:t>。</w:t>
      </w:r>
    </w:p>
    <w:p>
      <w:pPr>
        <w:spacing w:line="560" w:lineRule="exact"/>
        <w:rPr>
          <w:rFonts w:ascii="仿宋" w:eastAsia="仿宋" w:cs="仿宋"/>
          <w:color w:val="000000"/>
          <w:kern w:val="0"/>
          <w:sz w:val="32"/>
          <w:szCs w:val="32"/>
        </w:rPr>
      </w:pPr>
      <w:r>
        <w:rPr>
          <w:rFonts w:ascii="仿宋" w:eastAsia="仿宋" w:cs="仿宋" w:hint="eastAsia"/>
          <w:sz w:val="32"/>
          <w:szCs w:val="32"/>
        </w:rPr>
        <w:t xml:space="preserve">   </w:t>
      </w:r>
      <w:r>
        <w:rPr>
          <w:rFonts w:ascii="仿宋" w:eastAsia="仿宋" w:cs="仿宋" w:hint="eastAsia"/>
          <w:color w:val="000000"/>
          <w:kern w:val="0"/>
          <w:sz w:val="32"/>
          <w:szCs w:val="32"/>
        </w:rPr>
        <w:t xml:space="preserve">                      部门机构设置情况</w:t>
      </w:r>
    </w:p>
    <w:tbl>
      <w:tblPr>
        <w:jc w:val="left"/>
        <w:tblInd w:w="0" w:type="dxa"/>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23"/>
        <w:gridCol w:w="2927"/>
        <w:gridCol w:w="1924"/>
        <w:gridCol w:w="1925"/>
        <w:gridCol w:w="2301"/>
      </w:tblGrid>
      <w:tr>
        <w:trPr>
          <w:trHeight w:val="567"/>
        </w:trPr>
        <w:tc>
          <w:tcPr>
            <w:tcW w:w="92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序号</w:t>
            </w:r>
          </w:p>
        </w:tc>
        <w:tc>
          <w:tcPr>
            <w:tcW w:w="292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单位名称</w:t>
            </w:r>
          </w:p>
        </w:tc>
        <w:tc>
          <w:tcPr>
            <w:tcW w:w="1924"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单位性质</w:t>
            </w:r>
          </w:p>
        </w:tc>
        <w:tc>
          <w:tcPr>
            <w:tcW w:w="192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单位规格</w:t>
            </w:r>
          </w:p>
        </w:tc>
        <w:tc>
          <w:tcPr>
            <w:tcW w:w="230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经费保障形式</w:t>
            </w:r>
          </w:p>
        </w:tc>
      </w:tr>
      <w:tr>
        <w:trPr>
          <w:trHeight w:val="567"/>
        </w:trPr>
        <w:tc>
          <w:tcPr>
            <w:tcW w:w="92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1</w:t>
            </w:r>
          </w:p>
        </w:tc>
        <w:tc>
          <w:tcPr>
            <w:tcW w:w="292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涞水县审计局</w:t>
            </w:r>
          </w:p>
        </w:tc>
        <w:tc>
          <w:tcPr>
            <w:tcW w:w="1924"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行政</w:t>
            </w:r>
          </w:p>
        </w:tc>
        <w:tc>
          <w:tcPr>
            <w:tcW w:w="192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正科级</w:t>
            </w:r>
          </w:p>
        </w:tc>
        <w:tc>
          <w:tcPr>
            <w:tcW w:w="230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财政拨款</w:t>
            </w:r>
          </w:p>
        </w:tc>
      </w:tr>
      <w:tr>
        <w:trPr>
          <w:trHeight w:val="567"/>
        </w:trPr>
        <w:tc>
          <w:tcPr>
            <w:tcW w:w="92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2</w:t>
            </w:r>
          </w:p>
        </w:tc>
        <w:tc>
          <w:tcPr>
            <w:tcW w:w="292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基建审计服务中心</w:t>
            </w:r>
          </w:p>
        </w:tc>
        <w:tc>
          <w:tcPr>
            <w:tcW w:w="1924"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事业</w:t>
            </w:r>
          </w:p>
        </w:tc>
        <w:tc>
          <w:tcPr>
            <w:tcW w:w="192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股级</w:t>
            </w:r>
          </w:p>
        </w:tc>
        <w:tc>
          <w:tcPr>
            <w:tcW w:w="230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宋体"/>
                <w:color w:val="000000"/>
                <w:kern w:val="0"/>
                <w:sz w:val="32"/>
                <w:szCs w:val="32"/>
              </w:rPr>
            </w:pPr>
            <w:r>
              <w:rPr>
                <w:rFonts w:ascii="仿宋" w:eastAsia="仿宋" w:cs="宋体" w:hint="eastAsia"/>
                <w:color w:val="000000"/>
                <w:kern w:val="0"/>
                <w:sz w:val="32"/>
                <w:szCs w:val="32"/>
              </w:rPr>
              <w:t>自收自支</w:t>
            </w:r>
          </w:p>
        </w:tc>
      </w:tr>
    </w:tbl>
    <w:p>
      <w:pPr>
        <w:spacing w:line="560" w:lineRule="exact"/>
        <w:rPr>
          <w:rFonts w:ascii="仿宋" w:eastAsia="仿宋" w:cs="仿宋"/>
          <w:sz w:val="32"/>
          <w:szCs w:val="32"/>
        </w:rPr>
      </w:pPr>
    </w:p>
    <w:p>
      <w:pPr>
        <w:spacing w:line="520" w:lineRule="exact"/>
        <w:ind w:firstLineChars="200" w:firstLine="640"/>
        <w:jc w:val="left"/>
        <w:rPr>
          <w:rFonts w:ascii="黑体" w:eastAsia="黑体" w:cs="黑体"/>
          <w:bCs/>
          <w:sz w:val="32"/>
          <w:szCs w:val="32"/>
        </w:rPr>
      </w:pPr>
      <w:r>
        <w:rPr>
          <w:rFonts w:ascii="黑体" w:eastAsia="黑体" w:cs="黑体" w:hint="eastAsia"/>
          <w:bCs/>
          <w:sz w:val="32"/>
          <w:szCs w:val="32"/>
        </w:rPr>
        <w:t>二、部门预算安排总体情况</w:t>
      </w:r>
    </w:p>
    <w:p>
      <w:pPr>
        <w:spacing w:line="520" w:lineRule="exact"/>
        <w:ind w:firstLineChars="200" w:firstLine="640"/>
        <w:jc w:val="left"/>
        <w:rPr>
          <w:rFonts w:ascii="楷体" w:eastAsia="楷体" w:cs="楷体"/>
          <w:sz w:val="32"/>
          <w:szCs w:val="32"/>
        </w:rPr>
      </w:pPr>
      <w:r>
        <w:rPr>
          <w:rFonts w:ascii="楷体" w:eastAsia="楷体" w:cs="楷体" w:hint="eastAsia"/>
          <w:sz w:val="32"/>
          <w:szCs w:val="32"/>
        </w:rPr>
        <w:t>（一）收入预算说明</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2020年部门预算财政一般公共预算拨款收入253.66万元，其中财政拨款收入253.66万元。</w:t>
      </w:r>
    </w:p>
    <w:p>
      <w:pPr>
        <w:spacing w:line="520" w:lineRule="exact"/>
        <w:jc w:val="left"/>
        <w:rPr>
          <w:rFonts w:ascii="仿宋" w:eastAsia="仿宋" w:cs="仿宋"/>
          <w:sz w:val="32"/>
          <w:szCs w:val="32"/>
        </w:rPr>
      </w:pPr>
      <w:r>
        <w:rPr>
          <w:rFonts w:ascii="仿宋" w:eastAsia="仿宋" w:cs="仿宋" w:hint="eastAsia"/>
          <w:sz w:val="32"/>
          <w:szCs w:val="32"/>
        </w:rPr>
        <w:t xml:space="preserve">   </w:t>
      </w:r>
      <w:r>
        <w:rPr>
          <w:rFonts w:ascii="楷体" w:eastAsia="楷体" w:cs="楷体" w:hint="eastAsia"/>
          <w:sz w:val="32"/>
          <w:szCs w:val="32"/>
        </w:rPr>
        <w:t>（二）支出预算说明</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2020年部门预算支出总计253.66万元。</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1、基本支出238.66万元，其中人员经费支出183.95万元，日常公用经费支出54.71万元。</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2、项目支出15万元。</w:t>
      </w:r>
    </w:p>
    <w:p>
      <w:pPr>
        <w:tabs>
          <w:tab w:val="left" w:pos="1274"/>
        </w:tabs>
        <w:spacing w:line="520" w:lineRule="exact"/>
        <w:jc w:val="left"/>
        <w:rPr>
          <w:rFonts w:ascii="仿宋" w:eastAsia="仿宋" w:cs="仿宋"/>
          <w:sz w:val="32"/>
          <w:szCs w:val="32"/>
        </w:rPr>
      </w:pPr>
      <w:r>
        <w:rPr>
          <w:rFonts w:ascii="仿宋" w:eastAsia="仿宋" w:cs="仿宋" w:hint="eastAsia"/>
          <w:sz w:val="32"/>
          <w:szCs w:val="32"/>
        </w:rPr>
        <w:t xml:space="preserve">    </w:t>
      </w:r>
      <w:r>
        <w:rPr>
          <w:rFonts w:ascii="楷体" w:eastAsia="楷体" w:cs="楷体" w:hint="eastAsia"/>
          <w:sz w:val="32"/>
          <w:szCs w:val="32"/>
        </w:rPr>
        <w:t>（三）与上年增减情况</w:t>
      </w:r>
    </w:p>
    <w:p>
      <w:pPr>
        <w:tabs>
          <w:tab w:val="left" w:pos="916"/>
        </w:tabs>
        <w:spacing w:line="520" w:lineRule="exact"/>
        <w:ind w:firstLine="640"/>
        <w:jc w:val="left"/>
        <w:rPr>
          <w:rFonts w:ascii="仿宋" w:eastAsia="仿宋" w:cs="仿宋"/>
          <w:sz w:val="32"/>
          <w:szCs w:val="32"/>
        </w:rPr>
      </w:pPr>
      <w:r>
        <w:rPr>
          <w:rFonts w:ascii="仿宋" w:eastAsia="仿宋" w:hint="eastAsia"/>
          <w:sz w:val="32"/>
          <w:szCs w:val="32"/>
        </w:rPr>
        <w:t>本年度预算收支安排253.66万元，较上年减少4.6万元。主要是因为我局</w:t>
      </w:r>
      <w:r>
        <w:rPr>
          <w:rFonts w:ascii="仿宋" w:eastAsia="仿宋" w:cs="仿宋" w:hint="eastAsia"/>
          <w:sz w:val="32"/>
          <w:szCs w:val="32"/>
        </w:rPr>
        <w:t>2020年非税收入计划减少。基本支出减少14.02万元，</w:t>
      </w:r>
      <w:r>
        <w:rPr>
          <w:rFonts w:ascii="仿宋" w:eastAsia="仿宋" w:hint="eastAsia"/>
          <w:sz w:val="32"/>
          <w:szCs w:val="32"/>
        </w:rPr>
        <w:t>主要是县财政规范了我局的绩效工资，落实了相关政策。</w:t>
      </w:r>
      <w:r>
        <w:rPr>
          <w:rFonts w:ascii="仿宋" w:eastAsia="仿宋" w:cs="仿宋" w:hint="eastAsia"/>
          <w:sz w:val="32"/>
          <w:szCs w:val="32"/>
        </w:rPr>
        <w:t>项目支出增加9.42万元，主要是今年聘请中介审计机构,导致项目支出增加。与2019年预算相比，我单位总体今年预算减少4.6万元。</w:t>
      </w:r>
    </w:p>
    <w:p>
      <w:pPr>
        <w:tabs>
          <w:tab w:val="left" w:pos="916"/>
        </w:tabs>
        <w:spacing w:line="520" w:lineRule="exact"/>
        <w:ind w:firstLine="640"/>
        <w:jc w:val="left"/>
        <w:rPr>
          <w:rFonts w:ascii="黑体" w:eastAsia="黑体" w:cs="黑体"/>
          <w:bCs/>
          <w:sz w:val="32"/>
          <w:szCs w:val="32"/>
        </w:rPr>
      </w:pPr>
      <w:r>
        <w:rPr>
          <w:rFonts w:ascii="黑体" w:eastAsia="黑体" w:cs="黑体" w:hint="eastAsia"/>
          <w:bCs/>
          <w:sz w:val="32"/>
          <w:szCs w:val="32"/>
        </w:rPr>
        <w:t>三、机关运行经费安排情况</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我局日常公用经费支出54.71万元：办公费2.84万元，邮电费0.36万元，差旅费2.2万元，公务接待费2万元,劳务费33.07万元,公务用车运行维护费2万元,公务交通补贴7.2万元，工会经费1.55万元，其他商品和服务支出3.49万元。</w:t>
      </w:r>
    </w:p>
    <w:p>
      <w:pPr>
        <w:spacing w:line="520" w:lineRule="exact"/>
        <w:ind w:firstLineChars="200" w:firstLine="640"/>
        <w:jc w:val="left"/>
        <w:rPr>
          <w:rFonts w:ascii="黑体" w:eastAsia="黑体" w:cs="黑体"/>
          <w:bCs/>
          <w:sz w:val="32"/>
          <w:szCs w:val="32"/>
        </w:rPr>
      </w:pPr>
      <w:r>
        <w:rPr>
          <w:rFonts w:ascii="黑体" w:eastAsia="黑体" w:cs="黑体" w:hint="eastAsia"/>
          <w:bCs/>
          <w:sz w:val="32"/>
          <w:szCs w:val="32"/>
        </w:rPr>
        <w:t>四、财政拨款“三公”经费预算情况及增减变化情况</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按照上级文件精神，我局遵照勤俭节约，压缩开支的原则，大大减少公务车运行维护费、公务接待、会议费。</w:t>
      </w:r>
    </w:p>
    <w:p>
      <w:pPr>
        <w:spacing w:line="520" w:lineRule="exact"/>
        <w:ind w:firstLineChars="200" w:firstLine="640"/>
        <w:jc w:val="left"/>
        <w:rPr>
          <w:rFonts w:ascii="楷体" w:eastAsia="楷体" w:cs="楷体"/>
          <w:sz w:val="32"/>
          <w:szCs w:val="32"/>
        </w:rPr>
      </w:pPr>
      <w:r>
        <w:rPr>
          <w:rFonts w:ascii="楷体" w:eastAsia="楷体" w:cs="楷体" w:hint="eastAsia"/>
          <w:sz w:val="32"/>
          <w:szCs w:val="32"/>
        </w:rPr>
        <w:t>（一）因公出国（境）经费</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2019年预算无因公出国经费，2020年预算也未安排因公出国（境）经费。</w:t>
      </w:r>
    </w:p>
    <w:p>
      <w:pPr>
        <w:spacing w:line="520" w:lineRule="exact"/>
        <w:ind w:firstLineChars="200" w:firstLine="640"/>
        <w:jc w:val="left"/>
        <w:rPr>
          <w:rFonts w:ascii="楷体" w:eastAsia="楷体" w:cs="楷体"/>
          <w:sz w:val="32"/>
          <w:szCs w:val="32"/>
        </w:rPr>
      </w:pPr>
      <w:r>
        <w:rPr>
          <w:rFonts w:ascii="楷体" w:eastAsia="楷体" w:cs="楷体" w:hint="eastAsia"/>
          <w:sz w:val="32"/>
          <w:szCs w:val="32"/>
        </w:rPr>
        <w:t>（二）公务接待费</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2020年预算公务接待费安排2万元，相较2019年预算无增减变化。</w:t>
      </w:r>
    </w:p>
    <w:p>
      <w:pPr>
        <w:spacing w:line="520" w:lineRule="exact"/>
        <w:ind w:firstLineChars="200" w:firstLine="640"/>
        <w:jc w:val="left"/>
        <w:rPr>
          <w:rFonts w:ascii="楷体" w:eastAsia="楷体" w:cs="楷体"/>
          <w:sz w:val="32"/>
          <w:szCs w:val="32"/>
        </w:rPr>
      </w:pPr>
      <w:r>
        <w:rPr>
          <w:rFonts w:ascii="楷体" w:eastAsia="楷体" w:cs="楷体" w:hint="eastAsia"/>
          <w:sz w:val="32"/>
          <w:szCs w:val="32"/>
        </w:rPr>
        <w:t>（三）公务用车购置及运行维护费</w:t>
      </w:r>
    </w:p>
    <w:p>
      <w:pPr>
        <w:spacing w:line="520" w:lineRule="exact"/>
        <w:ind w:firstLineChars="200" w:firstLine="640"/>
        <w:jc w:val="left"/>
        <w:rPr>
          <w:rFonts w:ascii="仿宋" w:eastAsia="仿宋" w:cs="仿宋"/>
          <w:sz w:val="32"/>
          <w:szCs w:val="32"/>
        </w:rPr>
      </w:pPr>
      <w:r>
        <w:rPr>
          <w:rFonts w:ascii="仿宋" w:eastAsia="仿宋" w:cs="仿宋" w:hint="eastAsia"/>
          <w:sz w:val="32"/>
          <w:szCs w:val="32"/>
        </w:rPr>
        <w:t>涞水县审计局核定车编1辆，目前实际车辆保有量为1辆。2020年预算安排公务用车运行维护费2万，相较2019年预算</w:t>
      </w:r>
      <w:bookmarkStart w:id="1" w:name="_Toc440642883"/>
      <w:r>
        <w:rPr>
          <w:rFonts w:ascii="仿宋" w:eastAsia="仿宋" w:cs="仿宋" w:hint="eastAsia"/>
          <w:sz w:val="32"/>
          <w:szCs w:val="32"/>
        </w:rPr>
        <w:t>无增减变化。</w:t>
      </w:r>
    </w:p>
    <w:tbl>
      <w:tblPr>
        <w:tblpPr w:leftFromText="180" w:rightFromText="180" w:vertAnchor="text" w:horzAnchor="page" w:tblpX="1219" w:tblpY="800"/>
        <w:tblOverlap w:val="never"/>
        <w:tblW w:w="986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709"/>
        <w:gridCol w:w="1369"/>
        <w:gridCol w:w="1388"/>
        <w:gridCol w:w="1012"/>
        <w:gridCol w:w="2382"/>
      </w:tblGrid>
      <w:tr>
        <w:trPr>
          <w:trHeight w:val="470"/>
        </w:trPr>
        <w:tc>
          <w:tcPr>
            <w:tcW w:w="9860" w:type="dxa"/>
            <w:gridSpan w:val="5"/>
            <w:tcBorders>
              <w:top w:val="nil"/>
              <w:left w:val="nil"/>
              <w:bottom w:val="nil"/>
              <w:right w:val="nil"/>
            </w:tcBorders>
            <w:vAlign w:val="center"/>
          </w:tcPr>
          <w:p>
            <w:pPr>
              <w:widowControl/>
              <w:spacing w:line="520" w:lineRule="exact"/>
              <w:jc w:val="center"/>
              <w:rPr>
                <w:rFonts w:ascii="仿宋" w:eastAsia="仿宋" w:cs="宋体"/>
                <w:kern w:val="0"/>
                <w:sz w:val="32"/>
                <w:szCs w:val="32"/>
              </w:rPr>
            </w:pPr>
            <w:r>
              <w:rPr>
                <w:rFonts w:ascii="仿宋" w:eastAsia="仿宋" w:hint="eastAsia"/>
                <w:sz w:val="32"/>
                <w:szCs w:val="32"/>
              </w:rPr>
              <w:t>“三公”经费预算情况及增减变化原因</w:t>
            </w:r>
          </w:p>
        </w:tc>
      </w:tr>
      <w:tr>
        <w:trPr>
          <w:trHeight w:val="474"/>
        </w:trPr>
        <w:tc>
          <w:tcPr>
            <w:tcW w:w="3709" w:type="dxa"/>
            <w:tcBorders>
              <w:top w:val="nil"/>
              <w:left w:val="nil"/>
              <w:bottom w:val="nil"/>
              <w:right w:val="nil"/>
            </w:tcBorders>
            <w:vAlign w:val="center"/>
          </w:tcPr>
          <w:p>
            <w:pPr>
              <w:widowControl/>
              <w:jc w:val="left"/>
              <w:rPr>
                <w:rFonts w:ascii="仿宋" w:eastAsia="仿宋" w:cs="宋体"/>
                <w:kern w:val="0"/>
                <w:sz w:val="32"/>
                <w:szCs w:val="32"/>
              </w:rPr>
            </w:pPr>
          </w:p>
        </w:tc>
        <w:tc>
          <w:tcPr>
            <w:tcW w:w="1369" w:type="dxa"/>
            <w:tcBorders>
              <w:top w:val="nil"/>
              <w:left w:val="nil"/>
              <w:bottom w:val="nil"/>
              <w:right w:val="nil"/>
            </w:tcBorders>
            <w:vAlign w:val="center"/>
          </w:tcPr>
          <w:p>
            <w:pPr>
              <w:widowControl/>
              <w:jc w:val="left"/>
              <w:rPr>
                <w:rFonts w:ascii="仿宋" w:eastAsia="仿宋" w:cs="宋体"/>
                <w:kern w:val="0"/>
                <w:sz w:val="32"/>
                <w:szCs w:val="32"/>
              </w:rPr>
            </w:pPr>
          </w:p>
        </w:tc>
        <w:tc>
          <w:tcPr>
            <w:tcW w:w="1388" w:type="dxa"/>
            <w:tcBorders>
              <w:top w:val="nil"/>
              <w:left w:val="nil"/>
              <w:bottom w:val="nil"/>
              <w:right w:val="nil"/>
            </w:tcBorders>
            <w:vAlign w:val="center"/>
          </w:tcPr>
          <w:p>
            <w:pPr>
              <w:widowControl/>
              <w:jc w:val="left"/>
              <w:rPr>
                <w:rFonts w:ascii="仿宋" w:eastAsia="仿宋" w:cs="宋体"/>
                <w:kern w:val="0"/>
                <w:sz w:val="32"/>
                <w:szCs w:val="32"/>
              </w:rPr>
            </w:pPr>
          </w:p>
        </w:tc>
        <w:tc>
          <w:tcPr>
            <w:tcW w:w="1012" w:type="dxa"/>
            <w:tcBorders>
              <w:top w:val="nil"/>
              <w:left w:val="nil"/>
              <w:bottom w:val="nil"/>
              <w:right w:val="nil"/>
            </w:tcBorders>
            <w:vAlign w:val="center"/>
          </w:tcPr>
          <w:p>
            <w:pPr>
              <w:widowControl/>
              <w:jc w:val="left"/>
              <w:rPr>
                <w:rFonts w:ascii="仿宋" w:eastAsia="仿宋" w:cs="宋体"/>
                <w:kern w:val="0"/>
                <w:sz w:val="32"/>
                <w:szCs w:val="32"/>
              </w:rPr>
            </w:pPr>
          </w:p>
        </w:tc>
        <w:tc>
          <w:tcPr>
            <w:tcW w:w="2382" w:type="dxa"/>
            <w:tcBorders>
              <w:top w:val="nil"/>
              <w:left w:val="nil"/>
              <w:bottom w:val="nil"/>
              <w:right w:val="nil"/>
            </w:tcBorders>
            <w:vAlign w:val="center"/>
          </w:tcPr>
          <w:p>
            <w:pPr>
              <w:widowControl/>
              <w:jc w:val="right"/>
              <w:rPr>
                <w:rFonts w:ascii="仿宋" w:eastAsia="仿宋" w:cs="宋体"/>
                <w:kern w:val="0"/>
                <w:sz w:val="32"/>
                <w:szCs w:val="32"/>
              </w:rPr>
            </w:pPr>
            <w:r>
              <w:rPr>
                <w:rFonts w:ascii="仿宋" w:eastAsia="仿宋" w:cs="宋体" w:hint="eastAsia"/>
                <w:kern w:val="0"/>
                <w:sz w:val="32"/>
                <w:szCs w:val="32"/>
              </w:rPr>
              <w:t>单位：万元</w:t>
            </w:r>
          </w:p>
        </w:tc>
      </w:tr>
      <w:tr>
        <w:trPr>
          <w:trHeight w:val="454"/>
        </w:trPr>
        <w:tc>
          <w:tcPr>
            <w:tcW w:w="3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项目名称</w:t>
            </w:r>
          </w:p>
        </w:tc>
        <w:tc>
          <w:tcPr>
            <w:tcW w:w="1369" w:type="dxa"/>
            <w:tcBorders>
              <w:top w:val="single" w:sz="4" w:space="0" w:color="auto"/>
              <w:left w:val="nil"/>
              <w:bottom w:val="single" w:sz="4" w:space="0" w:color="auto"/>
              <w:right w:val="single" w:sz="4" w:space="0" w:color="auto"/>
            </w:tcBorders>
            <w:vAlign w:val="center"/>
          </w:tcPr>
          <w:p>
            <w:pPr>
              <w:widowControl/>
              <w:spacing w:line="400" w:lineRule="exact"/>
              <w:jc w:val="center"/>
              <w:rPr>
                <w:rFonts w:ascii="仿宋" w:eastAsia="仿宋" w:cs="宋体"/>
                <w:kern w:val="0"/>
                <w:sz w:val="32"/>
                <w:szCs w:val="32"/>
              </w:rPr>
            </w:pPr>
            <w:r>
              <w:rPr>
                <w:rFonts w:ascii="仿宋" w:eastAsia="仿宋" w:cs="宋体" w:hint="eastAsia"/>
                <w:kern w:val="0"/>
                <w:sz w:val="32"/>
                <w:szCs w:val="32"/>
              </w:rPr>
              <w:t>2019年度预算</w:t>
            </w:r>
          </w:p>
        </w:tc>
        <w:tc>
          <w:tcPr>
            <w:tcW w:w="1388" w:type="dxa"/>
            <w:tcBorders>
              <w:top w:val="single" w:sz="4" w:space="0" w:color="auto"/>
              <w:left w:val="nil"/>
              <w:bottom w:val="single" w:sz="4" w:space="0" w:color="auto"/>
              <w:right w:val="single" w:sz="4" w:space="0" w:color="auto"/>
            </w:tcBorders>
            <w:vAlign w:val="center"/>
          </w:tcPr>
          <w:p>
            <w:pPr>
              <w:widowControl/>
              <w:spacing w:line="400" w:lineRule="exact"/>
              <w:jc w:val="center"/>
              <w:rPr>
                <w:rFonts w:ascii="仿宋" w:eastAsia="仿宋" w:cs="宋体"/>
                <w:kern w:val="0"/>
                <w:sz w:val="32"/>
                <w:szCs w:val="32"/>
              </w:rPr>
            </w:pPr>
            <w:r>
              <w:rPr>
                <w:rFonts w:ascii="仿宋" w:eastAsia="仿宋" w:cs="宋体" w:hint="eastAsia"/>
                <w:kern w:val="0"/>
                <w:sz w:val="32"/>
                <w:szCs w:val="32"/>
              </w:rPr>
              <w:t>2020年度预算</w:t>
            </w:r>
          </w:p>
        </w:tc>
        <w:tc>
          <w:tcPr>
            <w:tcW w:w="1012" w:type="dxa"/>
            <w:tcBorders>
              <w:top w:val="single" w:sz="4" w:space="0" w:color="auto"/>
              <w:left w:val="nil"/>
              <w:bottom w:val="single" w:sz="4" w:space="0" w:color="auto"/>
              <w:right w:val="single" w:sz="4" w:space="0" w:color="auto"/>
            </w:tcBorders>
            <w:vAlign w:val="center"/>
          </w:tcPr>
          <w:p>
            <w:pPr>
              <w:widowControl/>
              <w:spacing w:line="400" w:lineRule="exact"/>
              <w:jc w:val="center"/>
              <w:rPr>
                <w:rFonts w:ascii="仿宋" w:eastAsia="仿宋" w:cs="宋体"/>
                <w:kern w:val="0"/>
                <w:sz w:val="32"/>
                <w:szCs w:val="32"/>
              </w:rPr>
            </w:pPr>
            <w:r>
              <w:rPr>
                <w:rFonts w:ascii="仿宋" w:eastAsia="仿宋" w:cs="宋体" w:hint="eastAsia"/>
                <w:kern w:val="0"/>
                <w:sz w:val="32"/>
                <w:szCs w:val="32"/>
              </w:rPr>
              <w:t>增减金额</w:t>
            </w:r>
          </w:p>
        </w:tc>
        <w:tc>
          <w:tcPr>
            <w:tcW w:w="2382"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变化原因</w:t>
            </w:r>
          </w:p>
        </w:tc>
      </w:tr>
      <w:tr>
        <w:trPr>
          <w:trHeight w:val="454"/>
        </w:trPr>
        <w:tc>
          <w:tcPr>
            <w:tcW w:w="3709" w:type="dxa"/>
            <w:tcBorders>
              <w:top w:val="nil"/>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因公出国经费</w:t>
            </w:r>
          </w:p>
        </w:tc>
        <w:tc>
          <w:tcPr>
            <w:tcW w:w="1369"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1388"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1012"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2382" w:type="dxa"/>
            <w:tcBorders>
              <w:top w:val="nil"/>
              <w:left w:val="nil"/>
              <w:bottom w:val="single" w:sz="4" w:space="0" w:color="auto"/>
              <w:right w:val="single" w:sz="4" w:space="0" w:color="auto"/>
            </w:tcBorders>
            <w:vAlign w:val="center"/>
          </w:tcPr>
          <w:p>
            <w:pPr>
              <w:widowControl/>
              <w:jc w:val="left"/>
              <w:rPr>
                <w:rFonts w:ascii="仿宋" w:eastAsia="仿宋" w:cs="宋体"/>
                <w:kern w:val="0"/>
                <w:sz w:val="32"/>
                <w:szCs w:val="32"/>
              </w:rPr>
            </w:pPr>
            <w:r>
              <w:rPr>
                <w:rFonts w:ascii="仿宋" w:eastAsia="仿宋" w:cs="宋体" w:hint="eastAsia"/>
                <w:kern w:val="0"/>
                <w:sz w:val="32"/>
                <w:szCs w:val="32"/>
              </w:rPr>
              <w:t>无增减变化</w:t>
            </w:r>
          </w:p>
        </w:tc>
      </w:tr>
      <w:tr>
        <w:trPr>
          <w:trHeight w:val="454"/>
        </w:trPr>
        <w:tc>
          <w:tcPr>
            <w:tcW w:w="3709" w:type="dxa"/>
            <w:tcBorders>
              <w:top w:val="nil"/>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公务用车购置经费</w:t>
            </w:r>
          </w:p>
        </w:tc>
        <w:tc>
          <w:tcPr>
            <w:tcW w:w="1369"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1388"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1012"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2382" w:type="dxa"/>
            <w:tcBorders>
              <w:top w:val="nil"/>
              <w:left w:val="nil"/>
              <w:bottom w:val="single" w:sz="4" w:space="0" w:color="auto"/>
              <w:right w:val="single" w:sz="4" w:space="0" w:color="auto"/>
            </w:tcBorders>
            <w:vAlign w:val="center"/>
          </w:tcPr>
          <w:p>
            <w:pPr>
              <w:widowControl/>
              <w:jc w:val="left"/>
              <w:rPr>
                <w:rFonts w:ascii="仿宋" w:eastAsia="仿宋" w:cs="宋体"/>
                <w:kern w:val="0"/>
                <w:sz w:val="32"/>
                <w:szCs w:val="32"/>
              </w:rPr>
            </w:pPr>
            <w:r>
              <w:rPr>
                <w:rFonts w:ascii="仿宋" w:eastAsia="仿宋" w:cs="宋体" w:hint="eastAsia"/>
                <w:kern w:val="0"/>
                <w:sz w:val="32"/>
                <w:szCs w:val="32"/>
              </w:rPr>
              <w:t>无增减变化</w:t>
            </w:r>
          </w:p>
        </w:tc>
      </w:tr>
      <w:tr>
        <w:trPr>
          <w:trHeight w:val="454"/>
        </w:trPr>
        <w:tc>
          <w:tcPr>
            <w:tcW w:w="3709" w:type="dxa"/>
            <w:tcBorders>
              <w:top w:val="nil"/>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公务用车运行经费</w:t>
            </w:r>
          </w:p>
        </w:tc>
        <w:tc>
          <w:tcPr>
            <w:tcW w:w="1369"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2</w:t>
            </w:r>
          </w:p>
        </w:tc>
        <w:tc>
          <w:tcPr>
            <w:tcW w:w="1388"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2</w:t>
            </w:r>
          </w:p>
        </w:tc>
        <w:tc>
          <w:tcPr>
            <w:tcW w:w="1012"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2382" w:type="dxa"/>
            <w:tcBorders>
              <w:top w:val="nil"/>
              <w:left w:val="nil"/>
              <w:bottom w:val="single" w:sz="4" w:space="0" w:color="auto"/>
              <w:right w:val="single" w:sz="4" w:space="0" w:color="auto"/>
            </w:tcBorders>
            <w:vAlign w:val="center"/>
          </w:tcPr>
          <w:p>
            <w:pPr>
              <w:widowControl/>
              <w:jc w:val="left"/>
              <w:rPr>
                <w:rFonts w:ascii="仿宋" w:eastAsia="仿宋" w:cs="宋体"/>
                <w:kern w:val="0"/>
                <w:sz w:val="32"/>
                <w:szCs w:val="32"/>
              </w:rPr>
            </w:pPr>
            <w:r>
              <w:rPr>
                <w:rFonts w:ascii="仿宋" w:eastAsia="仿宋" w:cs="宋体" w:hint="eastAsia"/>
                <w:kern w:val="0"/>
                <w:sz w:val="32"/>
                <w:szCs w:val="32"/>
              </w:rPr>
              <w:t>无增减变化</w:t>
            </w:r>
          </w:p>
        </w:tc>
      </w:tr>
      <w:tr>
        <w:trPr>
          <w:trHeight w:val="454"/>
        </w:trPr>
        <w:tc>
          <w:tcPr>
            <w:tcW w:w="3709" w:type="dxa"/>
            <w:tcBorders>
              <w:top w:val="nil"/>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公务接待费支出</w:t>
            </w:r>
          </w:p>
        </w:tc>
        <w:tc>
          <w:tcPr>
            <w:tcW w:w="1369"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2</w:t>
            </w:r>
          </w:p>
        </w:tc>
        <w:tc>
          <w:tcPr>
            <w:tcW w:w="1388"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2</w:t>
            </w:r>
          </w:p>
        </w:tc>
        <w:tc>
          <w:tcPr>
            <w:tcW w:w="1012" w:type="dxa"/>
            <w:tcBorders>
              <w:top w:val="nil"/>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2382" w:type="dxa"/>
            <w:tcBorders>
              <w:top w:val="nil"/>
              <w:left w:val="nil"/>
              <w:bottom w:val="single" w:sz="4" w:space="0" w:color="auto"/>
              <w:right w:val="single" w:sz="4" w:space="0" w:color="auto"/>
            </w:tcBorders>
            <w:vAlign w:val="center"/>
          </w:tcPr>
          <w:p>
            <w:pPr>
              <w:widowControl/>
              <w:jc w:val="left"/>
              <w:rPr>
                <w:rFonts w:ascii="仿宋" w:eastAsia="仿宋" w:cs="宋体"/>
                <w:kern w:val="0"/>
                <w:sz w:val="32"/>
                <w:szCs w:val="32"/>
              </w:rPr>
            </w:pPr>
            <w:r>
              <w:rPr>
                <w:rFonts w:ascii="仿宋" w:eastAsia="仿宋" w:cs="宋体" w:hint="eastAsia"/>
                <w:kern w:val="0"/>
                <w:sz w:val="32"/>
                <w:szCs w:val="32"/>
              </w:rPr>
              <w:t>无增减变化</w:t>
            </w:r>
          </w:p>
        </w:tc>
      </w:tr>
      <w:tr>
        <w:trPr>
          <w:trHeight w:val="454"/>
        </w:trPr>
        <w:tc>
          <w:tcPr>
            <w:tcW w:w="3709" w:type="dxa"/>
            <w:tcBorders>
              <w:top w:val="single" w:sz="4" w:space="0" w:color="auto"/>
              <w:left w:val="single" w:sz="4" w:space="0" w:color="auto"/>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合计</w:t>
            </w:r>
          </w:p>
        </w:tc>
        <w:tc>
          <w:tcPr>
            <w:tcW w:w="1369"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4</w:t>
            </w:r>
          </w:p>
        </w:tc>
        <w:tc>
          <w:tcPr>
            <w:tcW w:w="1388"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4</w:t>
            </w:r>
          </w:p>
        </w:tc>
        <w:tc>
          <w:tcPr>
            <w:tcW w:w="1012" w:type="dxa"/>
            <w:tcBorders>
              <w:top w:val="single" w:sz="4" w:space="0" w:color="auto"/>
              <w:left w:val="nil"/>
              <w:bottom w:val="single" w:sz="4" w:space="0" w:color="auto"/>
              <w:right w:val="single" w:sz="4" w:space="0" w:color="auto"/>
            </w:tcBorders>
            <w:vAlign w:val="center"/>
          </w:tcPr>
          <w:p>
            <w:pPr>
              <w:widowControl/>
              <w:jc w:val="center"/>
              <w:rPr>
                <w:rFonts w:ascii="仿宋" w:eastAsia="仿宋" w:cs="宋体"/>
                <w:kern w:val="0"/>
                <w:sz w:val="32"/>
                <w:szCs w:val="32"/>
              </w:rPr>
            </w:pPr>
            <w:r>
              <w:rPr>
                <w:rFonts w:ascii="仿宋" w:eastAsia="仿宋" w:cs="宋体" w:hint="eastAsia"/>
                <w:kern w:val="0"/>
                <w:sz w:val="32"/>
                <w:szCs w:val="32"/>
              </w:rPr>
              <w:t>0</w:t>
            </w:r>
          </w:p>
        </w:tc>
        <w:tc>
          <w:tcPr>
            <w:tcW w:w="2382" w:type="dxa"/>
            <w:tcBorders>
              <w:top w:val="single" w:sz="4" w:space="0" w:color="auto"/>
              <w:left w:val="nil"/>
              <w:bottom w:val="single" w:sz="4" w:space="0" w:color="auto"/>
              <w:right w:val="single" w:sz="4" w:space="0" w:color="auto"/>
            </w:tcBorders>
            <w:vAlign w:val="center"/>
          </w:tcPr>
          <w:p>
            <w:pPr>
              <w:widowControl/>
              <w:jc w:val="left"/>
              <w:rPr>
                <w:rFonts w:ascii="仿宋" w:eastAsia="仿宋" w:cs="宋体"/>
                <w:kern w:val="0"/>
                <w:sz w:val="32"/>
                <w:szCs w:val="32"/>
              </w:rPr>
            </w:pPr>
            <w:r>
              <w:rPr>
                <w:rFonts w:ascii="仿宋" w:eastAsia="仿宋" w:cs="宋体" w:hint="eastAsia"/>
                <w:kern w:val="0"/>
                <w:sz w:val="32"/>
                <w:szCs w:val="32"/>
              </w:rPr>
              <w:t>无增减变化</w:t>
            </w:r>
          </w:p>
        </w:tc>
      </w:tr>
    </w:tbl>
    <w:p>
      <w:pPr>
        <w:spacing w:line="560" w:lineRule="exact"/>
        <w:jc w:val="left"/>
        <w:rPr>
          <w:rFonts w:ascii="黑体" w:eastAsia="黑体" w:cs="黑体"/>
          <w:bCs/>
          <w:sz w:val="32"/>
          <w:szCs w:val="32"/>
        </w:rPr>
      </w:pPr>
    </w:p>
    <w:p>
      <w:pPr>
        <w:spacing w:line="520" w:lineRule="exact"/>
        <w:ind w:firstLineChars="200" w:firstLine="640"/>
        <w:jc w:val="left"/>
        <w:rPr>
          <w:rFonts w:ascii="黑体" w:eastAsia="黑体" w:cs="黑体"/>
          <w:bCs/>
          <w:sz w:val="32"/>
          <w:szCs w:val="32"/>
        </w:rPr>
      </w:pPr>
      <w:r>
        <w:rPr>
          <w:rFonts w:ascii="黑体" w:eastAsia="黑体" w:cs="黑体" w:hint="eastAsia"/>
          <w:bCs/>
          <w:sz w:val="32"/>
          <w:szCs w:val="32"/>
        </w:rPr>
        <w:t>五、绩效预算信息情况</w:t>
      </w:r>
    </w:p>
    <w:p>
      <w:pPr>
        <w:pStyle w:val="20"/>
        <w:spacing w:line="520" w:lineRule="exact"/>
        <w:ind w:left="420" w:firstLineChars="100" w:firstLine="320"/>
        <w:outlineLvl w:val="0"/>
        <w:rPr>
          <w:rFonts w:ascii="楷体" w:eastAsia="楷体" w:cs="楷体"/>
          <w:sz w:val="32"/>
          <w:szCs w:val="32"/>
        </w:rPr>
      </w:pPr>
      <w:r>
        <w:rPr>
          <w:rFonts w:ascii="楷体" w:eastAsia="楷体" w:cs="楷体" w:hint="eastAsia"/>
          <w:sz w:val="32"/>
          <w:szCs w:val="32"/>
        </w:rPr>
        <w:t>第一部分 部门整体绩效目标</w:t>
      </w:r>
    </w:p>
    <w:p>
      <w:pPr>
        <w:pStyle w:val="20"/>
        <w:spacing w:line="520" w:lineRule="exact"/>
        <w:ind w:left="420" w:firstLineChars="0" w:firstLine="0"/>
        <w:jc w:val="left"/>
        <w:outlineLvl w:val="1"/>
        <w:rPr>
          <w:rFonts w:ascii="楷体" w:eastAsia="楷体" w:cs="楷体"/>
          <w:sz w:val="32"/>
          <w:szCs w:val="32"/>
        </w:rPr>
      </w:pPr>
      <w:r>
        <w:rPr>
          <w:rFonts w:ascii="楷体" w:eastAsia="楷体" w:cs="楷体" w:hint="eastAsia"/>
          <w:sz w:val="32"/>
          <w:szCs w:val="32"/>
        </w:rPr>
        <w:t>（一）总体绩效目标</w:t>
      </w:r>
      <w:bookmarkStart w:id="2" w:name="_Toc30057650"/>
      <w:bookmarkEnd w:id="2"/>
      <w:r>
        <w:rPr>
          <w:rFonts w:ascii="楷体" w:eastAsia="楷体" w:cs="楷体" w:hint="eastAsia"/>
          <w:vanish/>
          <w:sz w:val="32"/>
          <w:szCs w:val="32"/>
        </w:rPr>
        <w:t>{ TC 总体绩效目标 \f A \l 1 }</w:t>
      </w:r>
    </w:p>
    <w:p>
      <w:pPr>
        <w:spacing w:line="520" w:lineRule="exact"/>
        <w:ind w:firstLineChars="200" w:firstLine="640"/>
        <w:rPr>
          <w:rFonts w:ascii="仿宋" w:eastAsia="仿宋"/>
          <w:sz w:val="32"/>
          <w:szCs w:val="32"/>
        </w:rPr>
      </w:pPr>
      <w:r>
        <w:rPr>
          <w:rFonts w:ascii="仿宋" w:eastAsia="仿宋" w:hint="eastAsia"/>
          <w:sz w:val="32"/>
          <w:szCs w:val="32"/>
        </w:rPr>
        <w:t>以习近平新时代中国特色社会主义思想为指导，协调推进和督促落实上级决策部署，坚持审计</w:t>
      </w:r>
      <w:r>
        <w:rPr>
          <w:rFonts w:ascii="仿宋" w:eastAsia="仿宋"/>
          <w:sz w:val="32"/>
          <w:szCs w:val="32"/>
        </w:rPr>
        <w:t>“</w:t>
      </w:r>
      <w:r>
        <w:rPr>
          <w:rFonts w:ascii="仿宋" w:eastAsia="仿宋" w:hint="eastAsia"/>
          <w:sz w:val="32"/>
          <w:szCs w:val="32"/>
        </w:rPr>
        <w:t>促改革、促发展</w:t>
      </w:r>
      <w:r>
        <w:rPr>
          <w:rFonts w:ascii="仿宋" w:eastAsia="仿宋"/>
          <w:sz w:val="32"/>
          <w:szCs w:val="32"/>
        </w:rPr>
        <w:t>”</w:t>
      </w:r>
      <w:r>
        <w:rPr>
          <w:rFonts w:ascii="仿宋" w:eastAsia="仿宋" w:hint="eastAsia"/>
          <w:sz w:val="32"/>
          <w:szCs w:val="32"/>
        </w:rPr>
        <w:t>，做到</w:t>
      </w:r>
      <w:r>
        <w:rPr>
          <w:rFonts w:ascii="仿宋" w:eastAsia="仿宋"/>
          <w:sz w:val="32"/>
          <w:szCs w:val="32"/>
        </w:rPr>
        <w:t>“</w:t>
      </w:r>
      <w:r>
        <w:rPr>
          <w:rFonts w:ascii="仿宋" w:eastAsia="仿宋" w:hint="eastAsia"/>
          <w:sz w:val="32"/>
          <w:szCs w:val="32"/>
        </w:rPr>
        <w:t>应审尽审、凡审必严、严肃问责</w:t>
      </w:r>
      <w:r>
        <w:rPr>
          <w:rFonts w:ascii="仿宋" w:eastAsia="仿宋"/>
          <w:sz w:val="32"/>
          <w:szCs w:val="32"/>
        </w:rPr>
        <w:t>”</w:t>
      </w:r>
      <w:r>
        <w:rPr>
          <w:rFonts w:ascii="仿宋" w:eastAsia="仿宋" w:hint="eastAsia"/>
          <w:sz w:val="32"/>
          <w:szCs w:val="32"/>
        </w:rPr>
        <w:t>，努力构建集中统一、全面覆盖、权威高效的审计监督体系；坚持创新审计理念，及时揭示和反映经济社会各领域的新情况、新问题、新趋势，准确把握</w:t>
      </w:r>
      <w:r>
        <w:rPr>
          <w:rFonts w:ascii="仿宋" w:eastAsia="仿宋"/>
          <w:sz w:val="32"/>
          <w:szCs w:val="32"/>
        </w:rPr>
        <w:t>“</w:t>
      </w:r>
      <w:r>
        <w:rPr>
          <w:rFonts w:ascii="仿宋" w:eastAsia="仿宋" w:hint="eastAsia"/>
          <w:sz w:val="32"/>
          <w:szCs w:val="32"/>
        </w:rPr>
        <w:t>三个区分开来</w:t>
      </w:r>
      <w:r>
        <w:rPr>
          <w:rFonts w:ascii="仿宋" w:eastAsia="仿宋"/>
          <w:sz w:val="32"/>
          <w:szCs w:val="32"/>
        </w:rPr>
        <w:t>”</w:t>
      </w:r>
      <w:r>
        <w:rPr>
          <w:rFonts w:ascii="仿宋" w:eastAsia="仿宋" w:hint="eastAsia"/>
          <w:sz w:val="32"/>
          <w:szCs w:val="32"/>
        </w:rPr>
        <w:t>要求，推动建立健全容错纠错机制；坚持</w:t>
      </w:r>
      <w:r>
        <w:rPr>
          <w:rFonts w:ascii="仿宋" w:eastAsia="仿宋"/>
          <w:sz w:val="32"/>
          <w:szCs w:val="32"/>
        </w:rPr>
        <w:t>“</w:t>
      </w:r>
      <w:r>
        <w:rPr>
          <w:rFonts w:ascii="仿宋" w:eastAsia="仿宋" w:hint="eastAsia"/>
          <w:sz w:val="32"/>
          <w:szCs w:val="32"/>
        </w:rPr>
        <w:t>党建强审、科技强审、改革强审</w:t>
      </w:r>
      <w:r>
        <w:rPr>
          <w:rFonts w:ascii="仿宋" w:eastAsia="仿宋"/>
          <w:sz w:val="32"/>
          <w:szCs w:val="32"/>
        </w:rPr>
        <w:t>”</w:t>
      </w:r>
      <w:r>
        <w:rPr>
          <w:rFonts w:ascii="仿宋" w:eastAsia="仿宋" w:hint="eastAsia"/>
          <w:sz w:val="32"/>
          <w:szCs w:val="32"/>
        </w:rPr>
        <w:t>，加强审计机关自身建设;科学合理制定</w:t>
      </w:r>
      <w:r>
        <w:rPr>
          <w:rFonts w:ascii="仿宋" w:eastAsia="仿宋"/>
          <w:sz w:val="32"/>
          <w:szCs w:val="32"/>
        </w:rPr>
        <w:t>2020</w:t>
      </w:r>
      <w:r>
        <w:rPr>
          <w:rFonts w:ascii="仿宋" w:eastAsia="仿宋" w:hint="eastAsia"/>
          <w:sz w:val="32"/>
          <w:szCs w:val="32"/>
        </w:rPr>
        <w:t>年审计工作计划，提出审计领域坚持党的领导、加强党的建设的政策建议，建设一支信念坚定、业务精通、作风务实、清正廉洁的高素质专业化审计干部队伍。</w:t>
      </w:r>
    </w:p>
    <w:p>
      <w:pPr>
        <w:numPr>
          <w:ilvl w:val="0"/>
          <w:numId w:val="2"/>
        </w:numPr>
        <w:spacing w:line="520" w:lineRule="exact"/>
        <w:ind w:left="0" w:firstLineChars="200" w:firstLine="640"/>
        <w:jc w:val="left"/>
        <w:outlineLvl w:val="1"/>
        <w:rPr>
          <w:rFonts w:ascii="楷体" w:eastAsia="楷体" w:cs="楷体"/>
          <w:sz w:val="32"/>
          <w:szCs w:val="32"/>
        </w:rPr>
      </w:pPr>
      <w:r>
        <w:rPr>
          <w:rFonts w:ascii="楷体" w:eastAsia="楷体" w:cs="楷体" w:hint="eastAsia"/>
          <w:sz w:val="32"/>
          <w:szCs w:val="32"/>
        </w:rPr>
        <w:t>分项绩效目标</w:t>
      </w:r>
      <w:bookmarkStart w:id="3" w:name="_Toc30057651"/>
      <w:bookmarkEnd w:id="3"/>
      <w:r>
        <w:rPr>
          <w:rFonts w:ascii="楷体" w:eastAsia="楷体" w:cs="楷体" w:hint="eastAsia"/>
          <w:vanish/>
          <w:sz w:val="32"/>
          <w:szCs w:val="32"/>
        </w:rPr>
        <w:t>{ TC 分项绩效目标 \f A \l 1 }</w:t>
      </w:r>
    </w:p>
    <w:p>
      <w:pPr>
        <w:spacing w:line="520" w:lineRule="exact"/>
        <w:ind w:firstLineChars="200" w:firstLine="640"/>
        <w:rPr>
          <w:rFonts w:ascii="仿宋" w:eastAsia="仿宋"/>
          <w:b/>
          <w:bCs/>
          <w:sz w:val="32"/>
          <w:szCs w:val="32"/>
        </w:rPr>
      </w:pPr>
      <w:r>
        <w:rPr>
          <w:rFonts w:ascii="仿宋" w:eastAsia="仿宋" w:hint="eastAsia"/>
          <w:b/>
          <w:bCs/>
          <w:sz w:val="32"/>
          <w:szCs w:val="32"/>
        </w:rPr>
        <w:t>1、大力推进审计全覆盖，加大审计监督力度。</w:t>
      </w:r>
    </w:p>
    <w:p>
      <w:pPr>
        <w:spacing w:line="520" w:lineRule="exact"/>
        <w:ind w:firstLineChars="200" w:firstLine="640"/>
        <w:rPr>
          <w:rFonts w:ascii="仿宋" w:eastAsia="仿宋"/>
          <w:sz w:val="32"/>
          <w:szCs w:val="32"/>
        </w:rPr>
      </w:pPr>
      <w:r>
        <w:rPr>
          <w:rFonts w:ascii="仿宋" w:eastAsia="仿宋" w:hint="eastAsia"/>
          <w:sz w:val="32"/>
          <w:szCs w:val="32"/>
        </w:rPr>
        <w:t>绩效目标：改进审计模式和组织方式，创新审计理念，实现审计全覆盖。加大审计监督力度，充分发挥审计监督作用，维护国家财政经济秩序，提高资金使用效益，促进廉政建设，保障全省经济和社会健康发展。</w:t>
      </w:r>
    </w:p>
    <w:p>
      <w:pPr>
        <w:spacing w:line="520" w:lineRule="exact"/>
        <w:ind w:firstLineChars="200" w:firstLine="640"/>
        <w:rPr>
          <w:rFonts w:ascii="仿宋" w:eastAsia="仿宋"/>
          <w:sz w:val="32"/>
          <w:szCs w:val="32"/>
        </w:rPr>
      </w:pPr>
      <w:r>
        <w:rPr>
          <w:rFonts w:ascii="仿宋" w:eastAsia="仿宋" w:hint="eastAsia"/>
          <w:sz w:val="32"/>
          <w:szCs w:val="32"/>
        </w:rPr>
        <w:t>绩效指标：审计计划完成率达到</w:t>
      </w:r>
      <w:r>
        <w:rPr>
          <w:rFonts w:ascii="仿宋" w:eastAsia="仿宋"/>
          <w:sz w:val="32"/>
          <w:szCs w:val="32"/>
        </w:rPr>
        <w:t>90%</w:t>
      </w:r>
      <w:r>
        <w:rPr>
          <w:rFonts w:ascii="仿宋" w:eastAsia="仿宋" w:hint="eastAsia"/>
          <w:sz w:val="32"/>
          <w:szCs w:val="32"/>
        </w:rPr>
        <w:t>以上，保障审计程序合法合规，审计通知书按时送达，审计底稿取证合规，审计报告全部征求意见，审计档案及时归档。</w:t>
      </w:r>
    </w:p>
    <w:p>
      <w:pPr>
        <w:spacing w:line="520" w:lineRule="exact"/>
        <w:ind w:firstLineChars="200" w:firstLine="640"/>
        <w:rPr>
          <w:rFonts w:ascii="仿宋" w:eastAsia="仿宋"/>
          <w:b/>
          <w:bCs/>
          <w:sz w:val="32"/>
          <w:szCs w:val="32"/>
        </w:rPr>
      </w:pPr>
      <w:r>
        <w:rPr>
          <w:rFonts w:ascii="仿宋" w:eastAsia="仿宋" w:hint="eastAsia"/>
          <w:b/>
          <w:bCs/>
          <w:sz w:val="32"/>
          <w:szCs w:val="32"/>
        </w:rPr>
        <w:t>2、大力推进审计工作统筹，提升审计效能。</w:t>
      </w:r>
    </w:p>
    <w:p>
      <w:pPr>
        <w:spacing w:line="520" w:lineRule="exact"/>
        <w:ind w:firstLineChars="200" w:firstLine="640"/>
        <w:rPr>
          <w:rFonts w:ascii="仿宋" w:eastAsia="仿宋"/>
          <w:sz w:val="32"/>
          <w:szCs w:val="32"/>
        </w:rPr>
      </w:pPr>
      <w:r>
        <w:rPr>
          <w:rFonts w:ascii="仿宋" w:eastAsia="仿宋" w:hint="eastAsia"/>
          <w:sz w:val="32"/>
          <w:szCs w:val="32"/>
        </w:rPr>
        <w:t>绩效目标：强化上级审计机关对下级审计机关的领导，加快形成审计工作一盘棋；优化资源配置，建立健全全县内部审计机构建设，监督内部审计职责履行情况，合理运用内部审计和社会审计力量，形成审计监督合力。</w:t>
      </w:r>
    </w:p>
    <w:p>
      <w:pPr>
        <w:spacing w:line="520" w:lineRule="exact"/>
        <w:ind w:firstLineChars="200" w:firstLine="640"/>
        <w:rPr>
          <w:rFonts w:ascii="仿宋" w:eastAsia="仿宋"/>
          <w:sz w:val="32"/>
          <w:szCs w:val="32"/>
        </w:rPr>
      </w:pPr>
      <w:r>
        <w:rPr>
          <w:rFonts w:ascii="仿宋" w:eastAsia="仿宋" w:hint="eastAsia"/>
          <w:sz w:val="32"/>
          <w:szCs w:val="32"/>
        </w:rPr>
        <w:t>绩效指标：审计项目数量达到10个以上，内部审计业务指导率达到</w:t>
      </w:r>
      <w:r>
        <w:rPr>
          <w:rFonts w:ascii="仿宋" w:eastAsia="仿宋"/>
          <w:sz w:val="32"/>
          <w:szCs w:val="32"/>
        </w:rPr>
        <w:t>95%</w:t>
      </w:r>
      <w:r>
        <w:rPr>
          <w:rFonts w:ascii="仿宋" w:eastAsia="仿宋" w:hint="eastAsia"/>
          <w:sz w:val="32"/>
          <w:szCs w:val="32"/>
        </w:rPr>
        <w:t>。</w:t>
      </w:r>
    </w:p>
    <w:p>
      <w:pPr>
        <w:spacing w:line="520" w:lineRule="exact"/>
        <w:ind w:firstLineChars="200" w:firstLine="640"/>
        <w:rPr>
          <w:rFonts w:ascii="仿宋" w:eastAsia="仿宋"/>
          <w:b/>
          <w:bCs/>
          <w:sz w:val="32"/>
          <w:szCs w:val="32"/>
        </w:rPr>
      </w:pPr>
      <w:r>
        <w:rPr>
          <w:rFonts w:ascii="仿宋" w:eastAsia="仿宋" w:hint="eastAsia"/>
          <w:b/>
          <w:bCs/>
          <w:sz w:val="32"/>
          <w:szCs w:val="32"/>
        </w:rPr>
        <w:t>3、大力推进审计成果应用，彰显审计价值。</w:t>
      </w:r>
    </w:p>
    <w:p>
      <w:pPr>
        <w:spacing w:line="520" w:lineRule="exact"/>
        <w:ind w:firstLineChars="200" w:firstLine="640"/>
        <w:rPr>
          <w:rFonts w:ascii="仿宋" w:eastAsia="仿宋"/>
          <w:sz w:val="32"/>
          <w:szCs w:val="32"/>
        </w:rPr>
      </w:pPr>
      <w:r>
        <w:rPr>
          <w:rFonts w:ascii="仿宋" w:eastAsia="仿宋" w:hint="eastAsia"/>
          <w:sz w:val="32"/>
          <w:szCs w:val="32"/>
        </w:rPr>
        <w:t>绩效目标：审计成果运用是审计工作非常重要的一环。通过提炼审计工作经验、推广创新做法，进行经验交流和学习，促使审计机关、审计人员共同进步；通过提出或采取相关措施，推动被审计单位对审计发现的问题进行整改或完善，为县委、县政府决策提供依据。</w:t>
      </w:r>
    </w:p>
    <w:p>
      <w:pPr>
        <w:spacing w:line="520" w:lineRule="exact"/>
        <w:ind w:firstLineChars="200" w:firstLine="640"/>
        <w:rPr>
          <w:rFonts w:ascii="仿宋" w:eastAsia="仿宋"/>
          <w:sz w:val="32"/>
          <w:szCs w:val="32"/>
        </w:rPr>
      </w:pPr>
      <w:r>
        <w:rPr>
          <w:rFonts w:ascii="仿宋" w:eastAsia="仿宋" w:hint="eastAsia"/>
          <w:sz w:val="32"/>
          <w:szCs w:val="32"/>
        </w:rPr>
        <w:t>绩效指标：政策建议采纳率达到</w:t>
      </w:r>
      <w:r>
        <w:rPr>
          <w:rFonts w:ascii="仿宋" w:eastAsia="仿宋"/>
          <w:sz w:val="32"/>
          <w:szCs w:val="32"/>
        </w:rPr>
        <w:t>85%</w:t>
      </w:r>
      <w:r>
        <w:rPr>
          <w:rFonts w:ascii="仿宋" w:eastAsia="仿宋" w:hint="eastAsia"/>
          <w:sz w:val="32"/>
          <w:szCs w:val="32"/>
        </w:rPr>
        <w:t>以上，审计问题整改率达到</w:t>
      </w:r>
      <w:r>
        <w:rPr>
          <w:rFonts w:ascii="仿宋" w:eastAsia="仿宋"/>
          <w:sz w:val="32"/>
          <w:szCs w:val="32"/>
        </w:rPr>
        <w:t>85%</w:t>
      </w:r>
      <w:r>
        <w:rPr>
          <w:rFonts w:ascii="仿宋" w:eastAsia="仿宋" w:hint="eastAsia"/>
          <w:sz w:val="32"/>
          <w:szCs w:val="32"/>
        </w:rPr>
        <w:t>以上。</w:t>
      </w:r>
    </w:p>
    <w:p>
      <w:pPr>
        <w:spacing w:line="520" w:lineRule="exact"/>
        <w:ind w:firstLineChars="200" w:firstLine="640"/>
        <w:jc w:val="left"/>
        <w:outlineLvl w:val="1"/>
        <w:rPr>
          <w:rFonts w:ascii="仿宋" w:eastAsia="仿宋"/>
          <w:sz w:val="32"/>
          <w:szCs w:val="32"/>
        </w:rPr>
      </w:pPr>
      <w:r>
        <w:rPr>
          <w:rFonts w:ascii="楷体" w:eastAsia="楷体" w:cs="楷体" w:hint="eastAsia"/>
          <w:sz w:val="32"/>
          <w:szCs w:val="32"/>
        </w:rPr>
        <w:t>（三）工作保障措施</w:t>
      </w:r>
      <w:bookmarkStart w:id="4" w:name="_Toc30057652"/>
      <w:bookmarkEnd w:id="4"/>
      <w:r>
        <w:rPr>
          <w:rFonts w:ascii="仿宋" w:eastAsia="仿宋"/>
          <w:vanish/>
          <w:sz w:val="32"/>
          <w:szCs w:val="32"/>
        </w:rPr>
        <w:t xml:space="preserve">{ </w:t>
      </w:r>
      <w:r>
        <w:rPr>
          <w:rFonts w:ascii="仿宋" w:eastAsia="仿宋" w:hint="eastAsia"/>
          <w:vanish/>
          <w:sz w:val="32"/>
          <w:szCs w:val="32"/>
        </w:rPr>
        <w:t>TC 工作保障措施 \f A \l 1</w:t>
      </w:r>
      <w:r>
        <w:rPr>
          <w:rFonts w:ascii="仿宋" w:eastAsia="仿宋"/>
          <w:vanish/>
          <w:sz w:val="32"/>
          <w:szCs w:val="32"/>
        </w:rPr>
        <w:t xml:space="preserve"> }</w:t>
      </w:r>
    </w:p>
    <w:p>
      <w:pPr>
        <w:spacing w:line="520" w:lineRule="exact"/>
        <w:ind w:firstLineChars="200" w:firstLine="640"/>
        <w:rPr>
          <w:rFonts w:ascii="仿宋" w:eastAsia="仿宋"/>
          <w:sz w:val="32"/>
          <w:szCs w:val="32"/>
        </w:rPr>
      </w:pPr>
      <w:r>
        <w:rPr>
          <w:rFonts w:ascii="仿宋" w:eastAsia="仿宋" w:hint="eastAsia"/>
          <w:b/>
          <w:bCs/>
          <w:sz w:val="32"/>
          <w:szCs w:val="32"/>
        </w:rPr>
        <w:t>1、完善制度建设。</w:t>
      </w:r>
      <w:r>
        <w:rPr>
          <w:rFonts w:ascii="仿宋" w:eastAsia="仿宋"/>
          <w:sz w:val="32"/>
          <w:szCs w:val="32"/>
        </w:rPr>
        <w:t>始终把预算绩效工作列入年度工作计划，</w:t>
      </w:r>
      <w:r>
        <w:rPr>
          <w:rFonts w:ascii="仿宋" w:eastAsia="仿宋" w:hint="eastAsia"/>
          <w:sz w:val="32"/>
          <w:szCs w:val="32"/>
        </w:rPr>
        <w:t>制定了完善的预算绩效管理制度、资金管理办法、工作保障制度等，为全年预算绩效目标的实现奠定制度基础。</w:t>
      </w:r>
    </w:p>
    <w:p>
      <w:pPr>
        <w:spacing w:line="520" w:lineRule="exact"/>
        <w:ind w:firstLineChars="200" w:firstLine="640"/>
        <w:rPr>
          <w:rFonts w:ascii="仿宋" w:eastAsia="仿宋"/>
          <w:sz w:val="32"/>
          <w:szCs w:val="32"/>
        </w:rPr>
      </w:pPr>
      <w:r>
        <w:rPr>
          <w:rFonts w:ascii="仿宋" w:eastAsia="仿宋" w:hint="eastAsia"/>
          <w:b/>
          <w:bCs/>
          <w:sz w:val="32"/>
          <w:szCs w:val="32"/>
        </w:rPr>
        <w:t>2、加强支出管理。</w:t>
      </w:r>
      <w:r>
        <w:rPr>
          <w:rFonts w:ascii="仿宋" w:eastAsia="仿宋" w:hint="eastAsia"/>
          <w:sz w:val="32"/>
          <w:szCs w:val="32"/>
        </w:rPr>
        <w:t>通过优化支出结构、编细编实预算、及时支付资金、我局建立了各种财务管理制度并严格执行，在年度实施过程中组织有序，分管领导审核，局主要领导审批。</w:t>
      </w:r>
    </w:p>
    <w:p>
      <w:pPr>
        <w:spacing w:line="520" w:lineRule="exact"/>
        <w:ind w:firstLineChars="200" w:firstLine="640"/>
        <w:rPr>
          <w:rFonts w:ascii="仿宋" w:eastAsia="仿宋"/>
          <w:sz w:val="32"/>
          <w:szCs w:val="32"/>
        </w:rPr>
      </w:pPr>
      <w:r>
        <w:rPr>
          <w:rFonts w:ascii="仿宋" w:eastAsia="仿宋" w:hint="eastAsia"/>
          <w:b/>
          <w:bCs/>
          <w:sz w:val="32"/>
          <w:szCs w:val="32"/>
        </w:rPr>
        <w:t>3、加强宣传培训调研等。</w:t>
      </w:r>
      <w:r>
        <w:rPr>
          <w:rFonts w:ascii="仿宋" w:eastAsia="仿宋" w:hint="eastAsia"/>
          <w:sz w:val="32"/>
          <w:szCs w:val="32"/>
        </w:rPr>
        <w:t>抓好干部队伍建设、基础设施建设及其它综合事务，提高人员业务水平，不断提高审计业务质量，保障机关正常运转。</w:t>
      </w:r>
    </w:p>
    <w:p>
      <w:pPr>
        <w:spacing w:line="520" w:lineRule="exact"/>
        <w:ind w:firstLineChars="200" w:firstLine="640"/>
        <w:rPr>
          <w:rFonts w:ascii="仿宋" w:eastAsia="仿宋"/>
          <w:sz w:val="32"/>
          <w:szCs w:val="32"/>
        </w:rPr>
      </w:pPr>
    </w:p>
    <w:p>
      <w:pPr>
        <w:spacing w:line="520" w:lineRule="exact"/>
        <w:ind w:firstLineChars="200" w:firstLine="640"/>
        <w:rPr>
          <w:rFonts w:ascii="仿宋" w:eastAsia="仿宋"/>
          <w:sz w:val="32"/>
          <w:szCs w:val="32"/>
        </w:rPr>
      </w:pPr>
    </w:p>
    <w:p>
      <w:pPr>
        <w:spacing w:line="520" w:lineRule="exact"/>
        <w:ind w:firstLineChars="200" w:firstLine="640"/>
        <w:rPr>
          <w:rFonts w:ascii="仿宋" w:eastAsia="仿宋"/>
          <w:sz w:val="32"/>
          <w:szCs w:val="32"/>
        </w:rPr>
      </w:pPr>
    </w:p>
    <w:p>
      <w:pPr>
        <w:spacing w:line="520" w:lineRule="exact"/>
        <w:ind w:firstLineChars="200" w:firstLine="640"/>
        <w:rPr>
          <w:rFonts w:ascii="仿宋" w:eastAsia="仿宋"/>
          <w:sz w:val="32"/>
          <w:szCs w:val="32"/>
        </w:rPr>
      </w:pPr>
    </w:p>
    <w:p>
      <w:pPr>
        <w:spacing w:line="520" w:lineRule="exact"/>
        <w:ind w:firstLineChars="200" w:firstLine="640"/>
        <w:rPr>
          <w:rFonts w:ascii="仿宋" w:eastAsia="仿宋"/>
          <w:sz w:val="32"/>
          <w:szCs w:val="32"/>
        </w:rPr>
      </w:pPr>
    </w:p>
    <w:p>
      <w:pPr>
        <w:spacing w:line="520" w:lineRule="exact"/>
        <w:ind w:firstLineChars="200" w:firstLine="640"/>
        <w:rPr>
          <w:rFonts w:ascii="楷体" w:eastAsia="楷体" w:cs="楷体"/>
          <w:sz w:val="32"/>
          <w:szCs w:val="32"/>
        </w:rPr>
      </w:pPr>
      <w:r>
        <w:rPr>
          <w:rFonts w:ascii="楷体" w:eastAsia="楷体" w:cs="楷体" w:hint="eastAsia"/>
          <w:sz w:val="32"/>
          <w:szCs w:val="32"/>
        </w:rPr>
        <w:t>第二部分 预算项目绩效目标</w:t>
      </w:r>
    </w:p>
    <w:p>
      <w:pPr>
        <w:pStyle w:val="20"/>
        <w:numPr>
          <w:ilvl w:val="0"/>
          <w:numId w:val="3"/>
        </w:numPr>
        <w:ind w:firstLineChars="0"/>
        <w:jc w:val="left"/>
        <w:outlineLvl w:val="1"/>
        <w:rPr>
          <w:rFonts w:ascii="仿宋" w:eastAsia="仿宋" w:cs="仿宋"/>
          <w:bCs/>
          <w:sz w:val="28"/>
          <w:szCs w:val="28"/>
        </w:rPr>
      </w:pPr>
      <w:r>
        <w:rPr>
          <w:rFonts w:ascii="仿宋" w:eastAsia="仿宋" w:cs="仿宋" w:hint="eastAsia"/>
          <w:b/>
          <w:sz w:val="32"/>
          <w:szCs w:val="32"/>
        </w:rPr>
        <w:t>特聘专业审计技术人员经费绩效目标表</w:t>
      </w:r>
      <w:bookmarkStart w:id="5" w:name="_Toc29989214"/>
      <w:bookmarkEnd w:id="5"/>
      <w:r>
        <w:rPr>
          <w:rFonts w:ascii="仿宋" w:eastAsia="仿宋" w:cs="仿宋" w:hint="eastAsia"/>
          <w:bCs/>
          <w:vanish/>
          <w:sz w:val="28"/>
          <w:szCs w:val="28"/>
        </w:rPr>
        <w:t>{ TC 1、特聘专业审计技术人员经费绩效目标表 \f C \l 1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rPr>
          <w:trHeight w:val="397"/>
        </w:trPr>
        <w:tc>
          <w:tcPr>
            <w:tcW w:w="771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319002涞水县审计局</w:t>
            </w:r>
          </w:p>
        </w:tc>
        <w:tc>
          <w:tcPr>
            <w:tcW w:w="1701" w:type="dxa"/>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300" w:lineRule="exact"/>
              <w:jc w:val="right"/>
              <w:rPr>
                <w:rFonts w:ascii="仿宋" w:eastAsia="仿宋" w:cs="仿宋"/>
                <w:bCs/>
                <w:sz w:val="28"/>
                <w:szCs w:val="28"/>
              </w:rPr>
            </w:pPr>
            <w:r>
              <w:rPr>
                <w:rFonts w:ascii="仿宋" w:eastAsia="仿宋" w:cs="仿宋" w:hint="eastAsia"/>
                <w:bCs/>
                <w:sz w:val="28"/>
                <w:szCs w:val="28"/>
              </w:rPr>
              <w:t>单位：万元</w:t>
            </w:r>
          </w:p>
        </w:tc>
      </w:tr>
      <w:tr>
        <w:trPr>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项目编码</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319-0401-YBN-E1G6</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项目名称</w:t>
            </w:r>
          </w:p>
        </w:tc>
        <w:tc>
          <w:tcPr>
            <w:tcW w:w="4281"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特聘专业审计技术人员经费</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预算规模及资金用途</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预算数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其中：财政资金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其他资金</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827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聘请中介机构和专业技术人员参与审计。</w:t>
            </w:r>
          </w:p>
        </w:tc>
      </w:tr>
      <w:tr>
        <w:trPr>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资金支出计划（%）</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3月底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6月底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10月底</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12月底</w:t>
            </w:r>
          </w:p>
        </w:tc>
      </w:tr>
      <w:tr>
        <w:trPr>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25.00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50.00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75.00</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100.00</w:t>
            </w:r>
          </w:p>
        </w:tc>
      </w:tr>
      <w:tr>
        <w:trPr>
          <w:trHeight w:val="369"/>
        </w:trPr>
        <w:tc>
          <w:tcPr>
            <w:tcW w:w="1134" w:type="dxa"/>
            <w:tcBorders>
              <w:top w:val="single" w:sz="6" w:space="0" w:color="000000"/>
              <w:left w:val="single" w:sz="6" w:space="0" w:color="000000"/>
              <w:bottom w:val="nil"/>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绩效目标</w:t>
            </w:r>
          </w:p>
        </w:tc>
        <w:tc>
          <w:tcPr>
            <w:tcW w:w="8278" w:type="dxa"/>
            <w:gridSpan w:val="6"/>
            <w:tcBorders>
              <w:top w:val="single" w:sz="6" w:space="0" w:color="000000"/>
              <w:left w:val="single" w:sz="6" w:space="0" w:color="000000"/>
              <w:bottom w:val="nil"/>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1、充分履行审计职责。</w:t>
            </w:r>
          </w:p>
          <w:p>
            <w:pPr>
              <w:spacing w:line="300" w:lineRule="exact"/>
              <w:jc w:val="left"/>
              <w:rPr>
                <w:rFonts w:ascii="仿宋" w:eastAsia="仿宋" w:cs="仿宋"/>
                <w:bCs/>
                <w:sz w:val="28"/>
                <w:szCs w:val="28"/>
              </w:rPr>
            </w:pPr>
            <w:r>
              <w:rPr>
                <w:rFonts w:ascii="仿宋" w:eastAsia="仿宋" w:cs="仿宋" w:hint="eastAsia"/>
                <w:bCs/>
                <w:sz w:val="28"/>
                <w:szCs w:val="28"/>
              </w:rPr>
              <w:t>2、加强设计重大政策、国计民生、卫生健康、医疗保障、交通设施等工程项目和财务审计。</w:t>
            </w:r>
          </w:p>
        </w:tc>
      </w:tr>
    </w:tbl>
    <w:p>
      <w:pPr>
        <w:spacing w:line="14" w:lineRule="exact"/>
        <w:ind w:firstLineChars="200" w:firstLine="560"/>
        <w:jc w:val="center"/>
        <w:rPr>
          <w:rFonts w:ascii="仿宋" w:eastAsia="仿宋" w:cs="仿宋"/>
          <w:bCs/>
          <w:sz w:val="28"/>
          <w:szCs w:val="28"/>
        </w:rPr>
      </w:pPr>
      <w:r>
        <w:rPr>
          <w:rFonts w:ascii="仿宋" w:eastAsia="仿宋" w:cs="仿宋" w:hint="eastAsia"/>
          <w:bCs/>
          <w:sz w:val="28"/>
          <w:szCs w:val="28"/>
        </w:rPr>
        <w:t xml:space="preserve"> </w:t>
      </w:r>
    </w:p>
    <w:tbl>
      <w:tblPr>
        <w:jc w:val="center"/>
        <w:tblW w:w="9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134"/>
        <w:gridCol w:w="1134"/>
        <w:gridCol w:w="1276"/>
        <w:gridCol w:w="2891"/>
        <w:gridCol w:w="1276"/>
        <w:gridCol w:w="1701"/>
      </w:tblGrid>
      <w:tr>
        <w:trPr>
          <w:cantSplit/>
          <w:trHeight w:val="858"/>
          <w:tblHeader/>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一级指标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二级指标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指标值</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指标值确定依据</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产出指标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审计单位数量（家）</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全面准确落实审计年度计划</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≥10家</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数量指标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审计人数（人）</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开展审计等人数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≥10人</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根据工作方案</w:t>
            </w:r>
          </w:p>
        </w:tc>
      </w:tr>
      <w:tr>
        <w:trPr>
          <w:cantSplit/>
          <w:trHeight w:val="369"/>
        </w:trPr>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效果指标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审计建议采纳率（%）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被采纳的审计建议占全部审计建议</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经济效益指标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问题整改率（%）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已整改问题数量占发现问题总数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根据工作方案</w:t>
            </w:r>
          </w:p>
        </w:tc>
      </w:tr>
      <w:tr>
        <w:trPr>
          <w:cantSplit/>
          <w:trHeight w:val="369"/>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center"/>
              <w:rPr>
                <w:rFonts w:ascii="仿宋" w:eastAsia="仿宋" w:cs="仿宋"/>
                <w:bCs/>
                <w:sz w:val="28"/>
                <w:szCs w:val="28"/>
              </w:rPr>
            </w:pPr>
            <w:r>
              <w:rPr>
                <w:rFonts w:ascii="仿宋" w:eastAsia="仿宋" w:cs="仿宋" w:hint="eastAsia"/>
                <w:bCs/>
                <w:sz w:val="28"/>
                <w:szCs w:val="28"/>
              </w:rPr>
              <w:t>满意度指标</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服务对象满意度指标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服务对象满意度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接受审计单位对审计中介机构和专业技术人员的审计工作满意程度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≥90%</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300" w:lineRule="exact"/>
              <w:jc w:val="left"/>
              <w:rPr>
                <w:rFonts w:ascii="仿宋" w:eastAsia="仿宋" w:cs="仿宋"/>
                <w:bCs/>
                <w:sz w:val="28"/>
                <w:szCs w:val="28"/>
              </w:rPr>
            </w:pPr>
            <w:r>
              <w:rPr>
                <w:rFonts w:ascii="仿宋" w:eastAsia="仿宋" w:cs="仿宋" w:hint="eastAsia"/>
                <w:bCs/>
                <w:sz w:val="28"/>
                <w:szCs w:val="28"/>
              </w:rPr>
              <w:t>根据工作方案</w:t>
            </w:r>
          </w:p>
        </w:tc>
      </w:tr>
    </w:tbl>
    <w:p>
      <w:pPr>
        <w:spacing w:line="300" w:lineRule="exact"/>
        <w:jc w:val="left"/>
        <w:rPr>
          <w:rFonts w:ascii="仿宋" w:eastAsia="仿宋"/>
          <w:sz w:val="32"/>
          <w:szCs w:val="32"/>
        </w:rPr>
        <w:sectPr>
          <w:pgSz w:w="11907" w:h="16839"/>
          <w:pgMar w:top="1984" w:right="1304" w:bottom="1134" w:left="1304" w:header="851" w:footer="992" w:gutter="0"/>
          <w:docGrid w:type="lines" w:linePitch="312" w:charSpace="0"/>
        </w:sectPr>
      </w:pPr>
    </w:p>
    <w:p>
      <w:pPr>
        <w:spacing w:line="520" w:lineRule="exact"/>
        <w:ind w:firstLineChars="200" w:firstLine="640"/>
        <w:jc w:val="left"/>
        <w:rPr>
          <w:rFonts w:ascii="仿宋" w:eastAsia="仿宋" w:cs="宋体"/>
          <w:b/>
          <w:bCs/>
          <w:kern w:val="0"/>
          <w:sz w:val="32"/>
          <w:szCs w:val="32"/>
          <w:lang w:val="zh-CN"/>
        </w:rPr>
      </w:pPr>
      <w:bookmarkEnd w:id="1"/>
      <w:r>
        <w:rPr>
          <w:rFonts w:ascii="黑体" w:eastAsia="黑体" w:cs="黑体" w:hint="eastAsia"/>
          <w:bCs/>
          <w:sz w:val="32"/>
          <w:szCs w:val="32"/>
        </w:rPr>
        <w:t>六、</w:t>
      </w:r>
      <w:r>
        <w:rPr>
          <w:rFonts w:ascii="黑体" w:eastAsia="黑体" w:cs="黑体" w:hint="eastAsia"/>
          <w:bCs/>
          <w:kern w:val="0"/>
          <w:sz w:val="32"/>
          <w:szCs w:val="32"/>
          <w:lang w:val="zh-CN"/>
        </w:rPr>
        <w:t>政府采购预算情况</w:t>
      </w:r>
    </w:p>
    <w:p>
      <w:pPr>
        <w:spacing w:line="520" w:lineRule="exact"/>
        <w:ind w:firstLineChars="200" w:firstLine="640"/>
        <w:jc w:val="left"/>
        <w:rPr>
          <w:rFonts w:ascii="仿宋" w:eastAsia="仿宋" w:cs="仿宋"/>
          <w:bCs/>
          <w:kern w:val="0"/>
          <w:sz w:val="32"/>
          <w:szCs w:val="32"/>
          <w:lang w:val="zh-CN"/>
        </w:rPr>
      </w:pPr>
      <w:r>
        <w:rPr>
          <w:rFonts w:ascii="仿宋" w:eastAsia="仿宋" w:cs="仿宋" w:hint="eastAsia"/>
          <w:bCs/>
          <w:kern w:val="0"/>
          <w:sz w:val="32"/>
          <w:szCs w:val="32"/>
        </w:rPr>
        <w:t>2020年我</w:t>
      </w:r>
      <w:r>
        <w:rPr>
          <w:rFonts w:ascii="仿宋" w:eastAsia="仿宋" w:cs="仿宋" w:hint="eastAsia"/>
          <w:bCs/>
          <w:kern w:val="0"/>
          <w:sz w:val="32"/>
          <w:szCs w:val="32"/>
          <w:lang w:val="zh-CN"/>
        </w:rPr>
        <w:t>部门府采购预算，空表列示。</w:t>
      </w:r>
    </w:p>
    <w:p>
      <w:pPr>
        <w:spacing w:line="400" w:lineRule="exact"/>
        <w:ind w:firstLineChars="200" w:firstLine="560"/>
        <w:jc w:val="center"/>
        <w:outlineLvl w:val="0"/>
        <w:rPr>
          <w:sz w:val="18"/>
          <w:szCs w:val="18"/>
        </w:rPr>
      </w:pPr>
      <w:r>
        <w:rPr>
          <w:rFonts w:ascii="仿宋_GB2312" w:eastAsia="仿宋_GB2312" w:cs="仿宋_GB2312" w:hint="eastAsia"/>
          <w:b/>
          <w:bCs/>
          <w:sz w:val="28"/>
          <w:szCs w:val="28"/>
        </w:rPr>
        <w:t>部门政府采购预算表</w:t>
      </w:r>
      <w:bookmarkStart w:id="6" w:name="_Toc30009658"/>
      <w:bookmarkEnd w:id="6"/>
      <w:r>
        <w:rPr>
          <w:rFonts w:ascii="方正小标宋_GBK" w:eastAsia="方正小标宋_GBK"/>
          <w:vanish/>
          <w:sz w:val="18"/>
          <w:szCs w:val="18"/>
        </w:rPr>
        <w:t xml:space="preserve">{ </w:t>
      </w:r>
      <w:r>
        <w:rPr>
          <w:rFonts w:ascii="方正小标宋_GBK" w:eastAsia="方正小标宋_GBK" w:hint="eastAsia"/>
          <w:vanish/>
          <w:sz w:val="18"/>
          <w:szCs w:val="18"/>
        </w:rPr>
        <w:t>TC 部门政府采购预算 \f A \l 1</w:t>
      </w:r>
      <w:r>
        <w:rPr>
          <w:rFonts w:ascii="方正小标宋_GBK" w:eastAsia="方正小标宋_GBK"/>
          <w:vanish/>
          <w:sz w:val="18"/>
          <w:szCs w:val="18"/>
        </w:rPr>
        <w:t xml:space="preserve"> }</w:t>
      </w:r>
    </w:p>
    <w:tbl>
      <w:tblPr>
        <w:jc w:val="cent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rPr>
          <w:cantSplit/>
          <w:trHeight w:val="307"/>
          <w:tblHeader/>
        </w:trPr>
        <w:tc>
          <w:tcPr>
            <w:tcW w:w="4011" w:type="dxa"/>
            <w:gridSpan w:val="7"/>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400" w:lineRule="exact"/>
              <w:jc w:val="left"/>
              <w:rPr>
                <w:rFonts w:ascii="宋体" w:eastAsia="宋体" w:cs="宋体"/>
                <w:sz w:val="18"/>
                <w:szCs w:val="18"/>
              </w:rPr>
            </w:pPr>
          </w:p>
        </w:tc>
        <w:tc>
          <w:tcPr>
            <w:tcW w:w="4869"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pPr>
              <w:spacing w:line="400" w:lineRule="exact"/>
              <w:jc w:val="right"/>
              <w:rPr>
                <w:rFonts w:ascii="宋体" w:eastAsia="宋体" w:cs="宋体"/>
                <w:sz w:val="18"/>
                <w:szCs w:val="18"/>
              </w:rPr>
            </w:pPr>
            <w:r>
              <w:rPr>
                <w:rFonts w:ascii="宋体" w:eastAsia="宋体" w:cs="宋体" w:hint="eastAsia"/>
                <w:sz w:val="18"/>
                <w:szCs w:val="18"/>
              </w:rPr>
              <w:t>单位：万元</w:t>
            </w:r>
          </w:p>
        </w:tc>
      </w:tr>
      <w:tr>
        <w:trPr>
          <w:cantSplit/>
          <w:trHeight w:val="718"/>
          <w:tblHeader/>
        </w:trPr>
        <w:tc>
          <w:tcPr>
            <w:tcW w:w="12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政府采购项目来源</w:t>
            </w:r>
          </w:p>
        </w:tc>
        <w:tc>
          <w:tcPr>
            <w:tcW w:w="59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采购</w:t>
            </w:r>
          </w:p>
          <w:p>
            <w:pPr>
              <w:spacing w:line="400" w:lineRule="exact"/>
              <w:jc w:val="center"/>
              <w:rPr>
                <w:rFonts w:ascii="宋体" w:eastAsia="宋体" w:cs="宋体"/>
                <w:b/>
                <w:sz w:val="18"/>
                <w:szCs w:val="18"/>
              </w:rPr>
            </w:pPr>
            <w:r>
              <w:rPr>
                <w:rFonts w:ascii="宋体" w:eastAsia="宋体" w:cs="宋体" w:hint="eastAsia"/>
                <w:b/>
                <w:sz w:val="18"/>
                <w:szCs w:val="18"/>
              </w:rPr>
              <w:t>物品</w:t>
            </w:r>
          </w:p>
          <w:p>
            <w:pPr>
              <w:spacing w:line="400" w:lineRule="exact"/>
              <w:jc w:val="center"/>
              <w:rPr>
                <w:rFonts w:ascii="宋体" w:eastAsia="宋体" w:cs="宋体"/>
                <w:b/>
                <w:sz w:val="18"/>
                <w:szCs w:val="18"/>
              </w:rPr>
            </w:pPr>
            <w:r>
              <w:rPr>
                <w:rFonts w:ascii="宋体" w:eastAsia="宋体" w:cs="宋体" w:hint="eastAsia"/>
                <w:b/>
                <w:sz w:val="18"/>
                <w:szCs w:val="18"/>
              </w:rPr>
              <w:t>名称</w:t>
            </w:r>
          </w:p>
        </w:tc>
        <w:tc>
          <w:tcPr>
            <w:tcW w:w="97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政府采购</w:t>
            </w:r>
          </w:p>
          <w:p>
            <w:pPr>
              <w:spacing w:line="400" w:lineRule="exact"/>
              <w:jc w:val="center"/>
              <w:rPr>
                <w:rFonts w:ascii="宋体" w:eastAsia="宋体" w:cs="宋体"/>
                <w:b/>
                <w:sz w:val="18"/>
                <w:szCs w:val="18"/>
              </w:rPr>
            </w:pPr>
            <w:r>
              <w:rPr>
                <w:rFonts w:ascii="宋体" w:eastAsia="宋体" w:cs="宋体" w:hint="eastAsia"/>
                <w:b/>
                <w:sz w:val="18"/>
                <w:szCs w:val="18"/>
              </w:rPr>
              <w:t>目录序号</w:t>
            </w:r>
          </w:p>
        </w:tc>
        <w:tc>
          <w:tcPr>
            <w:tcW w:w="4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计量  单位</w:t>
            </w:r>
          </w:p>
        </w:tc>
        <w:tc>
          <w:tcPr>
            <w:tcW w:w="32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数量</w:t>
            </w:r>
          </w:p>
        </w:tc>
        <w:tc>
          <w:tcPr>
            <w:tcW w:w="4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单价</w:t>
            </w:r>
          </w:p>
        </w:tc>
        <w:tc>
          <w:tcPr>
            <w:tcW w:w="4869"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政府采购金额（当年部门预算安排资金）</w:t>
            </w:r>
          </w:p>
        </w:tc>
      </w:tr>
      <w:tr>
        <w:trPr>
          <w:cantSplit/>
          <w:trHeight w:val="1661"/>
          <w:tblHeader/>
        </w:trPr>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项目</w:t>
            </w:r>
          </w:p>
          <w:p>
            <w:pPr>
              <w:spacing w:line="400" w:lineRule="exact"/>
              <w:jc w:val="center"/>
              <w:rPr>
                <w:rFonts w:ascii="宋体" w:eastAsia="宋体" w:cs="宋体"/>
                <w:b/>
                <w:sz w:val="18"/>
                <w:szCs w:val="18"/>
              </w:rPr>
            </w:pPr>
            <w:r>
              <w:rPr>
                <w:rFonts w:ascii="宋体" w:eastAsia="宋体" w:cs="宋体" w:hint="eastAsia"/>
                <w:b/>
                <w:sz w:val="18"/>
                <w:szCs w:val="18"/>
              </w:rPr>
              <w:t>名称</w:t>
            </w:r>
          </w:p>
        </w:tc>
        <w:tc>
          <w:tcPr>
            <w:tcW w:w="6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预算</w:t>
            </w:r>
          </w:p>
          <w:p>
            <w:pPr>
              <w:spacing w:line="400" w:lineRule="exact"/>
              <w:jc w:val="center"/>
              <w:rPr>
                <w:rFonts w:ascii="宋体" w:eastAsia="宋体" w:cs="宋体"/>
                <w:b/>
                <w:sz w:val="18"/>
                <w:szCs w:val="18"/>
              </w:rPr>
            </w:pPr>
            <w:r>
              <w:rPr>
                <w:rFonts w:ascii="宋体" w:eastAsia="宋体" w:cs="宋体" w:hint="eastAsia"/>
                <w:b/>
                <w:sz w:val="18"/>
                <w:szCs w:val="18"/>
              </w:rPr>
              <w:t>资金</w:t>
            </w:r>
          </w:p>
        </w:tc>
        <w:tc>
          <w:tcPr>
            <w:tcW w:w="59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97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4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3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4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合计</w:t>
            </w:r>
          </w:p>
        </w:tc>
        <w:tc>
          <w:tcPr>
            <w:tcW w:w="82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一般公共预算拨款</w:t>
            </w:r>
          </w:p>
        </w:tc>
        <w:tc>
          <w:tcPr>
            <w:tcW w:w="67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基金预算拨款</w:t>
            </w:r>
          </w:p>
        </w:tc>
        <w:tc>
          <w:tcPr>
            <w:tcW w:w="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国有资本经营预算拨款</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财政专户核拨</w:t>
            </w:r>
          </w:p>
        </w:tc>
        <w:tc>
          <w:tcPr>
            <w:tcW w:w="110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r>
              <w:rPr>
                <w:rFonts w:ascii="宋体" w:eastAsia="宋体" w:cs="宋体" w:hint="eastAsia"/>
                <w:b/>
                <w:sz w:val="18"/>
                <w:szCs w:val="18"/>
              </w:rPr>
              <w:t>其他来源收入</w:t>
            </w:r>
          </w:p>
        </w:tc>
      </w:tr>
      <w:tr>
        <w:trPr>
          <w:cantSplit/>
          <w:trHeight w:val="465"/>
        </w:trPr>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left"/>
              <w:rPr>
                <w:rFonts w:ascii="宋体" w:eastAsia="宋体" w:cs="宋体"/>
                <w:b/>
                <w:sz w:val="18"/>
                <w:szCs w:val="18"/>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left"/>
              <w:rPr>
                <w:rFonts w:ascii="宋体" w:eastAsia="宋体" w:cs="宋体"/>
                <w:b/>
                <w:sz w:val="18"/>
                <w:szCs w:val="18"/>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b/>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41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rPr>
                <w:rFonts w:ascii="宋体" w:eastAsia="宋体" w:cs="宋体"/>
                <w:b/>
                <w:sz w:val="18"/>
                <w:szCs w:val="18"/>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b/>
                <w:sz w:val="18"/>
                <w:szCs w:val="18"/>
              </w:rPr>
            </w:pPr>
          </w:p>
        </w:tc>
      </w:tr>
      <w:tr>
        <w:trPr>
          <w:cantSplit/>
          <w:trHeight w:val="403"/>
        </w:trPr>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left"/>
              <w:rPr>
                <w:rFonts w:ascii="宋体" w:eastAsia="宋体" w:cs="宋体"/>
                <w:sz w:val="18"/>
                <w:szCs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59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left"/>
              <w:rPr>
                <w:rFonts w:ascii="宋体" w:eastAsia="宋体" w:cs="宋体"/>
                <w:sz w:val="18"/>
                <w:szCs w:val="18"/>
              </w:rPr>
            </w:pPr>
          </w:p>
        </w:tc>
        <w:tc>
          <w:tcPr>
            <w:tcW w:w="97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left"/>
              <w:rPr>
                <w:rFonts w:ascii="宋体" w:eastAsia="宋体" w:cs="宋体"/>
                <w:sz w:val="18"/>
                <w:szCs w:val="18"/>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center"/>
              <w:rPr>
                <w:rFonts w:ascii="宋体" w:eastAsia="宋体" w:cs="宋体"/>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41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54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822"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64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c>
          <w:tcPr>
            <w:tcW w:w="1106" w:type="dxa"/>
            <w:tcBorders>
              <w:top w:val="single" w:sz="6" w:space="0" w:color="000000"/>
              <w:left w:val="single" w:sz="6" w:space="0" w:color="000000"/>
              <w:bottom w:val="single" w:sz="6" w:space="0" w:color="000000"/>
              <w:right w:val="single" w:sz="6" w:space="0" w:color="000000"/>
            </w:tcBorders>
            <w:shd w:val="clear" w:color="auto" w:fill="auto"/>
            <w:vAlign w:val="center"/>
          </w:tcPr>
          <w:p>
            <w:pPr>
              <w:spacing w:line="400" w:lineRule="exact"/>
              <w:jc w:val="right"/>
              <w:rPr>
                <w:rFonts w:ascii="宋体" w:eastAsia="宋体" w:cs="宋体"/>
                <w:sz w:val="18"/>
                <w:szCs w:val="18"/>
              </w:rPr>
            </w:pPr>
          </w:p>
        </w:tc>
      </w:tr>
    </w:tbl>
    <w:p>
      <w:pPr>
        <w:spacing w:line="400" w:lineRule="exact"/>
        <w:rPr>
          <w:rFonts w:ascii="楷体_GB2312" w:eastAsia="楷体_GB2312" w:cs="楷体_GB2312"/>
          <w:b/>
          <w:bCs/>
          <w:sz w:val="28"/>
          <w:szCs w:val="28"/>
        </w:rPr>
      </w:pPr>
      <w:r>
        <w:rPr>
          <w:rFonts w:ascii="楷体_GB2312" w:eastAsia="楷体_GB2312" w:cs="楷体_GB2312" w:hint="eastAsia"/>
          <w:b/>
          <w:bCs/>
          <w:sz w:val="28"/>
          <w:szCs w:val="28"/>
        </w:rPr>
        <w:t>注：无政府采购预算，空表列示。</w:t>
      </w:r>
    </w:p>
    <w:p>
      <w:pPr>
        <w:spacing w:line="520" w:lineRule="exact"/>
        <w:ind w:firstLineChars="200" w:firstLine="640"/>
        <w:jc w:val="left"/>
        <w:rPr>
          <w:rFonts w:ascii="仿宋" w:eastAsia="仿宋" w:cs="仿宋"/>
          <w:bCs/>
          <w:kern w:val="0"/>
          <w:sz w:val="32"/>
          <w:szCs w:val="32"/>
          <w:lang w:val="zh-CN"/>
        </w:rPr>
      </w:pPr>
    </w:p>
    <w:p>
      <w:pPr>
        <w:spacing w:line="520" w:lineRule="exact"/>
        <w:ind w:firstLineChars="200" w:firstLine="640"/>
        <w:jc w:val="left"/>
        <w:rPr>
          <w:rFonts w:ascii="黑体" w:eastAsia="黑体" w:cs="黑体"/>
          <w:bCs/>
          <w:sz w:val="32"/>
          <w:szCs w:val="32"/>
        </w:rPr>
      </w:pPr>
      <w:r>
        <w:rPr>
          <w:rFonts w:ascii="黑体" w:eastAsia="黑体" w:cs="黑体" w:hint="eastAsia"/>
          <w:bCs/>
          <w:sz w:val="32"/>
          <w:szCs w:val="32"/>
        </w:rPr>
        <w:t>七、国有资产信息情况</w:t>
      </w:r>
    </w:p>
    <w:p>
      <w:pPr>
        <w:pStyle w:val="18"/>
        <w:shd w:val="clear" w:color="auto" w:fill="FFFFFF"/>
        <w:spacing w:line="520" w:lineRule="exact"/>
        <w:ind w:firstLine="640"/>
        <w:rPr>
          <w:rFonts w:ascii="仿宋" w:eastAsia="仿宋" w:cs="仿宋"/>
          <w:sz w:val="32"/>
          <w:szCs w:val="32"/>
        </w:rPr>
      </w:pPr>
      <w:r>
        <w:rPr>
          <w:rFonts w:ascii="仿宋" w:eastAsia="仿宋" w:cs="仿宋" w:hint="eastAsia"/>
          <w:sz w:val="32"/>
          <w:szCs w:val="32"/>
        </w:rPr>
        <w:t xml:space="preserve">我部门无办公用房，在县委办公楼统一办公，2019年末固定资产总额80.33万元，其中有公务用车二辆，价值29.9万元；其他固定资产价值为50.43万元（包括计算机、打印机、办公家具、空调等）；我单位无单价20万元以上设备，2020年我部门无购置固定资产计划。         </w:t>
      </w:r>
    </w:p>
    <w:p>
      <w:pPr>
        <w:pStyle w:val="18"/>
        <w:shd w:val="clear" w:color="auto" w:fill="FFFFFF"/>
        <w:spacing w:line="560" w:lineRule="exact"/>
        <w:ind w:firstLine="640"/>
        <w:rPr>
          <w:rFonts w:ascii="仿宋" w:eastAsia="仿宋" w:cs="仿宋"/>
          <w:sz w:val="32"/>
          <w:szCs w:val="32"/>
        </w:rPr>
      </w:pPr>
      <w:r>
        <w:rPr>
          <w:rFonts w:ascii="仿宋" w:eastAsia="仿宋" w:cs="仿宋" w:hint="eastAsia"/>
          <w:sz w:val="32"/>
          <w:szCs w:val="32"/>
        </w:rPr>
        <w:t xml:space="preserve">            </w:t>
      </w:r>
    </w:p>
    <w:p>
      <w:pPr>
        <w:pStyle w:val="18"/>
        <w:shd w:val="clear" w:color="auto" w:fill="FFFFFF"/>
        <w:spacing w:line="560" w:lineRule="exact"/>
        <w:ind w:firstLine="640"/>
        <w:rPr>
          <w:rFonts w:ascii="仿宋" w:eastAsia="仿宋" w:cs="仿宋"/>
          <w:b/>
          <w:bCs/>
          <w:sz w:val="32"/>
          <w:szCs w:val="32"/>
        </w:rPr>
      </w:pPr>
      <w:r>
        <w:rPr>
          <w:rFonts w:ascii="仿宋" w:eastAsia="仿宋" w:cs="仿宋" w:hint="eastAsia"/>
          <w:sz w:val="32"/>
          <w:szCs w:val="32"/>
        </w:rPr>
        <w:t xml:space="preserve">   </w:t>
      </w:r>
      <w:r>
        <w:rPr>
          <w:rFonts w:ascii="仿宋" w:eastAsia="仿宋" w:cs="仿宋" w:hint="eastAsia"/>
          <w:b/>
          <w:bCs/>
          <w:sz w:val="32"/>
          <w:szCs w:val="32"/>
        </w:rPr>
        <w:t xml:space="preserve"> 涞水县审计局固定资产占用情况表</w:t>
      </w:r>
    </w:p>
    <w:p>
      <w:pPr>
        <w:pStyle w:val="18"/>
        <w:shd w:val="clear" w:color="auto" w:fill="FFFFFF"/>
        <w:spacing w:line="560" w:lineRule="exact"/>
        <w:ind w:firstLine="640"/>
        <w:rPr>
          <w:rFonts w:ascii="仿宋" w:eastAsia="仿宋" w:cs="仿宋"/>
          <w:sz w:val="32"/>
          <w:szCs w:val="32"/>
        </w:rPr>
      </w:pPr>
      <w:r>
        <w:rPr>
          <w:rFonts w:ascii="仿宋" w:eastAsia="仿宋" w:cs="仿宋" w:hint="eastAsia"/>
          <w:sz w:val="32"/>
          <w:szCs w:val="32"/>
        </w:rPr>
        <w:t xml:space="preserve">                     </w:t>
      </w:r>
      <w:r>
        <w:rPr>
          <w:rFonts w:ascii="仿宋" w:eastAsia="仿宋" w:cs="仿宋" w:hint="eastAsia"/>
          <w:bCs/>
          <w:color w:val="000000"/>
          <w:sz w:val="32"/>
          <w:szCs w:val="32"/>
        </w:rPr>
        <w:t>截止时间：2019年12月31日</w:t>
      </w:r>
      <w:r>
        <w:rPr>
          <w:rFonts w:ascii="仿宋" w:eastAsia="仿宋" w:cs="仿宋" w:hint="eastAsia"/>
          <w:sz w:val="32"/>
          <w:szCs w:val="32"/>
        </w:rPr>
        <w:t xml:space="preserve">   </w:t>
      </w:r>
    </w:p>
    <w:tbl>
      <w:tblPr>
        <w:jc w:val="left"/>
        <w:tblInd w:w="-462" w:type="dxa"/>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5237"/>
        <w:gridCol w:w="975"/>
        <w:gridCol w:w="3343"/>
      </w:tblGrid>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项　　目</w:t>
            </w:r>
          </w:p>
        </w:tc>
        <w:tc>
          <w:tcPr>
            <w:tcW w:w="97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数量</w:t>
            </w:r>
          </w:p>
        </w:tc>
        <w:tc>
          <w:tcPr>
            <w:tcW w:w="334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价值（单位：万元）</w:t>
            </w: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固定资产总额</w:t>
            </w:r>
          </w:p>
        </w:tc>
        <w:tc>
          <w:tcPr>
            <w:tcW w:w="97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color w:val="000000"/>
                <w:kern w:val="0"/>
                <w:sz w:val="32"/>
                <w:szCs w:val="32"/>
              </w:rPr>
              <w:t>—</w:t>
            </w:r>
          </w:p>
        </w:tc>
        <w:tc>
          <w:tcPr>
            <w:tcW w:w="334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color w:val="000000"/>
                <w:kern w:val="0"/>
                <w:sz w:val="32"/>
                <w:szCs w:val="32"/>
              </w:rPr>
              <w:t>80.33</w:t>
            </w: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hint="eastAsia"/>
                <w:color w:val="000000"/>
                <w:kern w:val="0"/>
                <w:sz w:val="32"/>
                <w:szCs w:val="32"/>
              </w:rPr>
              <w:t xml:space="preserve">  1、房屋（平方米）</w:t>
            </w:r>
          </w:p>
        </w:tc>
        <w:tc>
          <w:tcPr>
            <w:tcW w:w="97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p>
        </w:tc>
        <w:tc>
          <w:tcPr>
            <w:tcW w:w="334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spacing w:line="560" w:lineRule="exact"/>
              <w:jc w:val="left"/>
              <w:rPr>
                <w:rFonts w:ascii="仿宋" w:eastAsia="仿宋" w:cs="仿宋"/>
                <w:sz w:val="32"/>
                <w:szCs w:val="32"/>
              </w:rPr>
            </w:pPr>
            <w:r>
              <w:rPr>
                <w:rFonts w:ascii="仿宋" w:eastAsia="仿宋" w:cs="仿宋" w:hint="eastAsia"/>
                <w:color w:val="000000"/>
                <w:kern w:val="0"/>
                <w:sz w:val="32"/>
                <w:szCs w:val="32"/>
              </w:rPr>
              <w:t xml:space="preserve">   其中：办公用房（平方米）</w:t>
            </w:r>
          </w:p>
        </w:tc>
        <w:tc>
          <w:tcPr>
            <w:tcW w:w="97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p>
        </w:tc>
        <w:tc>
          <w:tcPr>
            <w:tcW w:w="3343"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hint="eastAsia"/>
                <w:color w:val="000000"/>
                <w:kern w:val="0"/>
                <w:sz w:val="32"/>
                <w:szCs w:val="32"/>
              </w:rPr>
              <w:t xml:space="preserve">  2、车辆（台、辆）</w:t>
            </w:r>
          </w:p>
        </w:tc>
        <w:tc>
          <w:tcPr>
            <w:tcW w:w="97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color w:val="000000"/>
                <w:kern w:val="0"/>
                <w:sz w:val="32"/>
                <w:szCs w:val="32"/>
              </w:rPr>
              <w:t>2</w:t>
            </w:r>
          </w:p>
        </w:tc>
        <w:tc>
          <w:tcPr>
            <w:tcW w:w="334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color w:val="000000"/>
                <w:kern w:val="0"/>
                <w:sz w:val="32"/>
                <w:szCs w:val="32"/>
              </w:rPr>
              <w:t>29.9</w:t>
            </w: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hint="eastAsia"/>
                <w:color w:val="000000"/>
                <w:kern w:val="0"/>
                <w:sz w:val="32"/>
                <w:szCs w:val="32"/>
              </w:rPr>
              <w:t xml:space="preserve">  3、单价在20万元以上的设备</w:t>
            </w:r>
          </w:p>
        </w:tc>
        <w:tc>
          <w:tcPr>
            <w:tcW w:w="975"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color w:val="000000"/>
                <w:kern w:val="0"/>
                <w:sz w:val="32"/>
                <w:szCs w:val="32"/>
              </w:rPr>
              <w:t>—</w:t>
            </w:r>
          </w:p>
        </w:tc>
        <w:tc>
          <w:tcPr>
            <w:tcW w:w="334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color w:val="000000"/>
                <w:kern w:val="0"/>
                <w:sz w:val="32"/>
                <w:szCs w:val="32"/>
              </w:rPr>
              <w:t>0.00</w:t>
            </w:r>
          </w:p>
        </w:tc>
      </w:tr>
      <w:tr>
        <w:trPr>
          <w:trHeight w:val="567"/>
        </w:trPr>
        <w:tc>
          <w:tcPr>
            <w:tcW w:w="5237" w:type="dxa"/>
            <w:tcBorders>
              <w:top w:val="single" w:sz="4" w:space="0" w:color="auto"/>
              <w:left w:val="single" w:sz="4" w:space="0" w:color="auto"/>
              <w:bottom w:val="single" w:sz="4" w:space="0" w:color="auto"/>
              <w:right w:val="single" w:sz="4" w:space="0" w:color="auto"/>
            </w:tcBorders>
            <w:vAlign w:val="center"/>
          </w:tcPr>
          <w:p>
            <w:pPr>
              <w:spacing w:line="560" w:lineRule="exact"/>
              <w:jc w:val="left"/>
              <w:rPr>
                <w:rFonts w:ascii="仿宋" w:eastAsia="仿宋" w:cs="仿宋"/>
                <w:sz w:val="32"/>
                <w:szCs w:val="32"/>
              </w:rPr>
            </w:pPr>
            <w:r>
              <w:rPr>
                <w:rFonts w:ascii="仿宋" w:eastAsia="仿宋" w:cs="仿宋" w:hint="eastAsia"/>
                <w:color w:val="000000"/>
                <w:kern w:val="0"/>
                <w:sz w:val="32"/>
                <w:szCs w:val="32"/>
              </w:rPr>
              <w:t xml:space="preserve">  4、其他固定资产</w:t>
            </w:r>
          </w:p>
        </w:tc>
        <w:tc>
          <w:tcPr>
            <w:tcW w:w="97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r>
              <w:rPr>
                <w:rFonts w:ascii="仿宋" w:eastAsia="仿宋" w:cs="仿宋" w:hint="eastAsia"/>
                <w:color w:val="000000"/>
                <w:kern w:val="0"/>
                <w:sz w:val="32"/>
                <w:szCs w:val="32"/>
              </w:rPr>
              <w:t>—</w:t>
            </w:r>
          </w:p>
        </w:tc>
        <w:tc>
          <w:tcPr>
            <w:tcW w:w="3343"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r>
              <w:rPr>
                <w:rFonts w:ascii="仿宋" w:eastAsia="仿宋" w:cs="仿宋" w:hint="eastAsia"/>
                <w:color w:val="000000"/>
                <w:kern w:val="0"/>
                <w:sz w:val="32"/>
                <w:szCs w:val="32"/>
              </w:rPr>
              <w:t>50.43</w:t>
            </w:r>
          </w:p>
        </w:tc>
      </w:tr>
    </w:tbl>
    <w:p>
      <w:pPr>
        <w:spacing w:line="560" w:lineRule="exact"/>
        <w:jc w:val="left"/>
        <w:rPr>
          <w:rFonts w:ascii="仿宋" w:eastAsia="仿宋" w:cs="仿宋"/>
          <w:sz w:val="32"/>
          <w:szCs w:val="32"/>
        </w:rPr>
      </w:pPr>
    </w:p>
    <w:p>
      <w:pPr>
        <w:spacing w:line="520" w:lineRule="exact"/>
        <w:ind w:firstLineChars="196" w:firstLine="627"/>
        <w:rPr>
          <w:rFonts w:ascii="黑体" w:eastAsia="黑体" w:cs="黑体"/>
          <w:bCs/>
          <w:sz w:val="32"/>
          <w:szCs w:val="32"/>
        </w:rPr>
      </w:pPr>
      <w:r>
        <w:rPr>
          <w:rFonts w:ascii="黑体" w:eastAsia="黑体" w:cs="黑体" w:hint="eastAsia"/>
          <w:bCs/>
          <w:sz w:val="32"/>
          <w:szCs w:val="32"/>
        </w:rPr>
        <w:t>八、专业名词解释</w:t>
      </w:r>
    </w:p>
    <w:p>
      <w:pPr>
        <w:spacing w:line="520" w:lineRule="exact"/>
        <w:ind w:firstLineChars="196" w:firstLine="627"/>
        <w:rPr>
          <w:rFonts w:ascii="仿宋" w:eastAsia="仿宋" w:cs="仿宋"/>
          <w:sz w:val="32"/>
          <w:szCs w:val="32"/>
        </w:rPr>
      </w:pPr>
      <w:r>
        <w:rPr>
          <w:rFonts w:ascii="仿宋" w:eastAsia="仿宋" w:cs="仿宋" w:hint="eastAsia"/>
          <w:b/>
          <w:bCs/>
          <w:sz w:val="32"/>
          <w:szCs w:val="32"/>
        </w:rPr>
        <w:t>1、一般公共预算财政拨款收入：</w:t>
      </w:r>
      <w:r>
        <w:rPr>
          <w:rFonts w:ascii="仿宋" w:eastAsia="仿宋" w:cs="仿宋" w:hint="eastAsia"/>
          <w:sz w:val="32"/>
          <w:szCs w:val="32"/>
        </w:rPr>
        <w:t>县级财政当年拨付的资金。</w:t>
      </w:r>
    </w:p>
    <w:p>
      <w:pPr>
        <w:pStyle w:val="18"/>
        <w:widowControl/>
        <w:spacing w:line="520" w:lineRule="exact"/>
        <w:ind w:firstLineChars="180" w:firstLine="576"/>
        <w:rPr>
          <w:rFonts w:ascii="仿宋" w:eastAsia="仿宋" w:cs="仿宋"/>
          <w:sz w:val="32"/>
          <w:szCs w:val="32"/>
        </w:rPr>
      </w:pPr>
      <w:r>
        <w:rPr>
          <w:rStyle w:val="19"/>
          <w:rFonts w:ascii="仿宋" w:eastAsia="仿宋" w:cs="仿宋" w:hint="eastAsia"/>
          <w:sz w:val="32"/>
          <w:szCs w:val="32"/>
          <w:shd w:val="clear" w:color="auto" w:fill="FFFFFF"/>
        </w:rPr>
        <w:t>2、其他收入：</w:t>
      </w:r>
      <w:r>
        <w:rPr>
          <w:rFonts w:ascii="仿宋" w:eastAsia="仿宋" w:cs="仿宋" w:hint="eastAsia"/>
          <w:sz w:val="32"/>
          <w:szCs w:val="32"/>
          <w:shd w:val="clear" w:color="auto" w:fill="FFFFFF"/>
        </w:rPr>
        <w:t>指除上述财政拨款收入以外的收入。主要是存款利息收入。</w:t>
      </w:r>
    </w:p>
    <w:p>
      <w:pPr>
        <w:pStyle w:val="18"/>
        <w:widowControl/>
        <w:spacing w:line="520" w:lineRule="exact"/>
        <w:ind w:firstLineChars="180" w:firstLine="576"/>
        <w:rPr>
          <w:rFonts w:ascii="仿宋" w:eastAsia="仿宋" w:cs="仿宋"/>
          <w:sz w:val="32"/>
          <w:szCs w:val="32"/>
        </w:rPr>
      </w:pPr>
      <w:r>
        <w:rPr>
          <w:rStyle w:val="19"/>
          <w:rFonts w:ascii="仿宋" w:eastAsia="仿宋" w:cs="仿宋" w:hint="eastAsia"/>
          <w:color w:val="000000"/>
          <w:sz w:val="32"/>
          <w:szCs w:val="32"/>
          <w:shd w:val="clear" w:color="auto" w:fill="FFFFFF"/>
        </w:rPr>
        <w:t>3</w:t>
      </w:r>
      <w:r>
        <w:rPr>
          <w:rFonts w:ascii="仿宋" w:eastAsia="仿宋" w:cs="仿宋" w:hint="eastAsia"/>
          <w:b/>
          <w:bCs/>
          <w:sz w:val="32"/>
          <w:szCs w:val="32"/>
        </w:rPr>
        <w:t>、基本支出：</w:t>
      </w:r>
      <w:r>
        <w:rPr>
          <w:rFonts w:ascii="仿宋" w:eastAsia="仿宋" w:cs="仿宋" w:hint="eastAsia"/>
          <w:sz w:val="32"/>
          <w:szCs w:val="32"/>
        </w:rPr>
        <w:t>指为保障机构正常运转、完成日常工作任务而发生的人员支出和公用支出。</w:t>
      </w:r>
    </w:p>
    <w:p>
      <w:pPr>
        <w:pStyle w:val="18"/>
        <w:widowControl/>
        <w:spacing w:line="520" w:lineRule="exact"/>
        <w:rPr>
          <w:rFonts w:ascii="仿宋" w:eastAsia="仿宋" w:cs="仿宋"/>
          <w:sz w:val="32"/>
          <w:szCs w:val="32"/>
        </w:rPr>
      </w:pPr>
      <w:r>
        <w:rPr>
          <w:rFonts w:ascii="仿宋" w:eastAsia="仿宋" w:cs="仿宋" w:hint="eastAsia"/>
          <w:b/>
          <w:bCs/>
          <w:sz w:val="32"/>
          <w:szCs w:val="32"/>
        </w:rPr>
        <w:t xml:space="preserve">    4、项目支出</w:t>
      </w:r>
      <w:r>
        <w:rPr>
          <w:rFonts w:ascii="仿宋" w:eastAsia="仿宋" w:cs="仿宋" w:hint="eastAsia"/>
          <w:sz w:val="32"/>
          <w:szCs w:val="32"/>
        </w:rPr>
        <w:t>：指在基本支出之外为完成特定行政任务和事业发展目标所发生的支出。</w:t>
      </w:r>
    </w:p>
    <w:p>
      <w:pPr>
        <w:pStyle w:val="18"/>
        <w:widowControl/>
        <w:spacing w:line="520" w:lineRule="exact"/>
        <w:ind w:firstLineChars="200" w:firstLine="640"/>
        <w:rPr>
          <w:rFonts w:ascii="仿宋" w:eastAsia="仿宋" w:cs="仿宋"/>
          <w:sz w:val="32"/>
          <w:szCs w:val="32"/>
        </w:rPr>
      </w:pPr>
      <w:r>
        <w:rPr>
          <w:rFonts w:ascii="仿宋" w:eastAsia="仿宋" w:cs="仿宋" w:hint="eastAsia"/>
          <w:b/>
          <w:bCs/>
          <w:sz w:val="32"/>
          <w:szCs w:val="32"/>
        </w:rPr>
        <w:t>5、“三公”经费：</w:t>
      </w:r>
      <w:r>
        <w:rPr>
          <w:rFonts w:ascii="仿宋" w:eastAsia="仿宋" w:cs="仿宋" w:hint="eastAsia"/>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widowControl/>
        <w:spacing w:line="520" w:lineRule="exact"/>
        <w:ind w:firstLineChars="200" w:firstLine="640"/>
        <w:rPr>
          <w:rFonts w:ascii="仿宋" w:eastAsia="仿宋" w:cs="仿宋"/>
          <w:sz w:val="32"/>
          <w:szCs w:val="32"/>
        </w:rPr>
      </w:pPr>
      <w:r>
        <w:rPr>
          <w:rFonts w:ascii="仿宋" w:eastAsia="仿宋" w:cs="仿宋" w:hint="eastAsia"/>
          <w:b/>
          <w:bCs/>
          <w:sz w:val="32"/>
          <w:szCs w:val="32"/>
        </w:rPr>
        <w:t>6、机关运行经费：</w:t>
      </w:r>
      <w:r>
        <w:rPr>
          <w:rFonts w:ascii="仿宋" w:eastAsia="仿宋" w:cs="仿宋"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rFonts w:ascii="仿宋" w:eastAsia="仿宋" w:cs="仿宋"/>
          <w:b/>
          <w:bCs/>
          <w:sz w:val="32"/>
          <w:szCs w:val="32"/>
        </w:rPr>
      </w:pPr>
      <w:r>
        <w:rPr>
          <w:rFonts w:ascii="仿宋" w:eastAsia="仿宋" w:cs="仿宋" w:hint="eastAsia"/>
          <w:sz w:val="32"/>
          <w:szCs w:val="32"/>
        </w:rPr>
        <w:t xml:space="preserve">  </w:t>
      </w:r>
      <w:r>
        <w:rPr>
          <w:rFonts w:ascii="黑体" w:eastAsia="黑体" w:cs="黑体" w:hint="eastAsia"/>
          <w:sz w:val="32"/>
          <w:szCs w:val="32"/>
        </w:rPr>
        <w:t xml:space="preserve">  九、其他需要说明的事项</w:t>
      </w:r>
    </w:p>
    <w:p>
      <w:pPr>
        <w:spacing w:line="520" w:lineRule="exact"/>
        <w:ind w:firstLine="640"/>
        <w:jc w:val="right"/>
        <w:rPr>
          <w:rFonts w:ascii="仿宋" w:eastAsia="仿宋" w:cs="仿宋"/>
          <w:sz w:val="32"/>
          <w:szCs w:val="32"/>
        </w:rPr>
      </w:pPr>
      <w:r>
        <w:rPr>
          <w:rFonts w:ascii="仿宋" w:eastAsia="仿宋" w:cs="仿宋" w:hint="eastAsia"/>
          <w:sz w:val="32"/>
          <w:szCs w:val="32"/>
        </w:rPr>
        <w:t xml:space="preserve">我部门无政府性基金预算及国有资本经营预算，空表列示。 </w:t>
      </w:r>
    </w:p>
    <w:p>
      <w:pPr>
        <w:spacing w:line="520" w:lineRule="exact"/>
        <w:ind w:firstLine="640"/>
        <w:jc w:val="right"/>
        <w:rPr>
          <w:rFonts w:ascii="仿宋" w:eastAsia="仿宋" w:cs="仿宋"/>
          <w:sz w:val="32"/>
          <w:szCs w:val="32"/>
        </w:rPr>
      </w:pPr>
      <w:r>
        <w:rPr>
          <w:rFonts w:ascii="仿宋" w:eastAsia="仿宋" w:cs="仿宋" w:hint="eastAsia"/>
          <w:sz w:val="32"/>
          <w:szCs w:val="32"/>
        </w:rPr>
        <w:t xml:space="preserve">                         </w:t>
      </w:r>
    </w:p>
    <w:sectPr>
      <w:footerReference w:type="default" r:id="rId2"/>
      <w:footerReference w:type="even" r:id="rId3"/>
      <w:pgSz w:w="12240" w:h="15840"/>
      <w:pgMar w:top="1440" w:right="1800" w:bottom="1440" w:left="1800" w:header="720" w:footer="720" w:gutter="0"/>
      <w:docGrid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方正小标宋_GBK">
    <w:altName w:val="宋体"/>
    <w:panose1 w:val="00000000000000000000"/>
    <w:charset w:val="00"/>
    <w:family w:val="auto"/>
    <w:pitch w:val="variable"/>
    <w:sig w:usb0="00000000" w:usb1="00000000" w:usb2="00000000" w:usb3="00000000" w:csb0="00000000" w:csb1="00000000"/>
  </w:font>
  <w:font w:name="楷体_GB2312">
    <w:altName w:val="楷体"/>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jc w:val="right"/>
    </w:pP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58D2325A"/>
    <w:multiLevelType w:val="singleLevel"/>
    <w:tmpl w:val="58D2325A"/>
    <w:lvl w:ilvl="0">
      <w:start w:val="1"/>
      <w:numFmt w:val="decimal"/>
      <w:lvlRestart w:val="0"/>
      <w:suff w:val="nothing"/>
      <w:lvlText w:val="%1、"/>
      <w:lvlJc w:val="left"/>
      <w:pPr>
        <w:ind w:left="0" w:hanging="0"/>
      </w:pPr>
    </w:lvl>
  </w:abstractNum>
  <w:abstractNum w:abstractNumId="1">
    <w:nsid w:val="81D14C34"/>
    <w:multiLevelType w:val="singleLevel"/>
    <w:tmpl w:val="81D14C34"/>
    <w:lvl w:ilvl="0">
      <w:start w:val="2"/>
      <w:numFmt w:val="chineseCounting"/>
      <w:lvlRestart w:val="0"/>
      <w:suff w:val="nothing"/>
      <w:lvlText w:val="（%1）"/>
      <w:lvlJc w:val="left"/>
      <w:pPr>
        <w:ind w:left="0" w:hanging="0"/>
      </w:pPr>
      <w:rPr>
        <w:rFonts w:hint="eastAsia"/>
      </w:rPr>
    </w:lvl>
  </w:abstractNum>
  <w:abstractNum w:abstractNumId="2">
    <w:nsid w:val="157E3F66"/>
    <w:multiLevelType w:val="multilevel"/>
    <w:tmpl w:val="157E3F66"/>
    <w:lvl w:ilvl="0">
      <w:start w:val="1"/>
      <w:numFmt w:val="decimal"/>
      <w:lvlRestart w:val="0"/>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Normal (Web)"/>
    <w:basedOn w:val="0"/>
    <w:pPr>
      <w:jc w:val="left"/>
    </w:pPr>
    <w:rPr>
      <w:kern w:val="0"/>
      <w:sz w:val="24"/>
    </w:rPr>
  </w:style>
  <w:style w:type="character" w:styleId="19">
    <w:name w:val="Strong"/>
    <w:rPr>
      <w:b/>
    </w:rPr>
  </w:style>
  <w:style w:type="paragraph" w:customStyle="1" w:styleId="20">
    <w:name w:val="列出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Yozo_Office27021597764231179</Application>
  <Pages>9</Pages>
  <Words>3707</Words>
  <Characters>3933</Characters>
  <Lines>404</Lines>
  <Paragraphs>213</Paragraphs>
  <CharactersWithSpaces>4078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涞水县委党校</dc:title>
  <dc:creator>清华同方</dc:creator>
  <cp:lastModifiedBy>lenovo</cp:lastModifiedBy>
  <cp:revision>50</cp:revision>
  <cp:lastPrinted>2019-01-29T06:05:00Z</cp:lastPrinted>
  <dcterms:created xsi:type="dcterms:W3CDTF">2020-02-03T08:25:00Z</dcterms:created>
  <dcterms:modified xsi:type="dcterms:W3CDTF">2023-11-10T02:21:23Z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2052-10.1.0.5866</vt:lpwstr>
  </property>
  <property fmtid="{D5CDD505-2E9C-101B-9397-08002B2CF9AE}" pid="3" name="ICV">
    <vt:lpwstr>2B3D10114A894DD387227999A89AE5FD</vt:lpwstr>
  </property>
</Properties>
</file>