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610"/>
      <w:r>
        <w:rPr>
          <w:rFonts w:ascii="黑体" w:hAnsi="黑体" w:eastAsia="黑体" w:cs="黑体"/>
          <w:b/>
          <w:color w:val="000000"/>
          <w:sz w:val="44"/>
        </w:rPr>
        <w:t>2022年</w:t>
      </w:r>
      <w:r>
        <w:rPr>
          <w:rFonts w:hint="eastAsia" w:ascii="黑体" w:hAnsi="黑体" w:eastAsia="黑体" w:cs="黑体"/>
          <w:b/>
          <w:color w:val="000000"/>
          <w:sz w:val="44"/>
          <w:lang w:eastAsia="zh-CN"/>
        </w:rPr>
        <w:t>涞水县检察院</w:t>
      </w:r>
      <w:r>
        <w:rPr>
          <w:rFonts w:ascii="黑体" w:hAnsi="黑体" w:eastAsia="黑体" w:cs="黑体"/>
          <w:b/>
          <w:color w:val="000000"/>
          <w:sz w:val="44"/>
        </w:rPr>
        <w:t>部门预算信息公开目录</w:t>
      </w:r>
      <w:bookmarkEnd w:id="0"/>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sdt>
      <w:sdtPr>
        <w:rPr>
          <w:rFonts w:ascii="宋体" w:hAnsi="宋体" w:eastAsia="宋体"/>
          <w:color w:val="000000"/>
          <w:sz w:val="21"/>
        </w:rPr>
        <w:id w:val="147466450"/>
        <w15:color w:val="DBDBDB"/>
        <w:docPartObj>
          <w:docPartGallery w:val="Table of Contents"/>
          <w:docPartUnique/>
        </w:docPartObj>
      </w:sdtPr>
      <w:sdtEndPr>
        <w:rPr>
          <w:rFonts w:ascii="宋体" w:hAnsi="宋体" w:eastAsia="宋体"/>
          <w:color w:val="000000"/>
          <w:sz w:val="21"/>
        </w:rPr>
      </w:sdtEndPr>
      <w:sdtContent>
        <w:p>
          <w:pPr>
            <w:jc w:val="center"/>
          </w:pPr>
        </w:p>
        <w:p>
          <w:pPr>
            <w:pStyle w:val="7"/>
            <w:tabs>
              <w:tab w:val="right" w:leader="dot" w:pos="14562"/>
            </w:tabs>
          </w:pPr>
          <w:r>
            <w:fldChar w:fldCharType="begin"/>
          </w:r>
          <w:r>
            <w:instrText xml:space="preserve">TOC \o "1-2" \h \u </w:instrText>
          </w:r>
          <w:r>
            <w:fldChar w:fldCharType="separate"/>
          </w:r>
        </w:p>
        <w:p>
          <w:pPr>
            <w:pStyle w:val="7"/>
            <w:tabs>
              <w:tab w:val="right" w:leader="dot" w:pos="14562"/>
            </w:tabs>
          </w:pPr>
          <w:r>
            <w:fldChar w:fldCharType="begin"/>
          </w:r>
          <w:r>
            <w:instrText xml:space="preserve"> HYPERLINK \l "_Toc16355" </w:instrText>
          </w:r>
          <w:r>
            <w:fldChar w:fldCharType="separate"/>
          </w:r>
          <w:r>
            <w:rPr>
              <w:rFonts w:hint="eastAsia"/>
              <w:lang w:eastAsia="zh-CN"/>
            </w:rPr>
            <w:t>部门预算收支总表</w:t>
          </w:r>
          <w:r>
            <w:tab/>
          </w:r>
          <w:r>
            <w:fldChar w:fldCharType="begin"/>
          </w:r>
          <w:r>
            <w:instrText xml:space="preserve"> PAGEREF _Toc16355 \h </w:instrText>
          </w:r>
          <w:r>
            <w:fldChar w:fldCharType="separate"/>
          </w:r>
          <w:r>
            <w:t>3</w:t>
          </w:r>
          <w:r>
            <w:fldChar w:fldCharType="end"/>
          </w:r>
          <w:r>
            <w:fldChar w:fldCharType="end"/>
          </w:r>
        </w:p>
        <w:p>
          <w:pPr>
            <w:pStyle w:val="7"/>
            <w:tabs>
              <w:tab w:val="right" w:leader="dot" w:pos="14562"/>
            </w:tabs>
          </w:pPr>
          <w:r>
            <w:fldChar w:fldCharType="begin"/>
          </w:r>
          <w:r>
            <w:instrText xml:space="preserve"> HYPERLINK \l "_Toc12754" </w:instrText>
          </w:r>
          <w:r>
            <w:fldChar w:fldCharType="separate"/>
          </w:r>
          <w:r>
            <w:rPr>
              <w:rFonts w:hint="eastAsia"/>
              <w:lang w:eastAsia="zh-CN"/>
            </w:rPr>
            <w:t>部门预算收入总表</w:t>
          </w:r>
          <w:r>
            <w:tab/>
          </w:r>
          <w:r>
            <w:fldChar w:fldCharType="begin"/>
          </w:r>
          <w:r>
            <w:instrText xml:space="preserve"> PAGEREF _Toc12754 \h </w:instrText>
          </w:r>
          <w:r>
            <w:fldChar w:fldCharType="separate"/>
          </w:r>
          <w:r>
            <w:t>5</w:t>
          </w:r>
          <w:r>
            <w:fldChar w:fldCharType="end"/>
          </w:r>
          <w:r>
            <w:fldChar w:fldCharType="end"/>
          </w:r>
        </w:p>
        <w:p>
          <w:pPr>
            <w:pStyle w:val="7"/>
            <w:tabs>
              <w:tab w:val="right" w:leader="dot" w:pos="14562"/>
            </w:tabs>
          </w:pPr>
          <w:r>
            <w:fldChar w:fldCharType="begin"/>
          </w:r>
          <w:r>
            <w:instrText xml:space="preserve"> HYPERLINK \l "_Toc26783" </w:instrText>
          </w:r>
          <w:r>
            <w:fldChar w:fldCharType="separate"/>
          </w:r>
          <w:r>
            <w:rPr>
              <w:rFonts w:hint="eastAsia"/>
              <w:lang w:eastAsia="zh-CN"/>
            </w:rPr>
            <w:t>部门预算支出总表</w:t>
          </w:r>
          <w:r>
            <w:tab/>
          </w:r>
          <w:r>
            <w:fldChar w:fldCharType="begin"/>
          </w:r>
          <w:r>
            <w:instrText xml:space="preserve"> PAGEREF _Toc26783 \h </w:instrText>
          </w:r>
          <w:r>
            <w:fldChar w:fldCharType="separate"/>
          </w:r>
          <w:r>
            <w:t>6</w:t>
          </w:r>
          <w:r>
            <w:fldChar w:fldCharType="end"/>
          </w:r>
          <w:r>
            <w:fldChar w:fldCharType="end"/>
          </w:r>
        </w:p>
        <w:p>
          <w:pPr>
            <w:pStyle w:val="7"/>
            <w:tabs>
              <w:tab w:val="right" w:leader="dot" w:pos="14562"/>
            </w:tabs>
          </w:pPr>
          <w:r>
            <w:fldChar w:fldCharType="begin"/>
          </w:r>
          <w:r>
            <w:instrText xml:space="preserve"> HYPERLINK \l "_Toc15005" </w:instrText>
          </w:r>
          <w:r>
            <w:fldChar w:fldCharType="separate"/>
          </w:r>
          <w:r>
            <w:rPr>
              <w:rFonts w:hint="eastAsia"/>
              <w:lang w:eastAsia="zh-CN"/>
            </w:rPr>
            <w:t>部门预算财政拨款收支总表</w:t>
          </w:r>
          <w:r>
            <w:tab/>
          </w:r>
          <w:r>
            <w:fldChar w:fldCharType="begin"/>
          </w:r>
          <w:r>
            <w:instrText xml:space="preserve"> PAGEREF _Toc15005 \h </w:instrText>
          </w:r>
          <w:r>
            <w:fldChar w:fldCharType="separate"/>
          </w:r>
          <w:r>
            <w:t>7</w:t>
          </w:r>
          <w:r>
            <w:fldChar w:fldCharType="end"/>
          </w:r>
          <w:r>
            <w:fldChar w:fldCharType="end"/>
          </w:r>
        </w:p>
        <w:p>
          <w:pPr>
            <w:pStyle w:val="7"/>
            <w:tabs>
              <w:tab w:val="right" w:leader="dot" w:pos="14562"/>
            </w:tabs>
          </w:pPr>
          <w:r>
            <w:fldChar w:fldCharType="begin"/>
          </w:r>
          <w:r>
            <w:instrText xml:space="preserve"> HYPERLINK \l "_Toc19686" </w:instrText>
          </w:r>
          <w:r>
            <w:fldChar w:fldCharType="separate"/>
          </w:r>
          <w:r>
            <w:rPr>
              <w:rFonts w:hint="eastAsia"/>
              <w:lang w:eastAsia="zh-CN"/>
            </w:rPr>
            <w:t>部门预算一般公共预算财政拨款支出表</w:t>
          </w:r>
          <w:r>
            <w:tab/>
          </w:r>
          <w:r>
            <w:fldChar w:fldCharType="begin"/>
          </w:r>
          <w:r>
            <w:instrText xml:space="preserve"> PAGEREF _Toc19686 \h </w:instrText>
          </w:r>
          <w:r>
            <w:fldChar w:fldCharType="separate"/>
          </w:r>
          <w:r>
            <w:t>9</w:t>
          </w:r>
          <w:r>
            <w:fldChar w:fldCharType="end"/>
          </w:r>
          <w:r>
            <w:fldChar w:fldCharType="end"/>
          </w:r>
        </w:p>
        <w:p>
          <w:pPr>
            <w:pStyle w:val="7"/>
            <w:tabs>
              <w:tab w:val="right" w:leader="dot" w:pos="14562"/>
            </w:tabs>
          </w:pPr>
          <w:r>
            <w:fldChar w:fldCharType="begin"/>
          </w:r>
          <w:r>
            <w:instrText xml:space="preserve"> HYPERLINK \l "_Toc31470" </w:instrText>
          </w:r>
          <w:r>
            <w:fldChar w:fldCharType="separate"/>
          </w:r>
          <w:r>
            <w:rPr>
              <w:rFonts w:hint="eastAsia"/>
              <w:lang w:eastAsia="zh-CN"/>
            </w:rPr>
            <w:t>部门预算一般公共预算财政拨款基本支出表</w:t>
          </w:r>
          <w:r>
            <w:tab/>
          </w:r>
          <w:r>
            <w:fldChar w:fldCharType="begin"/>
          </w:r>
          <w:r>
            <w:instrText xml:space="preserve"> PAGEREF _Toc31470 \h </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"_Toc2327" </w:instrText>
          </w:r>
          <w:r>
            <w:fldChar w:fldCharType="separate"/>
          </w:r>
          <w:r>
            <w:rPr>
              <w:rFonts w:hint="eastAsia"/>
              <w:lang w:eastAsia="zh-CN"/>
            </w:rPr>
            <w:t>部门预算政府基金预算财政拨款支出表</w:t>
          </w:r>
          <w:r>
            <w:tab/>
          </w:r>
          <w:r>
            <w:fldChar w:fldCharType="begin"/>
          </w:r>
          <w:r>
            <w:instrText xml:space="preserve"> PAGEREF _Toc2327 \h </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"_Toc266" </w:instrText>
          </w:r>
          <w:r>
            <w:fldChar w:fldCharType="separate"/>
          </w:r>
          <w:r>
            <w:rPr>
              <w:rFonts w:hint="eastAsia"/>
              <w:lang w:eastAsia="zh-CN"/>
            </w:rPr>
            <w:t>部门预算国有资本经营预算财政拨款支出表</w:t>
          </w:r>
          <w:r>
            <w:tab/>
          </w:r>
          <w:r>
            <w:fldChar w:fldCharType="begin"/>
          </w:r>
          <w:r>
            <w:instrText xml:space="preserve"> PAGEREF _Toc266 \h </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"_Toc12379" </w:instrText>
          </w:r>
          <w:r>
            <w:fldChar w:fldCharType="separate"/>
          </w:r>
          <w:r>
            <w:rPr>
              <w:rFonts w:hint="eastAsia"/>
              <w:lang w:eastAsia="zh-CN"/>
            </w:rPr>
            <w:t>部门预算财政拨款“三公”经费支出表</w:t>
          </w:r>
          <w:r>
            <w:tab/>
          </w:r>
          <w:r>
            <w:fldChar w:fldCharType="begin"/>
          </w:r>
          <w:r>
            <w:instrText xml:space="preserve"> PAGEREF _Toc12379 \h </w:instrText>
          </w:r>
          <w:r>
            <w:fldChar w:fldCharType="separate"/>
          </w:r>
          <w:r>
            <w:t>13</w:t>
          </w:r>
          <w:r>
            <w:fldChar w:fldCharType="end"/>
          </w:r>
          <w:r>
            <w:fldChar w:fldCharType="end"/>
          </w:r>
        </w:p>
        <w:p>
          <w:pPr>
            <w:pStyle w:val="7"/>
            <w:tabs>
              <w:tab w:val="right" w:leader="dot" w:pos="14562"/>
            </w:tabs>
          </w:pPr>
          <w:r>
            <w:fldChar w:fldCharType="end"/>
          </w:r>
        </w:p>
      </w:sdtContent>
    </w:sdt>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r>
        <w:rPr>
          <w:rFonts w:ascii="方正楷体_GBK" w:hAnsi="方正楷体_GBK" w:eastAsia="方正楷体_GBK" w:cs="方正楷体_GBK"/>
          <w:b/>
          <w:color w:val="000000"/>
          <w:sz w:val="28"/>
        </w:rPr>
        <w:t>部门预算信息公开情况说明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rPr>
          <w:rFonts w:ascii="黑体" w:hAnsi="黑体" w:eastAsia="黑体" w:cs="黑体"/>
          <w:b/>
          <w:color w:val="000000"/>
          <w:sz w:val="30"/>
          <w:lang w:eastAsia="zh-CN"/>
        </w:rPr>
      </w:pPr>
    </w:p>
    <w:p>
      <w:pPr>
        <w:rPr>
          <w:rFonts w:ascii="黑体" w:hAnsi="黑体" w:eastAsia="黑体" w:cs="黑体"/>
          <w:b/>
          <w:color w:val="000000"/>
          <w:sz w:val="30"/>
          <w:lang w:eastAsia="zh-CN"/>
        </w:rPr>
      </w:pPr>
    </w:p>
    <w:p>
      <w:pPr>
        <w:rPr>
          <w:rFonts w:ascii="黑体" w:hAnsi="黑体" w:eastAsia="黑体" w:cs="黑体"/>
          <w:b/>
          <w:color w:val="000000"/>
          <w:sz w:val="30"/>
          <w:lang w:eastAsia="zh-CN"/>
        </w:rPr>
      </w:pPr>
    </w:p>
    <w:p>
      <w:pPr>
        <w:spacing w:before="10" w:after="10" w:line="360" w:lineRule="auto"/>
        <w:ind w:firstLine="640"/>
        <w:jc w:val="center"/>
        <w:outlineLvl w:val="1"/>
        <w:rPr>
          <w:rFonts w:ascii="黑体" w:hAnsi="黑体" w:eastAsia="黑体" w:cs="黑体"/>
          <w:color w:val="000000"/>
          <w:sz w:val="32"/>
          <w:lang w:eastAsia="zh-CN"/>
        </w:rPr>
      </w:pPr>
      <w:bookmarkStart w:id="1" w:name="_Toc16355"/>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r>
        <w:rPr>
          <w:rFonts w:hint="eastAsia" w:ascii="黑体" w:hAnsi="黑体" w:eastAsia="黑体" w:cs="黑体"/>
          <w:color w:val="000000"/>
          <w:sz w:val="32"/>
          <w:lang w:eastAsia="zh-CN"/>
        </w:rPr>
        <w:t>部门预算收支总表</w:t>
      </w:r>
      <w:bookmarkEnd w:id="1"/>
    </w:p>
    <w:tbl>
      <w:tblPr>
        <w:tblStyle w:val="10"/>
        <w:tblW w:w="13110" w:type="dxa"/>
        <w:jc w:val="center"/>
        <w:tblLayout w:type="autofit"/>
        <w:tblCellMar>
          <w:top w:w="0" w:type="dxa"/>
          <w:left w:w="108" w:type="dxa"/>
          <w:bottom w:w="0" w:type="dxa"/>
          <w:right w:w="108" w:type="dxa"/>
        </w:tblCellMar>
      </w:tblPr>
      <w:tblGrid>
        <w:gridCol w:w="870"/>
        <w:gridCol w:w="4261"/>
        <w:gridCol w:w="1153"/>
        <w:gridCol w:w="4543"/>
        <w:gridCol w:w="2283"/>
      </w:tblGrid>
      <w:tr>
        <w:tblPrEx>
          <w:tblCellMar>
            <w:top w:w="0" w:type="dxa"/>
            <w:left w:w="108" w:type="dxa"/>
            <w:bottom w:w="0" w:type="dxa"/>
            <w:right w:w="108" w:type="dxa"/>
          </w:tblCellMar>
        </w:tblPrEx>
        <w:trPr>
          <w:trHeight w:val="360" w:hRule="atLeast"/>
          <w:jc w:val="center"/>
        </w:trPr>
        <w:tc>
          <w:tcPr>
            <w:tcW w:w="0" w:type="auto"/>
            <w:gridSpan w:val="3"/>
            <w:tcBorders>
              <w:top w:val="nil"/>
              <w:left w:val="nil"/>
              <w:bottom w:val="single" w:color="000000" w:sz="4" w:space="0"/>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预算数</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r>
    </w:tbl>
    <w:p>
      <w:pPr>
        <w:jc w:val="center"/>
        <w:rPr>
          <w:rFonts w:ascii="方正小标宋_GBK" w:hAnsi="方正小标宋_GBK" w:cs="方正小标宋_GBK" w:eastAsiaTheme="minorEastAsia"/>
          <w:color w:val="000000"/>
          <w:sz w:val="36"/>
          <w:lang w:eastAsia="zh-CN"/>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rPr>
          <w:rFonts w:eastAsia="方正仿宋_GBK"/>
          <w:color w:val="000000"/>
          <w:sz w:val="44"/>
          <w:szCs w:val="44"/>
          <w:lang w:eastAsia="zh-CN"/>
        </w:rPr>
      </w:pPr>
    </w:p>
    <w:p>
      <w:pPr>
        <w:rPr>
          <w:rFonts w:eastAsia="方正仿宋_GBK"/>
          <w:color w:val="000000"/>
          <w:sz w:val="44"/>
          <w:szCs w:val="44"/>
          <w:lang w:eastAsia="zh-CN"/>
        </w:rPr>
      </w:pPr>
    </w:p>
    <w:p>
      <w:pPr>
        <w:rPr>
          <w:rFonts w:eastAsia="方正仿宋_GBK"/>
          <w:color w:val="000000"/>
          <w:sz w:val="44"/>
          <w:szCs w:val="44"/>
          <w:lang w:eastAsia="zh-CN"/>
        </w:rPr>
      </w:pPr>
    </w:p>
    <w:p>
      <w:pPr>
        <w:rPr>
          <w:rFonts w:eastAsia="方正仿宋_GBK"/>
          <w:color w:val="000000"/>
          <w:sz w:val="44"/>
          <w:szCs w:val="44"/>
          <w:lang w:eastAsia="zh-CN"/>
        </w:rPr>
      </w:pPr>
    </w:p>
    <w:p>
      <w:pPr>
        <w:spacing w:before="10" w:after="10" w:line="360" w:lineRule="auto"/>
        <w:ind w:firstLine="640"/>
        <w:jc w:val="center"/>
        <w:outlineLvl w:val="1"/>
        <w:rPr>
          <w:rFonts w:ascii="黑体" w:hAnsi="黑体" w:eastAsia="黑体" w:cs="黑体"/>
          <w:color w:val="000000"/>
          <w:sz w:val="32"/>
          <w:lang w:eastAsia="zh-CN"/>
        </w:rPr>
      </w:pPr>
      <w:bookmarkStart w:id="2" w:name="_Toc12754"/>
      <w:r>
        <w:rPr>
          <w:rFonts w:hint="eastAsia" w:ascii="黑体" w:hAnsi="黑体" w:eastAsia="黑体" w:cs="黑体"/>
          <w:color w:val="000000"/>
          <w:sz w:val="32"/>
          <w:lang w:eastAsia="zh-CN"/>
        </w:rPr>
        <w:t>部门预算收入总表</w:t>
      </w:r>
      <w:bookmarkEnd w:id="2"/>
    </w:p>
    <w:p>
      <w:pPr>
        <w:rPr>
          <w:lang w:eastAsia="zh-CN"/>
        </w:rPr>
      </w:pPr>
    </w:p>
    <w:tbl>
      <w:tblPr>
        <w:tblStyle w:val="10"/>
        <w:tblW w:w="14055" w:type="dxa"/>
        <w:jc w:val="center"/>
        <w:tblLayout w:type="autofit"/>
        <w:tblCellMar>
          <w:top w:w="0" w:type="dxa"/>
          <w:left w:w="108" w:type="dxa"/>
          <w:bottom w:w="0" w:type="dxa"/>
          <w:right w:w="108" w:type="dxa"/>
        </w:tblCellMar>
      </w:tblPr>
      <w:tblGrid>
        <w:gridCol w:w="631"/>
        <w:gridCol w:w="1040"/>
        <w:gridCol w:w="2795"/>
        <w:gridCol w:w="835"/>
        <w:gridCol w:w="835"/>
        <w:gridCol w:w="1082"/>
        <w:gridCol w:w="921"/>
        <w:gridCol w:w="1040"/>
        <w:gridCol w:w="1040"/>
        <w:gridCol w:w="904"/>
        <w:gridCol w:w="1099"/>
        <w:gridCol w:w="792"/>
        <w:gridCol w:w="1041"/>
      </w:tblGrid>
      <w:tr>
        <w:tblPrEx>
          <w:tblCellMar>
            <w:top w:w="0" w:type="dxa"/>
            <w:left w:w="108" w:type="dxa"/>
            <w:bottom w:w="0" w:type="dxa"/>
            <w:right w:w="108" w:type="dxa"/>
          </w:tblCellMar>
        </w:tblPrEx>
        <w:trPr>
          <w:trHeight w:val="285" w:hRule="atLeast"/>
          <w:jc w:val="center"/>
        </w:trPr>
        <w:tc>
          <w:tcPr>
            <w:tcW w:w="0" w:type="auto"/>
            <w:gridSpan w:val="9"/>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gridSpan w:val="2"/>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0" w:type="auto"/>
            <w:gridSpan w:val="2"/>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上年结转</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小计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财政拨款收入</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经营收入</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上级补助收入</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附属单位上缴收入</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检察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2080505</w:t>
            </w:r>
          </w:p>
        </w:tc>
        <w:tc>
          <w:tcPr>
            <w:tcW w:w="279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both"/>
        <w:rPr>
          <w:rFonts w:ascii="黑体" w:hAnsi="黑体" w:eastAsia="黑体" w:cs="黑体"/>
          <w:color w:val="000000"/>
          <w:sz w:val="32"/>
          <w:lang w:eastAsia="zh-CN"/>
        </w:rPr>
      </w:pPr>
    </w:p>
    <w:p>
      <w:pPr>
        <w:spacing w:before="10" w:after="10" w:line="360" w:lineRule="auto"/>
        <w:ind w:firstLine="640"/>
        <w:jc w:val="center"/>
        <w:rPr>
          <w:rFonts w:ascii="黑体" w:hAnsi="黑体" w:eastAsia="黑体" w:cs="黑体"/>
          <w:color w:val="000000"/>
          <w:sz w:val="32"/>
          <w:lang w:eastAsia="zh-CN"/>
        </w:rPr>
      </w:pPr>
    </w:p>
    <w:p>
      <w:pPr>
        <w:spacing w:before="10" w:after="10" w:line="360" w:lineRule="auto"/>
        <w:jc w:val="center"/>
        <w:outlineLvl w:val="1"/>
        <w:rPr>
          <w:rFonts w:ascii="黑体" w:hAnsi="黑体" w:eastAsia="黑体" w:cs="黑体"/>
          <w:color w:val="000000"/>
          <w:sz w:val="32"/>
          <w:lang w:eastAsia="zh-CN"/>
        </w:rPr>
      </w:pPr>
      <w:bookmarkStart w:id="3" w:name="_Toc26783"/>
      <w:r>
        <w:rPr>
          <w:rFonts w:hint="eastAsia" w:ascii="黑体" w:hAnsi="黑体" w:eastAsia="黑体" w:cs="黑体"/>
          <w:color w:val="000000"/>
          <w:sz w:val="32"/>
          <w:lang w:eastAsia="zh-CN"/>
        </w:rPr>
        <w:t>部门预算支出总表</w:t>
      </w:r>
      <w:bookmarkEnd w:id="3"/>
    </w:p>
    <w:p>
      <w:pPr>
        <w:spacing w:before="10" w:after="10" w:line="360" w:lineRule="auto"/>
        <w:jc w:val="both"/>
        <w:rPr>
          <w:rFonts w:ascii="黑体" w:hAnsi="黑体" w:eastAsia="黑体" w:cs="黑体"/>
          <w:color w:val="000000"/>
          <w:sz w:val="32"/>
          <w:lang w:eastAsia="zh-CN"/>
        </w:rPr>
      </w:pPr>
    </w:p>
    <w:tbl>
      <w:tblPr>
        <w:tblStyle w:val="10"/>
        <w:tblpPr w:leftFromText="180" w:rightFromText="180" w:vertAnchor="text" w:horzAnchor="page" w:tblpXSpec="center" w:tblpY="76"/>
        <w:tblOverlap w:val="never"/>
        <w:tblW w:w="12810" w:type="dxa"/>
        <w:jc w:val="center"/>
        <w:tblLayout w:type="autofit"/>
        <w:tblCellMar>
          <w:top w:w="0" w:type="dxa"/>
          <w:left w:w="108" w:type="dxa"/>
          <w:bottom w:w="0" w:type="dxa"/>
          <w:right w:w="108" w:type="dxa"/>
        </w:tblCellMar>
      </w:tblPr>
      <w:tblGrid>
        <w:gridCol w:w="647"/>
        <w:gridCol w:w="1068"/>
        <w:gridCol w:w="2586"/>
        <w:gridCol w:w="1488"/>
        <w:gridCol w:w="1068"/>
        <w:gridCol w:w="1068"/>
        <w:gridCol w:w="1068"/>
        <w:gridCol w:w="1698"/>
        <w:gridCol w:w="2119"/>
      </w:tblGrid>
      <w:tr>
        <w:tblPrEx>
          <w:tblCellMar>
            <w:top w:w="0" w:type="dxa"/>
            <w:left w:w="108" w:type="dxa"/>
            <w:bottom w:w="0" w:type="dxa"/>
            <w:right w:w="108" w:type="dxa"/>
          </w:tblCellMar>
        </w:tblPrEx>
        <w:trPr>
          <w:trHeight w:val="300" w:hRule="atLeast"/>
          <w:jc w:val="center"/>
        </w:trPr>
        <w:tc>
          <w:tcPr>
            <w:tcW w:w="8993" w:type="dxa"/>
            <w:gridSpan w:val="7"/>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1698"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2119"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36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经营支出</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上缴上级支出</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对附属单位补助支出</w:t>
            </w:r>
          </w:p>
        </w:tc>
      </w:tr>
      <w:tr>
        <w:tblPrEx>
          <w:tblCellMar>
            <w:top w:w="0" w:type="dxa"/>
            <w:left w:w="108" w:type="dxa"/>
            <w:bottom w:w="0" w:type="dxa"/>
            <w:right w:w="108" w:type="dxa"/>
          </w:tblCellMar>
        </w:tblPrEx>
        <w:trPr>
          <w:trHeight w:val="30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公共安全支出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20404</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检察</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2040401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行政运行</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社会保障和就业支出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20805</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行政事业单位养老支出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2080505</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机关事业单位基本养老保险缴费支出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卫生健康支出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21011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行政事业单位医疗</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2101101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行政单位医疗</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住房保障支出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22102</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住房改革支出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2210201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住房公积金</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both"/>
        <w:rPr>
          <w:rFonts w:ascii="黑体" w:hAnsi="黑体" w:eastAsia="黑体" w:cs="黑体"/>
          <w:color w:val="000000"/>
          <w:sz w:val="32"/>
          <w:lang w:eastAsia="zh-CN"/>
        </w:rPr>
        <w:sectPr>
          <w:footerReference r:id="rId3" w:type="default"/>
          <w:footerReference r:id="rId4" w:type="even"/>
          <w:pgSz w:w="16840" w:h="11900" w:orient="landscape"/>
          <w:pgMar w:top="1361" w:right="1020" w:bottom="1134" w:left="1020" w:header="720" w:footer="720" w:gutter="0"/>
          <w:cols w:space="720" w:num="1"/>
        </w:sectPr>
      </w:pPr>
    </w:p>
    <w:p>
      <w:pPr>
        <w:spacing w:before="10" w:after="10" w:line="360" w:lineRule="auto"/>
        <w:jc w:val="center"/>
        <w:outlineLvl w:val="1"/>
        <w:rPr>
          <w:rFonts w:ascii="黑体" w:hAnsi="黑体" w:eastAsia="黑体" w:cs="黑体"/>
          <w:color w:val="000000"/>
          <w:sz w:val="32"/>
          <w:lang w:eastAsia="zh-CN"/>
        </w:rPr>
      </w:pPr>
      <w:bookmarkStart w:id="4" w:name="_Toc15005"/>
      <w:r>
        <w:rPr>
          <w:rFonts w:hint="eastAsia" w:ascii="黑体" w:hAnsi="黑体" w:eastAsia="黑体" w:cs="黑体"/>
          <w:color w:val="000000"/>
          <w:sz w:val="32"/>
          <w:lang w:eastAsia="zh-CN"/>
        </w:rPr>
        <w:t>部门预算财政拨款收支总表</w:t>
      </w:r>
      <w:bookmarkEnd w:id="4"/>
    </w:p>
    <w:tbl>
      <w:tblPr>
        <w:tblStyle w:val="10"/>
        <w:tblW w:w="13125" w:type="dxa"/>
        <w:jc w:val="center"/>
        <w:tblLayout w:type="autofit"/>
        <w:tblCellMar>
          <w:top w:w="0" w:type="dxa"/>
          <w:left w:w="108" w:type="dxa"/>
          <w:bottom w:w="0" w:type="dxa"/>
          <w:right w:w="108" w:type="dxa"/>
        </w:tblCellMar>
      </w:tblPr>
      <w:tblGrid>
        <w:gridCol w:w="632"/>
        <w:gridCol w:w="2685"/>
        <w:gridCol w:w="838"/>
        <w:gridCol w:w="3301"/>
        <w:gridCol w:w="838"/>
        <w:gridCol w:w="1463"/>
        <w:gridCol w:w="1659"/>
        <w:gridCol w:w="1709"/>
      </w:tblGrid>
      <w:tr>
        <w:tblPrEx>
          <w:tblCellMar>
            <w:top w:w="0" w:type="dxa"/>
            <w:left w:w="108" w:type="dxa"/>
            <w:bottom w:w="0" w:type="dxa"/>
            <w:right w:w="108" w:type="dxa"/>
          </w:tblCellMar>
        </w:tblPrEx>
        <w:trPr>
          <w:trHeight w:val="285" w:hRule="atLeast"/>
          <w:jc w:val="center"/>
        </w:trPr>
        <w:tc>
          <w:tcPr>
            <w:tcW w:w="0" w:type="auto"/>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一般公共预算财政拨款</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政府性基金预算财政拨款</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国有资本经营预算财政拨款</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center"/>
        <w:rPr>
          <w:rFonts w:ascii="黑体" w:hAnsi="黑体" w:eastAsia="黑体" w:cs="黑体"/>
          <w:color w:val="000000"/>
          <w:sz w:val="32"/>
          <w:lang w:eastAsia="zh-CN"/>
        </w:rPr>
      </w:pPr>
    </w:p>
    <w:p>
      <w:pPr>
        <w:spacing w:before="10" w:after="10" w:line="360" w:lineRule="auto"/>
        <w:rPr>
          <w:rFonts w:ascii="黑体" w:hAnsi="黑体" w:eastAsia="黑体" w:cs="黑体"/>
          <w:color w:val="000000"/>
          <w:sz w:val="32"/>
          <w:lang w:eastAsia="zh-CN"/>
        </w:rPr>
        <w:sectPr>
          <w:pgSz w:w="16840" w:h="11900" w:orient="landscape"/>
          <w:pgMar w:top="1361" w:right="1020" w:bottom="1134" w:left="1020" w:header="720" w:footer="720" w:gutter="0"/>
          <w:cols w:space="720" w:num="1"/>
        </w:sectPr>
      </w:pPr>
    </w:p>
    <w:p>
      <w:pPr>
        <w:jc w:val="center"/>
        <w:outlineLvl w:val="1"/>
        <w:rPr>
          <w:rFonts w:eastAsia="方正仿宋_GBK"/>
          <w:color w:val="000000"/>
          <w:sz w:val="44"/>
          <w:szCs w:val="44"/>
          <w:lang w:eastAsia="zh-CN"/>
        </w:rPr>
      </w:pPr>
      <w:bookmarkStart w:id="5" w:name="_Toc19686"/>
      <w:r>
        <w:rPr>
          <w:rFonts w:hint="eastAsia" w:ascii="黑体" w:hAnsi="黑体" w:eastAsia="黑体" w:cs="黑体"/>
          <w:color w:val="000000"/>
          <w:sz w:val="32"/>
          <w:lang w:eastAsia="zh-CN"/>
        </w:rPr>
        <w:t>部门预算一般公共预算财政拨款支出表</w:t>
      </w:r>
      <w:bookmarkEnd w:id="5"/>
    </w:p>
    <w:p>
      <w:pPr>
        <w:rPr>
          <w:rFonts w:eastAsia="方正仿宋_GBK"/>
          <w:color w:val="000000"/>
          <w:sz w:val="44"/>
          <w:szCs w:val="44"/>
          <w:lang w:eastAsia="zh-CN"/>
        </w:rPr>
      </w:pPr>
    </w:p>
    <w:tbl>
      <w:tblPr>
        <w:tblStyle w:val="10"/>
        <w:tblpPr w:leftFromText="180" w:rightFromText="180" w:vertAnchor="text" w:horzAnchor="page" w:tblpX="2192" w:tblpY="267"/>
        <w:tblOverlap w:val="never"/>
        <w:tblW w:w="12600" w:type="dxa"/>
        <w:tblInd w:w="0" w:type="dxa"/>
        <w:tblLayout w:type="autofit"/>
        <w:tblCellMar>
          <w:top w:w="0" w:type="dxa"/>
          <w:left w:w="108" w:type="dxa"/>
          <w:bottom w:w="0" w:type="dxa"/>
          <w:right w:w="108" w:type="dxa"/>
        </w:tblCellMar>
      </w:tblPr>
      <w:tblGrid>
        <w:gridCol w:w="710"/>
        <w:gridCol w:w="1171"/>
        <w:gridCol w:w="3939"/>
        <w:gridCol w:w="941"/>
        <w:gridCol w:w="941"/>
        <w:gridCol w:w="1171"/>
        <w:gridCol w:w="1863"/>
        <w:gridCol w:w="1864"/>
      </w:tblGrid>
      <w:tr>
        <w:tblPrEx>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441.02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360.46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检察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360.46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2040401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360.46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rPr>
          <w:rFonts w:eastAsia="方正仿宋_GBK"/>
          <w:color w:val="000000"/>
          <w:sz w:val="44"/>
          <w:szCs w:val="44"/>
          <w:lang w:eastAsia="zh-CN"/>
        </w:rPr>
        <w:sectPr>
          <w:pgSz w:w="16840" w:h="11900" w:orient="landscape"/>
          <w:pgMar w:top="1361" w:right="1020" w:bottom="1134" w:left="1020" w:header="720" w:footer="720" w:gutter="0"/>
          <w:cols w:space="720" w:num="1"/>
        </w:sectPr>
      </w:pPr>
    </w:p>
    <w:p/>
    <w:p>
      <w:pPr>
        <w:jc w:val="center"/>
        <w:outlineLvl w:val="1"/>
        <w:rPr>
          <w:rFonts w:ascii="黑体" w:hAnsi="黑体" w:eastAsia="黑体" w:cs="黑体"/>
          <w:color w:val="000000"/>
          <w:sz w:val="32"/>
          <w:lang w:eastAsia="zh-CN"/>
        </w:rPr>
      </w:pPr>
      <w:bookmarkStart w:id="6" w:name="_Toc31470"/>
      <w:r>
        <w:rPr>
          <w:rFonts w:hint="eastAsia" w:ascii="黑体" w:hAnsi="黑体" w:eastAsia="黑体" w:cs="黑体"/>
          <w:color w:val="000000"/>
          <w:sz w:val="32"/>
          <w:lang w:eastAsia="zh-CN"/>
        </w:rPr>
        <w:t>部门预算一般公共预算财政拨款基本支出表</w:t>
      </w:r>
      <w:bookmarkEnd w:id="6"/>
    </w:p>
    <w:tbl>
      <w:tblPr>
        <w:tblStyle w:val="10"/>
        <w:tblW w:w="12158" w:type="dxa"/>
        <w:jc w:val="center"/>
        <w:tblLayout w:type="fixed"/>
        <w:tblCellMar>
          <w:top w:w="0" w:type="dxa"/>
          <w:left w:w="108" w:type="dxa"/>
          <w:bottom w:w="0" w:type="dxa"/>
          <w:right w:w="108" w:type="dxa"/>
        </w:tblCellMar>
      </w:tblPr>
      <w:tblGrid>
        <w:gridCol w:w="1393"/>
        <w:gridCol w:w="1545"/>
        <w:gridCol w:w="3135"/>
        <w:gridCol w:w="1755"/>
        <w:gridCol w:w="2025"/>
        <w:gridCol w:w="2305"/>
      </w:tblGrid>
      <w:tr>
        <w:tblPrEx>
          <w:tblCellMar>
            <w:top w:w="0" w:type="dxa"/>
            <w:left w:w="108" w:type="dxa"/>
            <w:bottom w:w="0" w:type="dxa"/>
            <w:right w:w="108" w:type="dxa"/>
          </w:tblCellMar>
        </w:tblPrEx>
        <w:trPr>
          <w:trHeight w:val="285" w:hRule="atLeast"/>
          <w:jc w:val="center"/>
        </w:trPr>
        <w:tc>
          <w:tcPr>
            <w:tcW w:w="7828" w:type="dxa"/>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2025"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2305"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285" w:hRule="atLeast"/>
          <w:jc w:val="center"/>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支出部门经济分类科目</w:t>
            </w:r>
          </w:p>
        </w:tc>
        <w:tc>
          <w:tcPr>
            <w:tcW w:w="60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一般公共预算基本支出</w:t>
            </w:r>
          </w:p>
        </w:tc>
      </w:tr>
      <w:tr>
        <w:tblPrEx>
          <w:tblCellMar>
            <w:top w:w="0" w:type="dxa"/>
            <w:left w:w="108" w:type="dxa"/>
            <w:bottom w:w="0" w:type="dxa"/>
            <w:right w:w="108" w:type="dxa"/>
          </w:tblCellMar>
        </w:tblPrEx>
        <w:trPr>
          <w:trHeight w:val="285" w:hRule="atLeast"/>
          <w:jc w:val="center"/>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人员经费</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公用经费</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652.62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441.02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211.60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工资福利支出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441.02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441.02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基本工资</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163.15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163.15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津贴补贴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182.50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182.50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奖金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13.60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13.60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机关事业单位基本养老保险缴费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38.51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30110</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城镇职工基本医疗保险缴费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16.35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其他社会保障缴费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住房公积金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25.70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211.60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211.60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办公费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79.44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79.44</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30207</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邮电费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0.36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0.36</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取暖费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5.20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5.20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30211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差旅费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3.50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3.50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30226</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劳务费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77.28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77.28</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工会经费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2.93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2.93</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福利费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5.66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5.66</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30231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公务用车运行维护费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12.00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30239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其他交通费用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24.51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24.51</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30299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0.72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0.72</w:t>
            </w:r>
          </w:p>
        </w:tc>
      </w:tr>
    </w:tbl>
    <w:p>
      <w:pPr>
        <w:jc w:val="center"/>
        <w:rPr>
          <w:rFonts w:ascii="黑体" w:hAnsi="黑体" w:eastAsia="黑体" w:cs="黑体"/>
          <w:color w:val="000000"/>
          <w:sz w:val="32"/>
          <w:lang w:eastAsia="zh-CN"/>
        </w:rPr>
      </w:pPr>
    </w:p>
    <w:p>
      <w:pPr>
        <w:rPr>
          <w:rFonts w:ascii="黑体" w:hAnsi="黑体" w:eastAsia="黑体" w:cs="黑体"/>
          <w:color w:val="000000"/>
          <w:sz w:val="32"/>
          <w:lang w:eastAsia="zh-CN"/>
        </w:rPr>
        <w:sectPr>
          <w:pgSz w:w="16840" w:h="11900" w:orient="landscape"/>
          <w:pgMar w:top="1361" w:right="1020" w:bottom="1134" w:left="1020" w:header="720" w:footer="720" w:gutter="0"/>
          <w:cols w:space="720" w:num="1"/>
        </w:sectPr>
      </w:pPr>
    </w:p>
    <w:p>
      <w:pPr>
        <w:jc w:val="center"/>
        <w:outlineLvl w:val="1"/>
        <w:rPr>
          <w:rFonts w:ascii="黑体" w:hAnsi="黑体" w:eastAsia="黑体" w:cs="黑体"/>
          <w:color w:val="000000"/>
          <w:sz w:val="32"/>
          <w:lang w:eastAsia="zh-CN"/>
        </w:rPr>
      </w:pPr>
      <w:bookmarkStart w:id="7" w:name="_Toc2327"/>
      <w:r>
        <w:rPr>
          <w:rFonts w:hint="eastAsia" w:ascii="黑体" w:hAnsi="黑体" w:eastAsia="黑体" w:cs="黑体"/>
          <w:color w:val="000000"/>
          <w:sz w:val="32"/>
          <w:lang w:eastAsia="zh-CN"/>
        </w:rPr>
        <w:t>部门预算政府基金预算财政拨款支出表</w:t>
      </w:r>
      <w:bookmarkEnd w:id="7"/>
    </w:p>
    <w:p>
      <w:pPr>
        <w:rPr>
          <w:rFonts w:eastAsia="方正仿宋_GBK"/>
          <w:color w:val="000000"/>
          <w:sz w:val="44"/>
          <w:szCs w:val="44"/>
          <w:lang w:eastAsia="zh-CN"/>
        </w:rPr>
      </w:pPr>
    </w:p>
    <w:tbl>
      <w:tblPr>
        <w:tblStyle w:val="10"/>
        <w:tblW w:w="10485" w:type="dxa"/>
        <w:jc w:val="center"/>
        <w:tblLayout w:type="autofit"/>
        <w:tblCellMar>
          <w:top w:w="0" w:type="dxa"/>
          <w:left w:w="108" w:type="dxa"/>
          <w:bottom w:w="0" w:type="dxa"/>
          <w:right w:w="108" w:type="dxa"/>
        </w:tblCellMar>
      </w:tblPr>
      <w:tblGrid>
        <w:gridCol w:w="750"/>
        <w:gridCol w:w="1470"/>
        <w:gridCol w:w="1965"/>
        <w:gridCol w:w="2025"/>
        <w:gridCol w:w="2025"/>
        <w:gridCol w:w="2250"/>
      </w:tblGrid>
      <w:tr>
        <w:tblPrEx>
          <w:tblCellMar>
            <w:top w:w="0" w:type="dxa"/>
            <w:left w:w="108" w:type="dxa"/>
            <w:bottom w:w="0" w:type="dxa"/>
            <w:right w:w="108" w:type="dxa"/>
          </w:tblCellMar>
        </w:tblPrEx>
        <w:trPr>
          <w:trHeight w:val="439" w:hRule="atLeast"/>
          <w:jc w:val="center"/>
        </w:trPr>
        <w:tc>
          <w:tcPr>
            <w:tcW w:w="6210" w:type="dxa"/>
            <w:gridSpan w:val="4"/>
            <w:tcBorders>
              <w:top w:val="nil"/>
              <w:left w:val="nil"/>
              <w:bottom w:val="nil"/>
              <w:right w:val="nil"/>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2025" w:type="dxa"/>
            <w:tcBorders>
              <w:top w:val="nil"/>
              <w:left w:val="nil"/>
              <w:bottom w:val="nil"/>
              <w:right w:val="nil"/>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2250" w:type="dxa"/>
            <w:tcBorders>
              <w:top w:val="nil"/>
              <w:left w:val="nil"/>
              <w:bottom w:val="nil"/>
              <w:right w:val="nil"/>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3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439"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r>
    </w:tbl>
    <w:p>
      <w:pPr>
        <w:jc w:val="both"/>
        <w:rPr>
          <w:rFonts w:ascii="方正书宋_GBK" w:hAnsi="方正书宋_GBK" w:eastAsia="方正书宋_GBK" w:cs="方正书宋_GBK"/>
          <w:color w:val="000000"/>
          <w:sz w:val="21"/>
          <w:lang w:eastAsia="zh-CN"/>
        </w:rPr>
      </w:pPr>
      <w:r>
        <w:rPr>
          <w:rFonts w:hint="eastAsia" w:eastAsia="方正仿宋_GBK"/>
          <w:color w:val="000000"/>
          <w:sz w:val="44"/>
          <w:szCs w:val="44"/>
          <w:lang w:eastAsia="zh-CN"/>
        </w:rPr>
        <w:t xml:space="preserve">                   </w:t>
      </w:r>
      <w:r>
        <w:rPr>
          <w:rFonts w:hint="eastAsia" w:eastAsia="宋体"/>
          <w:lang w:eastAsia="zh-CN"/>
        </w:rPr>
        <w:t xml:space="preserve">   </w:t>
      </w:r>
      <w:r>
        <w:rPr>
          <w:rFonts w:ascii="方正书宋_GBK" w:hAnsi="方正书宋_GBK" w:eastAsia="方正书宋_GBK" w:cs="方正书宋_GBK"/>
          <w:color w:val="000000"/>
          <w:sz w:val="21"/>
        </w:rPr>
        <w:t>注：无政府基金预算财政拨款预算，空表列示</w:t>
      </w:r>
      <w:r>
        <w:rPr>
          <w:rFonts w:hint="eastAsia" w:ascii="方正书宋_GBK" w:hAnsi="方正书宋_GBK" w:eastAsia="方正书宋_GBK" w:cs="方正书宋_GBK"/>
          <w:color w:val="000000"/>
          <w:sz w:val="21"/>
          <w:lang w:eastAsia="zh-CN"/>
        </w:rPr>
        <w:t>。</w:t>
      </w:r>
    </w:p>
    <w:p>
      <w:pPr>
        <w:jc w:val="both"/>
        <w:rPr>
          <w:rFonts w:ascii="方正书宋_GBK" w:hAnsi="方正书宋_GBK" w:eastAsia="方正书宋_GBK" w:cs="方正书宋_GBK"/>
          <w:color w:val="000000"/>
          <w:sz w:val="21"/>
          <w:lang w:eastAsia="zh-CN"/>
        </w:rPr>
      </w:pPr>
    </w:p>
    <w:p>
      <w:pPr>
        <w:jc w:val="both"/>
        <w:rPr>
          <w:rFonts w:ascii="方正书宋_GBK" w:hAnsi="方正书宋_GBK" w:eastAsia="方正书宋_GBK" w:cs="方正书宋_GBK"/>
          <w:color w:val="000000"/>
          <w:sz w:val="21"/>
          <w:lang w:eastAsia="zh-CN"/>
        </w:rPr>
        <w:sectPr>
          <w:pgSz w:w="16840" w:h="11900" w:orient="landscape"/>
          <w:pgMar w:top="1361" w:right="1020" w:bottom="1134" w:left="1020" w:header="720" w:footer="720" w:gutter="0"/>
          <w:cols w:space="720" w:num="1"/>
        </w:sectPr>
      </w:pPr>
    </w:p>
    <w:p>
      <w:pPr>
        <w:pStyle w:val="3"/>
        <w:jc w:val="center"/>
        <w:rPr>
          <w:rFonts w:ascii="黑体" w:hAnsi="黑体" w:cs="黑体"/>
          <w:color w:val="000000"/>
          <w:lang w:eastAsia="zh-CN"/>
        </w:rPr>
      </w:pPr>
      <w:bookmarkStart w:id="8" w:name="_Toc266"/>
      <w:r>
        <w:rPr>
          <w:rFonts w:hint="eastAsia"/>
          <w:lang w:eastAsia="zh-CN"/>
        </w:rPr>
        <w:t>部门预算国有资本经营预算财政拨款支出表</w:t>
      </w:r>
      <w:bookmarkEnd w:id="8"/>
    </w:p>
    <w:p>
      <w:pPr>
        <w:jc w:val="both"/>
        <w:rPr>
          <w:rFonts w:eastAsia="宋体"/>
          <w:lang w:eastAsia="zh-CN"/>
        </w:rPr>
      </w:pPr>
      <w:r>
        <w:rPr>
          <w:rFonts w:hint="eastAsia" w:eastAsia="宋体"/>
          <w:lang w:eastAsia="zh-CN"/>
        </w:rPr>
        <w:t xml:space="preserve">      </w:t>
      </w:r>
    </w:p>
    <w:tbl>
      <w:tblPr>
        <w:tblStyle w:val="10"/>
        <w:tblW w:w="11115" w:type="dxa"/>
        <w:jc w:val="center"/>
        <w:tblLayout w:type="autofit"/>
        <w:tblCellMar>
          <w:top w:w="0" w:type="dxa"/>
          <w:left w:w="108" w:type="dxa"/>
          <w:bottom w:w="0" w:type="dxa"/>
          <w:right w:w="108" w:type="dxa"/>
        </w:tblCellMar>
      </w:tblPr>
      <w:tblGrid>
        <w:gridCol w:w="750"/>
        <w:gridCol w:w="2235"/>
        <w:gridCol w:w="2130"/>
        <w:gridCol w:w="1785"/>
        <w:gridCol w:w="2010"/>
        <w:gridCol w:w="2205"/>
      </w:tblGrid>
      <w:tr>
        <w:tblPrEx>
          <w:tblCellMar>
            <w:top w:w="0" w:type="dxa"/>
            <w:left w:w="108" w:type="dxa"/>
            <w:bottom w:w="0" w:type="dxa"/>
            <w:right w:w="108" w:type="dxa"/>
          </w:tblCellMar>
        </w:tblPrEx>
        <w:trPr>
          <w:trHeight w:val="439" w:hRule="atLeast"/>
          <w:jc w:val="center"/>
        </w:trPr>
        <w:tc>
          <w:tcPr>
            <w:tcW w:w="6900" w:type="dxa"/>
            <w:gridSpan w:val="4"/>
            <w:tcBorders>
              <w:top w:val="nil"/>
              <w:left w:val="nil"/>
              <w:bottom w:val="nil"/>
              <w:right w:val="nil"/>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2010" w:type="dxa"/>
            <w:tcBorders>
              <w:top w:val="nil"/>
              <w:left w:val="nil"/>
              <w:bottom w:val="nil"/>
              <w:right w:val="nil"/>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2205" w:type="dxa"/>
            <w:tcBorders>
              <w:top w:val="nil"/>
              <w:left w:val="nil"/>
              <w:bottom w:val="nil"/>
              <w:right w:val="nil"/>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439"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r>
    </w:tbl>
    <w:p>
      <w:pPr>
        <w:rPr>
          <w:rFonts w:ascii="方正书宋_GBK" w:hAnsi="方正书宋_GBK" w:eastAsia="方正书宋_GBK" w:cs="方正书宋_GBK"/>
          <w:color w:val="000000"/>
          <w:sz w:val="21"/>
          <w:lang w:eastAsia="zh-CN"/>
        </w:rPr>
      </w:pPr>
      <w:r>
        <w:rPr>
          <w:rFonts w:hint="eastAsia" w:eastAsia="宋体"/>
          <w:lang w:eastAsia="zh-CN"/>
        </w:rPr>
        <w:t xml:space="preserve">                               </w:t>
      </w:r>
      <w:r>
        <w:rPr>
          <w:rFonts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rPr>
          <w:rFonts w:ascii="方正书宋_GBK" w:hAnsi="方正书宋_GBK" w:eastAsia="方正书宋_GBK" w:cs="方正书宋_GBK"/>
          <w:color w:val="000000"/>
          <w:sz w:val="21"/>
          <w:lang w:eastAsia="zh-CN"/>
        </w:rPr>
      </w:pPr>
    </w:p>
    <w:p>
      <w:pPr>
        <w:rPr>
          <w:rFonts w:ascii="方正书宋_GBK" w:hAnsi="方正书宋_GBK" w:eastAsia="方正书宋_GBK" w:cs="方正书宋_GBK"/>
          <w:color w:val="000000"/>
          <w:sz w:val="21"/>
          <w:lang w:eastAsia="zh-CN"/>
        </w:rPr>
        <w:sectPr>
          <w:pgSz w:w="16840" w:h="11900" w:orient="landscape"/>
          <w:pgMar w:top="1361" w:right="1020" w:bottom="1134" w:left="1020" w:header="720" w:footer="720" w:gutter="0"/>
          <w:cols w:space="720" w:num="1"/>
        </w:sectPr>
      </w:pPr>
    </w:p>
    <w:p>
      <w:pPr>
        <w:pStyle w:val="3"/>
        <w:jc w:val="center"/>
        <w:rPr>
          <w:lang w:eastAsia="zh-CN"/>
        </w:rPr>
      </w:pPr>
      <w:bookmarkStart w:id="9" w:name="_Toc12379"/>
      <w:r>
        <w:rPr>
          <w:rFonts w:hint="eastAsia"/>
          <w:lang w:eastAsia="zh-CN"/>
        </w:rPr>
        <w:t>部门预算财政拨款“三公”经费支出表</w:t>
      </w:r>
      <w:bookmarkEnd w:id="9"/>
    </w:p>
    <w:p>
      <w:pPr>
        <w:jc w:val="both"/>
        <w:rPr>
          <w:rFonts w:eastAsia="方正仿宋_GBK"/>
          <w:color w:val="000000"/>
          <w:sz w:val="44"/>
          <w:szCs w:val="44"/>
          <w:lang w:eastAsia="zh-CN"/>
        </w:rPr>
      </w:pPr>
    </w:p>
    <w:tbl>
      <w:tblPr>
        <w:tblStyle w:val="10"/>
        <w:tblW w:w="12960" w:type="dxa"/>
        <w:jc w:val="center"/>
        <w:tblLayout w:type="autofit"/>
        <w:tblCellMar>
          <w:top w:w="0" w:type="dxa"/>
          <w:left w:w="108" w:type="dxa"/>
          <w:bottom w:w="0" w:type="dxa"/>
          <w:right w:w="108" w:type="dxa"/>
        </w:tblCellMar>
      </w:tblPr>
      <w:tblGrid>
        <w:gridCol w:w="654"/>
        <w:gridCol w:w="4268"/>
        <w:gridCol w:w="761"/>
        <w:gridCol w:w="2355"/>
        <w:gridCol w:w="2142"/>
        <w:gridCol w:w="2780"/>
      </w:tblGrid>
      <w:tr>
        <w:tblPrEx>
          <w:tblCellMar>
            <w:top w:w="0" w:type="dxa"/>
            <w:left w:w="108" w:type="dxa"/>
            <w:bottom w:w="0" w:type="dxa"/>
            <w:right w:w="108" w:type="dxa"/>
          </w:tblCellMar>
        </w:tblPrEx>
        <w:trPr>
          <w:trHeight w:val="439" w:hRule="atLeast"/>
          <w:jc w:val="center"/>
        </w:trPr>
        <w:tc>
          <w:tcPr>
            <w:tcW w:w="0" w:type="auto"/>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资金性质</w:t>
            </w:r>
          </w:p>
        </w:tc>
      </w:tr>
      <w:tr>
        <w:tblPrEx>
          <w:tblCellMar>
            <w:top w:w="0" w:type="dxa"/>
            <w:left w:w="108" w:type="dxa"/>
            <w:bottom w:w="0" w:type="dxa"/>
            <w:right w:w="108"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国有资本经营预算财政拨款</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bookmarkStart w:id="19" w:name="_GoBack"/>
            <w:bookmarkEnd w:id="19"/>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ectPr>
          <w:pgSz w:w="16840" w:h="11900" w:orient="landscape"/>
          <w:pgMar w:top="1361" w:right="1020" w:bottom="1134"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检察院</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检察院</w:t>
      </w:r>
      <w:r>
        <w:rPr>
          <w:rFonts w:eastAsia="方正仿宋_GBK"/>
          <w:color w:val="000000"/>
          <w:sz w:val="28"/>
        </w:rPr>
        <w:t>2022年部门预算公开如下：</w:t>
      </w:r>
    </w:p>
    <w:p>
      <w:pPr>
        <w:spacing w:before="10" w:after="10" w:line="360" w:lineRule="auto"/>
        <w:ind w:firstLine="640"/>
        <w:outlineLvl w:val="2"/>
      </w:pPr>
      <w:bookmarkStart w:id="10" w:name="_Toc_3_3_0000000010"/>
      <w:r>
        <w:rPr>
          <w:rFonts w:ascii="黑体" w:hAnsi="黑体" w:eastAsia="黑体" w:cs="黑体"/>
          <w:color w:val="000000"/>
          <w:sz w:val="32"/>
        </w:rPr>
        <w:t>一、部门职责及机构设置情况</w:t>
      </w:r>
      <w:bookmarkEnd w:id="10"/>
    </w:p>
    <w:p>
      <w:pPr>
        <w:ind w:firstLine="640"/>
      </w:pPr>
      <w:r>
        <w:rPr>
          <w:rFonts w:ascii="方正楷体_GBK" w:hAnsi="方正楷体_GBK" w:eastAsia="方正楷体_GBK" w:cs="方正楷体_GBK"/>
          <w:b/>
          <w:color w:val="000000"/>
          <w:sz w:val="32"/>
        </w:rPr>
        <w:t>部门职责：</w:t>
      </w:r>
    </w:p>
    <w:p>
      <w:pPr>
        <w:pStyle w:val="23"/>
        <w:rPr>
          <w:lang w:eastAsia="zh-CN"/>
        </w:rPr>
      </w:pPr>
      <w:r>
        <w:rPr>
          <w:rFonts w:hint="eastAsia"/>
          <w:lang w:eastAsia="zh-CN"/>
        </w:rPr>
        <w:t>涞水县人民检察院是国家法律监督机关，在上级检察院的领导下，依法履行法律监督职责，对涞水县人民代表大会及其常务委员会负责报告工作。其主要职责是：</w:t>
      </w:r>
    </w:p>
    <w:p>
      <w:pPr>
        <w:pStyle w:val="23"/>
        <w:rPr>
          <w:lang w:eastAsia="zh-CN"/>
        </w:rPr>
      </w:pPr>
      <w:r>
        <w:rPr>
          <w:rFonts w:hint="eastAsia"/>
          <w:lang w:eastAsia="zh-CN"/>
        </w:rPr>
        <w:t>（一）对于叛国案、分裂国家案以及严重破坏国家的政策、法律、政令统一实施的重大犯罪案件，行使检察权。</w:t>
      </w:r>
    </w:p>
    <w:p>
      <w:pPr>
        <w:pStyle w:val="23"/>
        <w:rPr>
          <w:lang w:eastAsia="zh-CN"/>
        </w:rPr>
      </w:pPr>
      <w:r>
        <w:rPr>
          <w:rFonts w:hint="eastAsia"/>
          <w:lang w:eastAsia="zh-CN"/>
        </w:rPr>
        <w:t>（二）对于公安机关、国家安全机关等侦查机关侦查的案件进行审查，决定是否逮捕，起诉或者不起诉。并对侦查机关的侦查活动是否合法实行监督。</w:t>
      </w:r>
    </w:p>
    <w:p>
      <w:pPr>
        <w:pStyle w:val="23"/>
        <w:rPr>
          <w:lang w:eastAsia="zh-CN"/>
        </w:rPr>
      </w:pPr>
      <w:r>
        <w:rPr>
          <w:rFonts w:hint="eastAsia"/>
          <w:lang w:eastAsia="zh-CN"/>
        </w:rPr>
        <w:t>（三）对于刑事案件提起公诉，支持公诉；对于人民法院的刑事判决、裁定是否正确和审判活动是否合法实行监督。</w:t>
      </w:r>
    </w:p>
    <w:p>
      <w:pPr>
        <w:pStyle w:val="23"/>
        <w:rPr>
          <w:lang w:eastAsia="zh-CN"/>
        </w:rPr>
      </w:pPr>
      <w:r>
        <w:rPr>
          <w:rFonts w:hint="eastAsia"/>
          <w:lang w:eastAsia="zh-CN"/>
        </w:rPr>
        <w:t>（四）对于监狱、看守所等执行机关执行刑罚的活动是否合法实行监督。</w:t>
      </w:r>
    </w:p>
    <w:p>
      <w:pPr>
        <w:pStyle w:val="23"/>
        <w:rPr>
          <w:lang w:eastAsia="zh-CN"/>
        </w:rPr>
      </w:pPr>
      <w:r>
        <w:rPr>
          <w:rFonts w:hint="eastAsia"/>
          <w:lang w:eastAsia="zh-CN"/>
        </w:rPr>
        <w:t>（五）对于人民法院的民事审判活动实行法律监督，对人民法院已经发生效力的判决、裁定，发现违反法律、法规规定的，依法提出抗诉。</w:t>
      </w:r>
    </w:p>
    <w:p>
      <w:pPr>
        <w:pStyle w:val="23"/>
        <w:rPr>
          <w:lang w:eastAsia="zh-CN"/>
        </w:rPr>
      </w:pPr>
      <w:r>
        <w:rPr>
          <w:rFonts w:hint="eastAsia"/>
          <w:lang w:eastAsia="zh-CN"/>
        </w:rPr>
        <w:t>（六）对于行政诉讼实行法律监督。对人民法院已经发生效力的判决、裁定发现违反法律法规规定的，依法提出抗诉。</w:t>
      </w:r>
    </w:p>
    <w:p>
      <w:pPr>
        <w:pStyle w:val="23"/>
        <w:rPr>
          <w:lang w:eastAsia="zh-CN"/>
        </w:rPr>
      </w:pPr>
    </w:p>
    <w:p>
      <w:pPr>
        <w:pStyle w:val="23"/>
        <w:rPr>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涞水县人民检察院</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line="360" w:lineRule="auto"/>
        <w:ind w:firstLine="640"/>
        <w:rPr>
          <w:rFonts w:ascii="黑体" w:hAnsi="黑体" w:eastAsia="黑体" w:cs="黑体"/>
          <w:color w:val="000000"/>
          <w:sz w:val="32"/>
          <w:lang w:eastAsia="zh-CN"/>
        </w:rPr>
      </w:pPr>
      <w:bookmarkStart w:id="1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1"/>
    </w:p>
    <w:p>
      <w:pPr>
        <w:spacing w:line="500" w:lineRule="exact"/>
        <w:ind w:firstLine="560"/>
        <w:rPr>
          <w:rFonts w:eastAsia="方正仿宋_GBK"/>
          <w:color w:val="000000"/>
          <w:sz w:val="28"/>
          <w:lang w:val="uk-UA"/>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涞水县人民检察院</w:t>
      </w:r>
      <w:r>
        <w:rPr>
          <w:rFonts w:eastAsia="方正仿宋_GBK"/>
          <w:color w:val="000000"/>
          <w:sz w:val="28"/>
        </w:rPr>
        <w:t>的收支包含在部门预算中。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2022</w:t>
      </w:r>
      <w:r>
        <w:rPr>
          <w:rFonts w:hint="eastAsia" w:eastAsia="方正仿宋_GBK"/>
          <w:color w:val="000000"/>
          <w:sz w:val="28"/>
        </w:rPr>
        <w:t>年涞水县人民检察院预算收入一般公共预算拨款</w:t>
      </w:r>
      <w:r>
        <w:rPr>
          <w:rFonts w:eastAsia="方正仿宋_GBK"/>
          <w:color w:val="000000"/>
          <w:sz w:val="28"/>
        </w:rPr>
        <w:t>652.62</w:t>
      </w:r>
      <w:r>
        <w:rPr>
          <w:rFonts w:hint="eastAsia" w:eastAsia="方正仿宋_GBK"/>
          <w:color w:val="000000"/>
          <w:sz w:val="28"/>
        </w:rPr>
        <w:t>万元，其中，财政拨款</w:t>
      </w:r>
      <w:r>
        <w:rPr>
          <w:rFonts w:eastAsia="方正仿宋_GBK"/>
          <w:color w:val="000000"/>
          <w:sz w:val="28"/>
        </w:rPr>
        <w:t>652.62</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收支预算总表支出栏、基本支出表、项目支出表按经济分类和支出功能分类科目编制，反映我部门预算中支出预算的总体情况。</w:t>
      </w:r>
      <w:r>
        <w:rPr>
          <w:rFonts w:eastAsia="方正仿宋_GBK"/>
          <w:color w:val="000000"/>
          <w:sz w:val="28"/>
        </w:rPr>
        <w:t>2022</w:t>
      </w:r>
      <w:r>
        <w:rPr>
          <w:rFonts w:hint="eastAsia" w:eastAsia="方正仿宋_GBK"/>
          <w:color w:val="000000"/>
          <w:sz w:val="28"/>
        </w:rPr>
        <w:t>年涞水县人民检察院预算支出</w:t>
      </w:r>
      <w:r>
        <w:rPr>
          <w:rFonts w:eastAsia="方正仿宋_GBK"/>
          <w:color w:val="000000"/>
          <w:sz w:val="28"/>
        </w:rPr>
        <w:t>652.62</w:t>
      </w:r>
      <w:r>
        <w:rPr>
          <w:rFonts w:hint="eastAsia" w:eastAsia="方正仿宋_GBK"/>
          <w:color w:val="000000"/>
          <w:sz w:val="28"/>
        </w:rPr>
        <w:t>万元，其中基本支出总计</w:t>
      </w:r>
      <w:r>
        <w:rPr>
          <w:rFonts w:eastAsia="方正仿宋_GBK"/>
          <w:color w:val="000000"/>
          <w:sz w:val="28"/>
        </w:rPr>
        <w:t>652.62</w:t>
      </w:r>
      <w:r>
        <w:rPr>
          <w:rFonts w:hint="eastAsia" w:eastAsia="方正仿宋_GBK"/>
          <w:color w:val="000000"/>
          <w:sz w:val="28"/>
        </w:rPr>
        <w:t>万元（人员经费支出</w:t>
      </w:r>
      <w:r>
        <w:rPr>
          <w:rFonts w:eastAsia="方正仿宋_GBK"/>
          <w:color w:val="000000"/>
          <w:sz w:val="28"/>
        </w:rPr>
        <w:t>441.02</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日常公用经费</w:t>
      </w:r>
      <w:r>
        <w:rPr>
          <w:rFonts w:eastAsia="方正仿宋_GBK"/>
          <w:color w:val="000000"/>
          <w:sz w:val="28"/>
        </w:rPr>
        <w:t>211.60</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spacing w:line="500" w:lineRule="exact"/>
        <w:ind w:firstLine="560"/>
        <w:rPr>
          <w:rFonts w:eastAsia="方正仿宋_GBK"/>
          <w:color w:val="000000"/>
          <w:sz w:val="28"/>
        </w:rPr>
      </w:pPr>
      <w:r>
        <w:rPr>
          <w:rFonts w:eastAsia="方正仿宋_GBK"/>
          <w:color w:val="000000"/>
          <w:sz w:val="28"/>
        </w:rPr>
        <w:t>2021</w:t>
      </w:r>
      <w:r>
        <w:rPr>
          <w:rFonts w:hint="eastAsia" w:eastAsia="方正仿宋_GBK"/>
          <w:color w:val="000000"/>
          <w:sz w:val="28"/>
        </w:rPr>
        <w:t>年基本支出为</w:t>
      </w:r>
      <w:r>
        <w:rPr>
          <w:rFonts w:eastAsia="方正仿宋_GBK"/>
          <w:color w:val="000000"/>
          <w:sz w:val="28"/>
        </w:rPr>
        <w:t>559.47</w:t>
      </w:r>
      <w:r>
        <w:rPr>
          <w:rFonts w:hint="eastAsia" w:eastAsia="方正仿宋_GBK"/>
          <w:color w:val="000000"/>
          <w:sz w:val="28"/>
        </w:rPr>
        <w:t>万元，</w:t>
      </w:r>
      <w:r>
        <w:rPr>
          <w:rFonts w:eastAsia="方正仿宋_GBK"/>
          <w:color w:val="000000"/>
          <w:sz w:val="28"/>
        </w:rPr>
        <w:t>2022</w:t>
      </w:r>
      <w:r>
        <w:rPr>
          <w:rFonts w:hint="eastAsia" w:eastAsia="方正仿宋_GBK"/>
          <w:color w:val="000000"/>
          <w:sz w:val="28"/>
        </w:rPr>
        <w:t>年比</w:t>
      </w:r>
      <w:r>
        <w:rPr>
          <w:rFonts w:eastAsia="方正仿宋_GBK"/>
          <w:color w:val="000000"/>
          <w:sz w:val="28"/>
        </w:rPr>
        <w:t>2021</w:t>
      </w:r>
      <w:r>
        <w:rPr>
          <w:rFonts w:hint="eastAsia" w:eastAsia="方正仿宋_GBK"/>
          <w:color w:val="000000"/>
          <w:sz w:val="28"/>
        </w:rPr>
        <w:t>年增加了</w:t>
      </w:r>
      <w:r>
        <w:rPr>
          <w:rFonts w:eastAsia="方正仿宋_GBK"/>
          <w:color w:val="000000"/>
          <w:sz w:val="28"/>
        </w:rPr>
        <w:t>93.15</w:t>
      </w:r>
      <w:r>
        <w:rPr>
          <w:rFonts w:hint="eastAsia" w:eastAsia="方正仿宋_GBK"/>
          <w:color w:val="000000"/>
          <w:sz w:val="28"/>
        </w:rPr>
        <w:t>万元，主要增加变动原因为专项公用经费由项目支出调整到日常公用经费支出，日常公用经费</w:t>
      </w:r>
      <w:r>
        <w:rPr>
          <w:rFonts w:eastAsia="方正仿宋_GBK"/>
          <w:color w:val="000000"/>
          <w:sz w:val="28"/>
        </w:rPr>
        <w:t>2021</w:t>
      </w:r>
      <w:r>
        <w:rPr>
          <w:rFonts w:hint="eastAsia" w:eastAsia="方正仿宋_GBK"/>
          <w:color w:val="000000"/>
          <w:sz w:val="28"/>
        </w:rPr>
        <w:t>年为</w:t>
      </w:r>
      <w:r>
        <w:rPr>
          <w:rFonts w:eastAsia="方正仿宋_GBK"/>
          <w:color w:val="000000"/>
          <w:sz w:val="28"/>
        </w:rPr>
        <w:t>137.39</w:t>
      </w:r>
      <w:r>
        <w:rPr>
          <w:rFonts w:hint="eastAsia" w:eastAsia="方正仿宋_GBK"/>
          <w:color w:val="000000"/>
          <w:sz w:val="28"/>
        </w:rPr>
        <w:t>万元，</w:t>
      </w:r>
      <w:r>
        <w:rPr>
          <w:rFonts w:eastAsia="方正仿宋_GBK"/>
          <w:color w:val="000000"/>
          <w:sz w:val="28"/>
        </w:rPr>
        <w:t>2022</w:t>
      </w:r>
      <w:r>
        <w:rPr>
          <w:rFonts w:hint="eastAsia" w:eastAsia="方正仿宋_GBK"/>
          <w:color w:val="000000"/>
          <w:sz w:val="28"/>
        </w:rPr>
        <w:t>年比</w:t>
      </w:r>
      <w:r>
        <w:rPr>
          <w:rFonts w:eastAsia="方正仿宋_GBK"/>
          <w:color w:val="000000"/>
          <w:sz w:val="28"/>
        </w:rPr>
        <w:t>2021</w:t>
      </w:r>
      <w:r>
        <w:rPr>
          <w:rFonts w:hint="eastAsia" w:eastAsia="方正仿宋_GBK"/>
          <w:color w:val="000000"/>
          <w:sz w:val="28"/>
        </w:rPr>
        <w:t>年增加了</w:t>
      </w:r>
      <w:r>
        <w:rPr>
          <w:rFonts w:eastAsia="方正仿宋_GBK"/>
          <w:color w:val="000000"/>
          <w:sz w:val="28"/>
        </w:rPr>
        <w:t>74.21</w:t>
      </w:r>
      <w:r>
        <w:rPr>
          <w:rFonts w:hint="eastAsia" w:eastAsia="方正仿宋_GBK"/>
          <w:color w:val="000000"/>
          <w:sz w:val="28"/>
        </w:rPr>
        <w:t>万元，主要增加变动原因是专项公用经费由项目支出调整到日常公用经费支出。</w:t>
      </w:r>
    </w:p>
    <w:p>
      <w:pPr>
        <w:pStyle w:val="24"/>
      </w:pPr>
    </w:p>
    <w:p>
      <w:pPr>
        <w:spacing w:before="10" w:after="10" w:line="360" w:lineRule="auto"/>
        <w:ind w:firstLine="640"/>
        <w:outlineLvl w:val="2"/>
      </w:pPr>
      <w:bookmarkStart w:id="12" w:name="_Toc_3_3_0000000012"/>
      <w:r>
        <w:rPr>
          <w:rFonts w:ascii="黑体" w:hAnsi="黑体" w:eastAsia="黑体" w:cs="黑体"/>
          <w:color w:val="000000"/>
          <w:sz w:val="32"/>
        </w:rPr>
        <w:t>三、机关运行经费安排情况</w:t>
      </w:r>
      <w:bookmarkEnd w:id="12"/>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涞水县检察院</w:t>
      </w:r>
      <w:r>
        <w:rPr>
          <w:rFonts w:hint="eastAsia" w:eastAsia="方正仿宋_GBK"/>
          <w:color w:val="000000"/>
          <w:sz w:val="28"/>
        </w:rPr>
        <w:t>部门预算安排机关运行经费支出</w:t>
      </w:r>
      <w:r>
        <w:rPr>
          <w:rFonts w:hint="eastAsia" w:eastAsia="方正仿宋_GBK"/>
          <w:color w:val="000000"/>
          <w:sz w:val="28"/>
          <w:lang w:eastAsia="zh-CN"/>
        </w:rPr>
        <w:t>211.60万元，其中办公费79.44万元，邮电费0.36万元，取暖费5.2万元，差旅费3.5万元，公务用车运行维护费12万元，按规定比例计提工会经费2.93万元，职工福利费5.66万元。</w:t>
      </w:r>
    </w:p>
    <w:p>
      <w:pPr>
        <w:pStyle w:val="25"/>
      </w:pPr>
    </w:p>
    <w:p>
      <w:pPr>
        <w:numPr>
          <w:ilvl w:val="0"/>
          <w:numId w:val="1"/>
        </w:numPr>
        <w:spacing w:before="10" w:after="10" w:line="360" w:lineRule="auto"/>
        <w:ind w:firstLine="640"/>
        <w:outlineLvl w:val="2"/>
        <w:rPr>
          <w:rFonts w:ascii="黑体" w:hAnsi="黑体" w:eastAsia="黑体" w:cs="黑体"/>
          <w:color w:val="000000"/>
          <w:sz w:val="32"/>
        </w:rPr>
      </w:pPr>
      <w:bookmarkStart w:id="13" w:name="_Toc_3_3_0000000013"/>
      <w:r>
        <w:rPr>
          <w:rFonts w:ascii="黑体" w:hAnsi="黑体" w:eastAsia="黑体" w:cs="黑体"/>
          <w:color w:val="000000"/>
          <w:sz w:val="32"/>
        </w:rPr>
        <w:t>财政拨款“三公”经费预算情况及增减变化原因</w:t>
      </w:r>
      <w:bookmarkEnd w:id="13"/>
    </w:p>
    <w:p>
      <w:pPr>
        <w:spacing w:line="540" w:lineRule="exact"/>
        <w:ind w:firstLine="560" w:firstLineChars="200"/>
        <w:rPr>
          <w:rFonts w:ascii="仿宋" w:hAnsi="仿宋" w:eastAsia="仿宋"/>
          <w:kern w:val="2"/>
          <w:sz w:val="32"/>
          <w:szCs w:val="32"/>
          <w:lang w:eastAsia="zh-CN"/>
        </w:rPr>
      </w:pPr>
      <w:r>
        <w:rPr>
          <w:rFonts w:hint="eastAsia" w:eastAsia="方正仿宋_GBK"/>
          <w:color w:val="000000"/>
          <w:sz w:val="28"/>
        </w:rPr>
        <w:t>我单位2022年预算三公经费里没有安排公务接待费预算，没有因公出国经费，没有公务用车购置经费，只安排了12万元公务用车运行维护费，与去年持平，主要原因是我院力行中央八项规定，勤俭节约，严格控制“三公”经费，已经将“三公”经费开支压缩到最低。</w:t>
      </w:r>
    </w:p>
    <w:p>
      <w:pPr>
        <w:widowControl w:val="0"/>
        <w:spacing w:line="540" w:lineRule="exact"/>
        <w:ind w:firstLine="11200" w:firstLineChars="3500"/>
        <w:jc w:val="both"/>
        <w:rPr>
          <w:rFonts w:ascii="仿宋" w:hAnsi="仿宋" w:eastAsia="仿宋"/>
          <w:kern w:val="2"/>
          <w:sz w:val="32"/>
          <w:szCs w:val="32"/>
          <w:lang w:eastAsia="zh-CN"/>
        </w:rPr>
      </w:pPr>
    </w:p>
    <w:p>
      <w:pPr>
        <w:widowControl w:val="0"/>
        <w:spacing w:line="540" w:lineRule="exact"/>
        <w:ind w:firstLine="11200" w:firstLineChars="3500"/>
        <w:jc w:val="both"/>
        <w:rPr>
          <w:rFonts w:ascii="仿宋_GB2312" w:hAnsi="微软雅黑" w:eastAsia="仿宋_GB2312"/>
          <w:color w:val="2F2F2F"/>
          <w:kern w:val="2"/>
          <w:sz w:val="32"/>
          <w:szCs w:val="32"/>
          <w:lang w:eastAsia="zh-CN"/>
        </w:rPr>
      </w:pPr>
      <w:r>
        <w:rPr>
          <w:rFonts w:hint="eastAsia" w:ascii="仿宋" w:hAnsi="仿宋" w:eastAsia="仿宋"/>
          <w:kern w:val="2"/>
          <w:sz w:val="32"/>
          <w:szCs w:val="32"/>
          <w:lang w:eastAsia="zh-CN"/>
        </w:rPr>
        <w:t>单位：万元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2237"/>
        <w:gridCol w:w="2282"/>
        <w:gridCol w:w="1679"/>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项目名称</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202</w:t>
            </w:r>
            <w:r>
              <w:rPr>
                <w:rFonts w:ascii="仿宋" w:hAnsi="仿宋" w:eastAsia="仿宋"/>
                <w:color w:val="2F2F2F"/>
                <w:kern w:val="2"/>
                <w:sz w:val="32"/>
                <w:szCs w:val="32"/>
                <w:lang w:eastAsia="zh-CN"/>
              </w:rPr>
              <w:t>2</w:t>
            </w:r>
            <w:r>
              <w:rPr>
                <w:rFonts w:hint="eastAsia" w:ascii="仿宋" w:hAnsi="仿宋" w:eastAsia="仿宋"/>
                <w:color w:val="2F2F2F"/>
                <w:kern w:val="2"/>
                <w:sz w:val="32"/>
                <w:szCs w:val="32"/>
                <w:lang w:eastAsia="zh-CN"/>
              </w:rPr>
              <w:t>年度预算</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2021年度预算</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增减金额</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因公出国经费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公务用车购置经费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公务用车运行经费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ind w:firstLine="480" w:firstLineChars="150"/>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12</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w:t>
            </w:r>
            <w:r>
              <w:rPr>
                <w:rFonts w:ascii="仿宋" w:hAnsi="仿宋" w:eastAsia="仿宋"/>
                <w:color w:val="2F2F2F"/>
                <w:kern w:val="2"/>
                <w:sz w:val="32"/>
                <w:szCs w:val="32"/>
                <w:lang w:eastAsia="zh-CN"/>
              </w:rPr>
              <w:t>2</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公务接待经费支出</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合计</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12</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w:t>
            </w:r>
            <w:r>
              <w:rPr>
                <w:rFonts w:ascii="仿宋" w:hAnsi="仿宋" w:eastAsia="仿宋"/>
                <w:color w:val="2F2F2F"/>
                <w:kern w:val="2"/>
                <w:sz w:val="32"/>
                <w:szCs w:val="32"/>
                <w:lang w:eastAsia="zh-CN"/>
              </w:rPr>
              <w:t>2</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勤俭节约，压缩支出</w:t>
            </w:r>
          </w:p>
        </w:tc>
      </w:tr>
    </w:tbl>
    <w:p>
      <w:pPr>
        <w:pStyle w:val="26"/>
      </w:pP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pStyle w:val="29"/>
        <w:rPr>
          <w:color w:val="000000"/>
        </w:rPr>
      </w:pPr>
      <w:r>
        <w:rPr>
          <w:rFonts w:hint="eastAsia"/>
          <w:color w:val="000000"/>
        </w:rPr>
        <w:t>（一）总体绩效目标</w:t>
      </w:r>
    </w:p>
    <w:p>
      <w:pPr>
        <w:pStyle w:val="29"/>
        <w:rPr>
          <w:color w:val="000000"/>
        </w:rPr>
      </w:pPr>
      <w:r>
        <w:rPr>
          <w:rFonts w:hint="eastAsia"/>
          <w:color w:val="000000"/>
        </w:rPr>
        <w:t>高举</w:t>
      </w:r>
      <w:r>
        <w:rPr>
          <w:rFonts w:hint="eastAsia"/>
          <w:color w:val="000000"/>
          <w:lang w:eastAsia="zh-CN"/>
        </w:rPr>
        <w:t>习近平新时代中国特色社会主义思想</w:t>
      </w:r>
      <w:r>
        <w:rPr>
          <w:rFonts w:hint="eastAsia"/>
          <w:color w:val="000000"/>
        </w:rPr>
        <w:t>伟大旗帜，深入贯彻落实党的十九大和十九届历次全会精神，全面履行法律监督职责。围绕县委中心工作，切实增强服务大局的针对性和实效性；推进平安涞水建设，妥善做好检察环节各项工作，切实当好首都政治“护城河”，积极为推动国家治理体系和治理能力现代化作出检察贡献；切实转变司法理念，推动“四大检察”工作全面协调充分发展；坚持从严治检，压实“两个责任”，大力推进检察队伍革命化正规化专业化职业化建设。</w:t>
      </w:r>
    </w:p>
    <w:p>
      <w:pPr>
        <w:pStyle w:val="29"/>
        <w:rPr>
          <w:color w:val="000000"/>
        </w:rPr>
      </w:pPr>
    </w:p>
    <w:p>
      <w:pPr>
        <w:pStyle w:val="29"/>
        <w:rPr>
          <w:color w:val="000000"/>
        </w:rPr>
      </w:pPr>
      <w:r>
        <w:rPr>
          <w:rFonts w:hint="eastAsia"/>
          <w:color w:val="000000"/>
        </w:rPr>
        <w:t>（二）分项绩效目标</w:t>
      </w:r>
    </w:p>
    <w:p>
      <w:pPr>
        <w:pStyle w:val="29"/>
        <w:rPr>
          <w:color w:val="000000"/>
        </w:rPr>
      </w:pPr>
      <w:r>
        <w:rPr>
          <w:rFonts w:hint="eastAsia"/>
          <w:color w:val="000000"/>
        </w:rPr>
        <w:t xml:space="preserve">    1、加强刑事犯罪检察工作</w:t>
      </w:r>
    </w:p>
    <w:p>
      <w:pPr>
        <w:pStyle w:val="29"/>
        <w:rPr>
          <w:color w:val="000000"/>
        </w:rPr>
      </w:pPr>
      <w:r>
        <w:rPr>
          <w:rFonts w:hint="eastAsia"/>
          <w:color w:val="000000"/>
        </w:rPr>
        <w:t xml:space="preserve">    绩效目标：依法严肃打击侵犯公民财产权、人身权、扰乱社会秩序等各类刑事犯罪；与县公安局、自然资源局、生态环境局联合组织开展打击危害自然资源和生态环境犯罪专项活动，增强人民群众的获得感幸福感安全感；深入推进扫黑除恶专项斗争工作；以规范化、专业化为导向，加强刑事犯罪检察人才队伍和工作机制建设。</w:t>
      </w:r>
    </w:p>
    <w:p>
      <w:pPr>
        <w:pStyle w:val="29"/>
        <w:rPr>
          <w:color w:val="000000"/>
        </w:rPr>
      </w:pPr>
      <w:r>
        <w:rPr>
          <w:rFonts w:hint="eastAsia"/>
          <w:color w:val="000000"/>
        </w:rPr>
        <w:t xml:space="preserve">    绩效指标：依法履行审查逮捕、审查起诉职责，加强立案监督、侦查监督和审判监督，坚决打击“法轮功”、“全能神”等邪教组织破坏法律实施犯罪等各类犯罪；关注民生，与县公安局、自然资源局、生态环境局联合组织开展打击危害自然资源和生态环境犯罪专项活动；全力推进扫黑除恶专项斗争。落实好检察官联席会议制度，提升审查意见精准度。规范案件办理，在法定期限内依法结案，提升办案效率。自觉履行法律监督职能，强化侦查监督、审判监督，依法制发纠正违法通知书、检察建议。审查逮捕率大于等于80%，检察建议采纳率大于等于85%。</w:t>
      </w:r>
    </w:p>
    <w:p>
      <w:pPr>
        <w:pStyle w:val="29"/>
        <w:rPr>
          <w:color w:val="000000"/>
        </w:rPr>
      </w:pPr>
      <w:r>
        <w:rPr>
          <w:rFonts w:hint="eastAsia"/>
          <w:color w:val="000000"/>
        </w:rPr>
        <w:t xml:space="preserve">    2、为反腐败深入发展提供有力司法保障</w:t>
      </w:r>
    </w:p>
    <w:p>
      <w:pPr>
        <w:pStyle w:val="29"/>
        <w:rPr>
          <w:color w:val="000000"/>
        </w:rPr>
      </w:pPr>
      <w:r>
        <w:rPr>
          <w:rFonts w:hint="eastAsia"/>
          <w:color w:val="000000"/>
        </w:rPr>
        <w:t xml:space="preserve">    绩效目标：充分履行职务犯罪检察职能，着力提高案件办理质效。与监察机关、审判机关、公安机关的协调配合，形成反腐败的工作合力。</w:t>
      </w:r>
    </w:p>
    <w:p>
      <w:pPr>
        <w:pStyle w:val="29"/>
        <w:rPr>
          <w:color w:val="000000"/>
        </w:rPr>
      </w:pPr>
      <w:r>
        <w:rPr>
          <w:rFonts w:hint="eastAsia"/>
          <w:color w:val="000000"/>
        </w:rPr>
        <w:t xml:space="preserve">    绩效指标：努力做好职务犯罪工作，审查结案率不低于90%；对全县职务犯罪检察工作中出现的问题，有针对性地展开调研不少于一次，提出解决问题的建议；进一步加强案件分析工作，每季度形成的分析报告定期向同级监委进行通报。</w:t>
      </w:r>
    </w:p>
    <w:p>
      <w:pPr>
        <w:pStyle w:val="29"/>
        <w:rPr>
          <w:color w:val="000000"/>
        </w:rPr>
      </w:pPr>
      <w:r>
        <w:rPr>
          <w:rFonts w:hint="eastAsia"/>
          <w:color w:val="000000"/>
        </w:rPr>
        <w:t xml:space="preserve">    3、加强经济犯罪检察工作</w:t>
      </w:r>
    </w:p>
    <w:p>
      <w:pPr>
        <w:pStyle w:val="29"/>
        <w:rPr>
          <w:color w:val="000000"/>
        </w:rPr>
      </w:pPr>
      <w:r>
        <w:rPr>
          <w:rFonts w:hint="eastAsia"/>
          <w:color w:val="000000"/>
        </w:rPr>
        <w:t xml:space="preserve">    绩效目标：准确把握经济犯罪检察工作在刑事检察中的职能定位，履行好捕诉职能，依法严厉打击经济犯罪，全力推进防范化解重大风险攻坚战。依法严惩危害食品药品安全犯罪，以及扶贫领域、涉农领域经济犯罪、生态领域经济犯罪，打好精准脱贫攻坚战和污染防治攻坚战。依法打击侵犯民营企业合法权益犯罪活动，依法平等保护民营经济合法权益。积极参与整顿和规范市场秩序，依法惩治串通投标、强迫交易、合同诈骗等经济犯罪，依法维护市场经济秩序。以规范化、专业化为导向，注重加强经济犯罪检察人才队伍和工作机制建设。</w:t>
      </w:r>
    </w:p>
    <w:p>
      <w:pPr>
        <w:pStyle w:val="29"/>
        <w:rPr>
          <w:color w:val="000000"/>
        </w:rPr>
      </w:pPr>
      <w:r>
        <w:rPr>
          <w:rFonts w:hint="eastAsia"/>
          <w:color w:val="000000"/>
        </w:rPr>
        <w:t xml:space="preserve">    绩效指标：查办一批涉众型经济犯罪案件，加强对重大复杂经济犯罪案件提前介入引导侦查工作，提前介入率同比上升50%；加强与我县金融监管部门的沟通配合，共同开展联合调研督导等活动，落实高检院“3”号检察建议，推动长效工作机制建设。加强对本地区金融犯罪案件的分析研判，针对金融监管部门存在的监管问题，积极提出检察建议。查办一批危害食品药品安全领域的犯罪案件，开展食品药品安全“四个最严”专项行动。查办一批立案监督案件，全县对立案监督案件进行全面梳理自查，自查率要达到100%，对立案监督不当案件主动纠正；着力解决经济犯罪案件认罪认罚适用率低的问题，适用率要同比上升10%。参加经济犯罪专题培训，庭审观摩研讨会等。</w:t>
      </w:r>
    </w:p>
    <w:p>
      <w:pPr>
        <w:pStyle w:val="29"/>
        <w:rPr>
          <w:color w:val="000000"/>
        </w:rPr>
      </w:pPr>
      <w:r>
        <w:rPr>
          <w:rFonts w:hint="eastAsia"/>
          <w:color w:val="000000"/>
        </w:rPr>
        <w:t xml:space="preserve">    4、刑事执行检察职能得到充分发挥</w:t>
      </w:r>
    </w:p>
    <w:p>
      <w:pPr>
        <w:pStyle w:val="29"/>
        <w:rPr>
          <w:color w:val="000000"/>
        </w:rPr>
      </w:pPr>
      <w:r>
        <w:rPr>
          <w:rFonts w:hint="eastAsia"/>
          <w:color w:val="000000"/>
        </w:rPr>
        <w:t xml:space="preserve">    绩效目标：查办诉讼过程中侵犯公民权利、损害司法公正犯罪的能力不断提高，刑事执行检察监督方式进一步科学、合理，监督效果更加突显，刑事被执行人的权益得到有效保障，监管场所不发生重大敏感事件，刑事执行领域公平正义得以实现。</w:t>
      </w:r>
    </w:p>
    <w:p>
      <w:pPr>
        <w:pStyle w:val="29"/>
        <w:rPr>
          <w:color w:val="000000"/>
        </w:rPr>
      </w:pPr>
      <w:r>
        <w:rPr>
          <w:rFonts w:hint="eastAsia"/>
          <w:color w:val="000000"/>
        </w:rPr>
        <w:t xml:space="preserve">    绩效指标：全县查办职务犯罪案件实现无空白；对我县看守所、拘留所实现“巡回”+“派驻”检察全覆盖，促使羁押监管机构多向社会输出“合格产品”，罪犯重新犯罪率下降5%；我县看守所实现无久押不决案件。</w:t>
      </w:r>
    </w:p>
    <w:p>
      <w:pPr>
        <w:pStyle w:val="29"/>
        <w:rPr>
          <w:color w:val="000000"/>
        </w:rPr>
      </w:pPr>
      <w:r>
        <w:rPr>
          <w:rFonts w:hint="eastAsia"/>
          <w:color w:val="000000"/>
        </w:rPr>
        <w:t xml:space="preserve">    5、全面履行民事检察职能</w:t>
      </w:r>
    </w:p>
    <w:p>
      <w:pPr>
        <w:pStyle w:val="29"/>
        <w:rPr>
          <w:color w:val="000000"/>
        </w:rPr>
      </w:pPr>
      <w:r>
        <w:rPr>
          <w:rFonts w:hint="eastAsia"/>
          <w:color w:val="000000"/>
        </w:rPr>
        <w:t xml:space="preserve">    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pStyle w:val="29"/>
        <w:rPr>
          <w:color w:val="000000"/>
        </w:rPr>
      </w:pPr>
      <w:r>
        <w:rPr>
          <w:rFonts w:hint="eastAsia"/>
          <w:color w:val="000000"/>
        </w:rPr>
        <w:t xml:space="preserve">    绩效指标：提高办案效率，办案人员所办理的案件法定期限内结案率提升至70%；提高案件监督质量，尤其是抗诉和再审检察建议案件的质量；加大审判违法监督、执行监督和虚假诉讼监督规模和力度；建立案件办理定期汇报制度。</w:t>
      </w:r>
    </w:p>
    <w:p>
      <w:pPr>
        <w:pStyle w:val="29"/>
        <w:rPr>
          <w:color w:val="000000"/>
        </w:rPr>
      </w:pPr>
      <w:r>
        <w:rPr>
          <w:rFonts w:hint="eastAsia"/>
          <w:color w:val="000000"/>
        </w:rPr>
        <w:t xml:space="preserve">    6、推动行政检察工作科学发展</w:t>
      </w:r>
    </w:p>
    <w:p>
      <w:pPr>
        <w:pStyle w:val="29"/>
        <w:rPr>
          <w:color w:val="000000"/>
        </w:rPr>
      </w:pPr>
      <w:r>
        <w:rPr>
          <w:rFonts w:hint="eastAsia"/>
          <w:color w:val="000000"/>
        </w:rPr>
        <w:t xml:space="preserve">    绩效目标：提高政治站位，更新监督理念，建立健全行政法律监督格局，提高办案质效，扩大行政检察工作影响力，促进行政检察人员专业化建设。</w:t>
      </w:r>
    </w:p>
    <w:p>
      <w:pPr>
        <w:pStyle w:val="29"/>
        <w:rPr>
          <w:color w:val="000000"/>
        </w:rPr>
      </w:pPr>
      <w:r>
        <w:rPr>
          <w:rFonts w:hint="eastAsia"/>
          <w:color w:val="000000"/>
        </w:rPr>
        <w:t xml:space="preserve">    绩效指标：加大对行政生效裁判监督，行政审判活动监督和行政执行活动监督力度，我院至少办理1件行政非诉执行案件。召开全县行政检察工作推进会1次，推动全县行政检察工作实现新突破。集中开展行政检察工作宣传月活动，进一步提高行政检察工作的社会认知度。</w:t>
      </w:r>
    </w:p>
    <w:p>
      <w:pPr>
        <w:pStyle w:val="29"/>
        <w:rPr>
          <w:color w:val="000000"/>
        </w:rPr>
      </w:pPr>
      <w:r>
        <w:rPr>
          <w:rFonts w:hint="eastAsia"/>
          <w:color w:val="000000"/>
        </w:rPr>
        <w:t xml:space="preserve">    7、持续加大公益诉讼检察工作力度</w:t>
      </w:r>
    </w:p>
    <w:p>
      <w:pPr>
        <w:pStyle w:val="29"/>
        <w:rPr>
          <w:color w:val="000000"/>
        </w:rPr>
      </w:pPr>
      <w:r>
        <w:rPr>
          <w:rFonts w:hint="eastAsia"/>
          <w:color w:val="000000"/>
        </w:rPr>
        <w:t xml:space="preserve">    绩效目标：加大办理“4+1”领域公益诉讼案件力度，积极稳妥开展“等”外领域公益诉讼案件办理工作。加大公益诉讼宣传力度，扩大公众对公益诉讼检察的知晓度、参与度，营造良好舆论氛围，构建社会治理共同体。</w:t>
      </w:r>
    </w:p>
    <w:p>
      <w:pPr>
        <w:pStyle w:val="29"/>
        <w:rPr>
          <w:color w:val="000000"/>
        </w:rPr>
      </w:pPr>
      <w:r>
        <w:rPr>
          <w:rFonts w:hint="eastAsia"/>
          <w:color w:val="000000"/>
        </w:rPr>
        <w:t xml:space="preserve">    绩效指标：针对行政机关改革，健全完善与县相关行政机关关于进一步加强行政公益协作配合的意见；深入推进全县检察机关护航蓝天碧水净土检察公益诉讼专项活动和开展落实食品药品安全“四个最严”要求专项行动；加大“等”外领域公益诉讼办案力度，开展“等”外领域公益诉讼小专项活动，力争“等”外领域案件办案数量占整体办案数量的5%以上；优化起诉案件办案结构，减少刑附民公益诉讼案件5%的占比，提升起诉行政公益诉讼5%的占比；提高单独提起公益诉讼案件数，力争在2019年单独起诉案件数的基础上提高20%；组织全县利用6.5世界环境日等开展不少于2次的检察公益诉讼宣传活动。</w:t>
      </w:r>
      <w:r>
        <w:rPr>
          <w:rFonts w:hint="eastAsia"/>
          <w:color w:val="000000"/>
        </w:rPr>
        <w:tab/>
      </w:r>
    </w:p>
    <w:p>
      <w:pPr>
        <w:pStyle w:val="29"/>
        <w:rPr>
          <w:color w:val="000000"/>
        </w:rPr>
      </w:pPr>
      <w:r>
        <w:rPr>
          <w:rFonts w:hint="eastAsia"/>
          <w:color w:val="000000"/>
        </w:rPr>
        <w:t xml:space="preserve">    8、有效履行新时期未检职能</w:t>
      </w:r>
    </w:p>
    <w:p>
      <w:pPr>
        <w:pStyle w:val="29"/>
        <w:rPr>
          <w:color w:val="000000"/>
        </w:rPr>
      </w:pPr>
      <w:r>
        <w:rPr>
          <w:rFonts w:hint="eastAsia"/>
          <w:color w:val="000000"/>
        </w:rPr>
        <w:t xml:space="preserve">    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推动落实检察长、副检察长担任辖区中小学校兼职法治副校长制度，继续深入推进法治进校园等各类法治宣传活动。 </w:t>
      </w:r>
    </w:p>
    <w:p>
      <w:pPr>
        <w:pStyle w:val="29"/>
        <w:rPr>
          <w:color w:val="000000"/>
        </w:rPr>
      </w:pPr>
      <w:r>
        <w:rPr>
          <w:rFonts w:hint="eastAsia"/>
          <w:color w:val="000000"/>
        </w:rPr>
        <w:t xml:space="preserve">    绩效指标：审查逮捕案件、审查起诉案件中法律援助、社会调查、亲职教育、帮教等特殊制度适用率20%以上；在全县持续推动未成年人检察社会支持体系建设工作；检察长、副检察长每年到所任职法治副校长学校讲课不少于1次。   </w:t>
      </w:r>
    </w:p>
    <w:p>
      <w:pPr>
        <w:pStyle w:val="29"/>
        <w:rPr>
          <w:color w:val="000000"/>
        </w:rPr>
      </w:pPr>
      <w:r>
        <w:rPr>
          <w:rFonts w:hint="eastAsia"/>
          <w:color w:val="000000"/>
        </w:rPr>
        <w:t xml:space="preserve">    9、控告申诉检察业务能力整体增强</w:t>
      </w:r>
    </w:p>
    <w:p>
      <w:pPr>
        <w:pStyle w:val="29"/>
        <w:rPr>
          <w:color w:val="000000"/>
        </w:rPr>
      </w:pPr>
      <w:r>
        <w:rPr>
          <w:rFonts w:hint="eastAsia"/>
          <w:color w:val="000000"/>
        </w:rPr>
        <w:t xml:space="preserve">    绩效目标：进一步提高刑事申诉案件审查、移转效率，严格遵守法定程序和期限审查刑事申诉案件，做到因案分流，繁案精办，简案快办，规范有序；“群众来信件件有回复”工作能力和水平整体增强；国家司法救助工作进一步完善，扩大国家司法救助覆盖面。加大督查指导力度，继续实行月通报制度。 </w:t>
      </w:r>
    </w:p>
    <w:p>
      <w:pPr>
        <w:pStyle w:val="29"/>
        <w:rPr>
          <w:color w:val="000000"/>
        </w:rPr>
      </w:pPr>
      <w:r>
        <w:rPr>
          <w:rFonts w:hint="eastAsia"/>
          <w:color w:val="000000"/>
        </w:rPr>
        <w:t xml:space="preserve">    绩效指标：经审查，认为原处理决定、判决、裁定正确的，应当在受理后2个月以内审结，案件疑难、复杂的，最长不得超过3个月，申诉材料部齐全的，自材料齐备之日起计算审查期限；认为原处理决定、判决、裁定有错误可能的刑事申诉案件，自受理之日起1个月以内决定移送案件管理部门交由相关刑事检察部门办理；群众来信7日内程序性回复率达到100%，3个月内办理过程或结果答复率达到100%，到期未办结后续每月进展答复率100%；人民检察院自受理申请之日起10日内作出是否予以救助和具体救助金额的决定。消灭国家司法救助工作空白点，保证办理完成1件以上司法救助案件。</w:t>
      </w:r>
    </w:p>
    <w:p>
      <w:pPr>
        <w:pStyle w:val="29"/>
        <w:rPr>
          <w:color w:val="000000"/>
        </w:rPr>
      </w:pPr>
      <w:r>
        <w:rPr>
          <w:rFonts w:hint="eastAsia"/>
          <w:color w:val="000000"/>
        </w:rPr>
        <w:t>10、当好参谋助手，优化政务保障</w:t>
      </w:r>
    </w:p>
    <w:p>
      <w:pPr>
        <w:pStyle w:val="29"/>
        <w:rPr>
          <w:color w:val="000000"/>
        </w:rPr>
      </w:pPr>
      <w:r>
        <w:rPr>
          <w:rFonts w:hint="eastAsia"/>
          <w:color w:val="000000"/>
        </w:rPr>
        <w:t xml:space="preserve">    绩效目标：以文辅政、参谋助手能力整体增强，会务保障水平显著提高，值班效率提升，督查效果明显，文件传输办理电子化、智能化水平进一步提高，持续推进检察档案信息信息化建设，外事工作办理程序规范、周全圆满，代表委员联络工作实现更精更细更实。</w:t>
      </w:r>
    </w:p>
    <w:p>
      <w:pPr>
        <w:pStyle w:val="29"/>
        <w:rPr>
          <w:color w:val="000000"/>
        </w:rPr>
      </w:pPr>
      <w:r>
        <w:rPr>
          <w:rFonts w:hint="eastAsia"/>
          <w:color w:val="000000"/>
        </w:rPr>
        <w:t xml:space="preserve">    绩效指标：编发简报、快报、专报等检察信息7篇以上；重要会议会务工作满意率100%。值班人员全时在位率达到100%；督查工作达到在规定时间内100%交办，在规定时间100%反馈。全年对上级院电子公文传输系统当日收发办理率稳定在90%以上。全县检察档案完成数字化升级。完成统一业务系统、OA自动办公系统与档案管理系统的对接和自动归档。出访工作在无外因干扰情况下落实率100%，司法协助工作按时限和规定程序办理。全年外事信息沟通工作顺畅，无涉外安全事故。按时高效办结人大代表建议和政协委员提案，主动走访全部代表、委员至少1次以上，走访联系代表、委员实现全覆盖，邀请代表、委员参加座谈会、检察开放日、听证会，每次活动邀请人数10人以上。</w:t>
      </w:r>
    </w:p>
    <w:p>
      <w:pPr>
        <w:pStyle w:val="29"/>
        <w:rPr>
          <w:color w:val="000000"/>
        </w:rPr>
      </w:pPr>
      <w:r>
        <w:rPr>
          <w:rFonts w:hint="eastAsia"/>
          <w:color w:val="000000"/>
        </w:rPr>
        <w:t>11、干部人事管理水平进一步加强</w:t>
      </w:r>
    </w:p>
    <w:p>
      <w:pPr>
        <w:pStyle w:val="29"/>
        <w:rPr>
          <w:color w:val="000000"/>
        </w:rPr>
      </w:pPr>
      <w:r>
        <w:rPr>
          <w:rFonts w:hint="eastAsia"/>
          <w:color w:val="000000"/>
        </w:rPr>
        <w:t xml:space="preserve">    绩效目标：积极推进司法体制改革相关工作，进一步做好人员分类管理工作，不断完善规范员额动态管理、检察人员选升晋升等工作，有序推进人员统一管理，持续推动检察人员职业保障及配套工作。全面加强队伍建设，进一步做好干部选拔任用、招录招聘、调配交流、职级调整、考核评价等工作，不断规范完善工资福利、档案考勤管理，持续强化干部监督管理。</w:t>
      </w:r>
    </w:p>
    <w:p>
      <w:pPr>
        <w:pStyle w:val="29"/>
        <w:rPr>
          <w:color w:val="000000"/>
        </w:rPr>
      </w:pPr>
      <w:r>
        <w:rPr>
          <w:rFonts w:hint="eastAsia"/>
          <w:color w:val="000000"/>
        </w:rPr>
        <w:t xml:space="preserve">    绩效指标：完成2020年本院入额遴选工作，规范检察官退额管理，完成2020年检察人员择优选升、按期晋升工作；完成全省政法专项编制统一管理，清理规范本院违规进人，推动临聘人员的规范管理；健全完善检察人员职业保障制度，积极推动各类人员单独职务序列待遇保障工作；完成2020年人员招录、调配、任免、考核；完成推荐考察、任免、对下领导班子考核等任务。考核通过率大于等于60%。</w:t>
      </w:r>
    </w:p>
    <w:p>
      <w:pPr>
        <w:pStyle w:val="29"/>
        <w:rPr>
          <w:color w:val="000000"/>
        </w:rPr>
      </w:pPr>
      <w:r>
        <w:rPr>
          <w:rFonts w:hint="eastAsia"/>
          <w:color w:val="000000"/>
        </w:rPr>
        <w:t>12、检察宣传能力整体增强</w:t>
      </w:r>
    </w:p>
    <w:p>
      <w:pPr>
        <w:pStyle w:val="29"/>
        <w:rPr>
          <w:color w:val="000000"/>
        </w:rPr>
      </w:pPr>
      <w:r>
        <w:rPr>
          <w:rFonts w:hint="eastAsia"/>
          <w:color w:val="000000"/>
        </w:rPr>
        <w:t xml:space="preserve">    绩效目标：加强检察机关意识形态建设；积极开展主题宣传和专项宣传，检察公信力和群众满意度逐步提升，新闻发布管理，拓展新闻宣传阵地；“三同步”工作机制正常运转，积极开展涉检舆情应对工作；检务公开网络平台安全平稳运行，积极为群众提供信息服务；加大新媒体作品创作力度，提升新媒体运维管理水平，扩大网络平台社会影响力；大力开展先进典型培树宣传；积极推动检察文化建设深入发展，活跃检察机关精神生活。</w:t>
      </w:r>
    </w:p>
    <w:p>
      <w:pPr>
        <w:pStyle w:val="29"/>
        <w:rPr>
          <w:color w:val="000000"/>
        </w:rPr>
      </w:pPr>
      <w:r>
        <w:rPr>
          <w:rFonts w:hint="eastAsia"/>
          <w:color w:val="000000"/>
        </w:rPr>
        <w:t xml:space="preserve">    绩效指标：严格落实意识形态工作责任制；紧扣检察中心工作，积极开展主题宣传和专项宣传，宣传报道检察工作取得的新成效。全县涉检舆情及时发现，妥善处置，促进检察工作不断改进和完善；门户网站和“两微一端”每个工作日发布检察信息每周不少于5条，我院门户网站和“两微一端”不发生重大事故；开展“双创双评”工作，培树宣传一批先进集体先进个人；积极开展各项检察文化活动，充分展现检察机关的新成就和新风貌，进一步发展和繁荣检察文化，促进检察工作和检察队伍建设科学发展。</w:t>
      </w:r>
    </w:p>
    <w:p>
      <w:pPr>
        <w:pStyle w:val="29"/>
        <w:rPr>
          <w:color w:val="000000"/>
        </w:rPr>
      </w:pPr>
      <w:r>
        <w:rPr>
          <w:rFonts w:hint="eastAsia"/>
          <w:color w:val="000000"/>
        </w:rPr>
        <w:t>13、教育培训工作成效显著提高</w:t>
      </w:r>
    </w:p>
    <w:p>
      <w:pPr>
        <w:pStyle w:val="29"/>
        <w:rPr>
          <w:color w:val="000000"/>
        </w:rPr>
      </w:pPr>
      <w:r>
        <w:rPr>
          <w:rFonts w:hint="eastAsia"/>
          <w:color w:val="000000"/>
        </w:rPr>
        <w:t xml:space="preserve">    绩效目标：积极参加各类培训班，不断将政治培训融入业务培训之中，培训的针对性和实效性得到进一步提升，培训形式不断完善，培训质量进一步提高，业务专家和兼职教师在检察工作中的高端引领作用得到进一步凸现，领导干部上讲台成为常态化。</w:t>
      </w:r>
    </w:p>
    <w:p>
      <w:pPr>
        <w:pStyle w:val="29"/>
        <w:rPr>
          <w:color w:val="000000"/>
        </w:rPr>
      </w:pPr>
      <w:r>
        <w:rPr>
          <w:rFonts w:hint="eastAsia"/>
          <w:color w:val="000000"/>
        </w:rPr>
        <w:t xml:space="preserve">    绩效指标：积极参加国家、省、市组织的各种培训，完成培训总额的100%。</w:t>
      </w:r>
    </w:p>
    <w:p>
      <w:pPr>
        <w:pStyle w:val="29"/>
        <w:rPr>
          <w:color w:val="000000"/>
        </w:rPr>
      </w:pPr>
      <w:r>
        <w:rPr>
          <w:rFonts w:hint="eastAsia"/>
          <w:color w:val="000000"/>
        </w:rPr>
        <w:t>14、基层检察院建设水平进一步提升</w:t>
      </w:r>
    </w:p>
    <w:p>
      <w:pPr>
        <w:pStyle w:val="29"/>
        <w:rPr>
          <w:color w:val="000000"/>
        </w:rPr>
      </w:pPr>
      <w:r>
        <w:rPr>
          <w:rFonts w:hint="eastAsia"/>
          <w:color w:val="000000"/>
        </w:rPr>
        <w:t xml:space="preserve">    绩效目标：提升基层检察院执行力、专业化水平和政治功能，推进本院建设转型升级、创新发展。</w:t>
      </w:r>
    </w:p>
    <w:p>
      <w:pPr>
        <w:pStyle w:val="29"/>
        <w:rPr>
          <w:color w:val="000000"/>
        </w:rPr>
      </w:pPr>
      <w:r>
        <w:rPr>
          <w:rFonts w:hint="eastAsia"/>
          <w:color w:val="000000"/>
        </w:rPr>
        <w:t xml:space="preserve">    绩效指标：每年在省院内网《检察政治工作交流》《职业化建设论坛》分别刊发基层检察院建设经验做法不少于2篇；检察长积极参加全省基层检察院建设研修班。</w:t>
      </w:r>
    </w:p>
    <w:p>
      <w:pPr>
        <w:pStyle w:val="29"/>
        <w:rPr>
          <w:color w:val="000000"/>
        </w:rPr>
      </w:pPr>
      <w:r>
        <w:rPr>
          <w:rFonts w:hint="eastAsia"/>
          <w:color w:val="000000"/>
        </w:rPr>
        <w:t>15、检察理论研究工作整体增强</w:t>
      </w:r>
    </w:p>
    <w:p>
      <w:pPr>
        <w:pStyle w:val="29"/>
        <w:rPr>
          <w:color w:val="000000"/>
        </w:rPr>
      </w:pPr>
      <w:r>
        <w:rPr>
          <w:rFonts w:hint="eastAsia"/>
          <w:color w:val="000000"/>
        </w:rPr>
        <w:t xml:space="preserve">    绩效目标：加强调研机制建设和研究队伍建设，构建全员参与的大调研工作机制，评选出2篇优秀理论成果。以检委会信息化建设为契机，进一步规范检委会工作，用好专家人才库提供外脑智力支持。积极落实市院对检答网、检察建议等市院定期通报方面工作的要求，做到每位正式干警每周浏览检答网学习，并提出相应问题。</w:t>
      </w:r>
    </w:p>
    <w:p>
      <w:pPr>
        <w:pStyle w:val="29"/>
        <w:rPr>
          <w:color w:val="000000"/>
        </w:rPr>
      </w:pPr>
      <w:r>
        <w:rPr>
          <w:rFonts w:hint="eastAsia"/>
          <w:color w:val="000000"/>
        </w:rPr>
        <w:t xml:space="preserve">    绩效指标：利用优秀检察理论成果奖调动干警积极性，多出精品成果。国家级重点期刊、核心刊物1篇，评比省内优秀检察理论成果1篇；落实市院即将出台的检察委员会议事和工作规则、议题标准（试行）和集体学习等文件，全年进行2次以上疑难复杂评议,发挥智库作用。检答网、检察建议等市院定期通报的工作，位于全市上游水平。</w:t>
      </w:r>
    </w:p>
    <w:p>
      <w:pPr>
        <w:pStyle w:val="29"/>
        <w:rPr>
          <w:color w:val="000000"/>
        </w:rPr>
      </w:pPr>
      <w:r>
        <w:rPr>
          <w:rFonts w:hint="eastAsia"/>
          <w:color w:val="000000"/>
        </w:rPr>
        <w:t>16、案管监督、管理业务工作水平提升</w:t>
      </w:r>
    </w:p>
    <w:p>
      <w:pPr>
        <w:pStyle w:val="29"/>
        <w:rPr>
          <w:color w:val="000000"/>
        </w:rPr>
      </w:pPr>
      <w:r>
        <w:rPr>
          <w:rFonts w:hint="eastAsia"/>
          <w:color w:val="000000"/>
        </w:rPr>
        <w:t xml:space="preserve">    绩效目标：接收、录入并及时分配各类案件；接待律师咨询、阅卷等各类工作，保障律师权益正确行使；定期评查案件，使全省案件质量整体进一步提高，加强统一业务应用系统的规范使用和深度应用，做好案件流程监控工作，提高案件整体质量；开展业务数据分析研判工作，为检察决策和业务开展提供参考依据；提升案件信息公开工作的整体水平；组织做好人民监督员监督工作；确保涉案财物按规定随案移交，妥善保管。</w:t>
      </w:r>
    </w:p>
    <w:p>
      <w:pPr>
        <w:pStyle w:val="29"/>
        <w:rPr>
          <w:color w:val="000000"/>
        </w:rPr>
      </w:pPr>
      <w:r>
        <w:rPr>
          <w:rFonts w:hint="eastAsia"/>
          <w:color w:val="000000"/>
        </w:rPr>
        <w:t xml:space="preserve">    绩效指标：录入案件信息无误，及时将案件进行分流。保障律师阅卷及时方便。严格规范使用统一业务应用系统办理案件，严禁违规线下办理案件。按季度制作全院检察业务发展态势分析，每季度1篇。按月制作全院检察业务核心数据通报，每月1份。对12309中国检察网（案件信息公开模块）新系统可规范、流畅使用，定期公开案件程序性信息和法律文书。落实《河北省人民检察院人民监督员监督工作的实施办法（试行）》，对不服检察机关处理决定的刑事申诉案件、拟决定不起诉案件、羁押必要性审查案件进行公开审查，对有重大影响的审查逮捕案件、行政诉讼监督案件进行公开听证的，全部邀请人民监督员参加。确保涉案财物在扣押、保管、移送、执行过程中的规范管理的基础上实现涉案财物信息化监督。羁押必要性审查通过率不少于85%。</w:t>
      </w:r>
    </w:p>
    <w:p>
      <w:pPr>
        <w:pStyle w:val="29"/>
        <w:rPr>
          <w:color w:val="000000"/>
        </w:rPr>
      </w:pPr>
      <w:r>
        <w:rPr>
          <w:rFonts w:hint="eastAsia"/>
          <w:color w:val="000000"/>
        </w:rPr>
        <w:t xml:space="preserve">17、构建检察权运行新型监督制约机制  </w:t>
      </w:r>
    </w:p>
    <w:p>
      <w:pPr>
        <w:pStyle w:val="29"/>
        <w:rPr>
          <w:color w:val="000000"/>
        </w:rPr>
      </w:pPr>
      <w:r>
        <w:rPr>
          <w:rFonts w:hint="eastAsia"/>
          <w:color w:val="000000"/>
        </w:rPr>
        <w:t xml:space="preserve">    绩效目标：开展系统内财务检察、内部审计、检察官惩戒、司法责任追究、廉政风险防控等工作，强化对检察机关及其工作人员执行法律法规情况的督察，对检察人员在司法办案中履行职责、行使职权情况进行监督纠错、督促整改，从而强化对检察权运行的监督制约，保证检察机关和检察人员依法履职、公正司法。</w:t>
      </w:r>
    </w:p>
    <w:p>
      <w:pPr>
        <w:pStyle w:val="29"/>
        <w:rPr>
          <w:color w:val="000000"/>
        </w:rPr>
      </w:pPr>
      <w:r>
        <w:rPr>
          <w:rFonts w:hint="eastAsia"/>
          <w:color w:val="000000"/>
        </w:rPr>
        <w:t xml:space="preserve">绩效指标：开展年度财务审计或专项审计等不少于1次；邀请审计部门对我院财务情况进行审计工作；加强对办案各环节风险分析评估，制定风险点监督责任清单；开展个案监督；严格司法责任认定与追究，按规定对司法过错责任案件进行追究；探索研究制定出台《检察官惩戒实施办法》及惩戒工作程序规定；业务培训不少于1次。                 </w:t>
      </w:r>
    </w:p>
    <w:p>
      <w:pPr>
        <w:pStyle w:val="29"/>
        <w:rPr>
          <w:color w:val="000000"/>
        </w:rPr>
      </w:pPr>
      <w:r>
        <w:rPr>
          <w:rFonts w:hint="eastAsia"/>
          <w:color w:val="000000"/>
        </w:rPr>
        <w:t>18、严格认真履职确保办案安全</w:t>
      </w:r>
    </w:p>
    <w:p>
      <w:pPr>
        <w:pStyle w:val="29"/>
        <w:rPr>
          <w:color w:val="000000"/>
        </w:rPr>
      </w:pPr>
      <w:r>
        <w:rPr>
          <w:rFonts w:hint="eastAsia"/>
          <w:color w:val="000000"/>
        </w:rPr>
        <w:t xml:space="preserve">    绩效目标：拓展履职空间，主动融入公益诉讼，协助远程提审，公开审查、宣告等新兴检察业务，参与职务犯罪自行侦查、刑事案件自行补充侦查、住所检察室巡仓和提审、对监狱的巡回检察等工作，探索协助侦查监督提前介入、民行部门息诉工作、保护重大案件中检察人员和证人安全、协助刑事执行申诉案件的调查取证等工作，把警务保障做强做实。</w:t>
      </w:r>
    </w:p>
    <w:p>
      <w:pPr>
        <w:pStyle w:val="29"/>
        <w:rPr>
          <w:color w:val="000000"/>
        </w:rPr>
      </w:pPr>
      <w:r>
        <w:rPr>
          <w:rFonts w:hint="eastAsia"/>
          <w:color w:val="000000"/>
        </w:rPr>
        <w:t xml:space="preserve">    绩效指标：履行警务职责，服务保障检察机关四大检察业务参与办案率90%；及时发现和消除安全隐患，确保办案安全零事故。</w:t>
      </w:r>
    </w:p>
    <w:p>
      <w:pPr>
        <w:pStyle w:val="29"/>
        <w:rPr>
          <w:color w:val="000000"/>
        </w:rPr>
      </w:pPr>
      <w:r>
        <w:rPr>
          <w:rFonts w:hint="eastAsia"/>
          <w:color w:val="000000"/>
        </w:rPr>
        <w:t>19、检务保障水平和能力整体增强</w:t>
      </w:r>
    </w:p>
    <w:p>
      <w:pPr>
        <w:pStyle w:val="29"/>
        <w:rPr>
          <w:color w:val="000000"/>
        </w:rPr>
      </w:pPr>
      <w:r>
        <w:rPr>
          <w:rFonts w:hint="eastAsia"/>
          <w:color w:val="000000"/>
        </w:rPr>
        <w:t xml:space="preserve">    绩效目标：科学合理编制县人民检察院部门预决算；做好县人民检察院机关财务管理、国有资产管理、政府采购、公务接待、后勤服务等工作；指导全县检察机关检务保障工作。</w:t>
      </w:r>
    </w:p>
    <w:p>
      <w:pPr>
        <w:pStyle w:val="29"/>
        <w:rPr>
          <w:color w:val="000000"/>
        </w:rPr>
      </w:pPr>
      <w:r>
        <w:rPr>
          <w:rFonts w:hint="eastAsia"/>
          <w:color w:val="000000"/>
        </w:rPr>
        <w:t xml:space="preserve">    绩效指标：为检察工作提供必要经费保障；全县检察机关“两房”达标率达到100%；本院平均装备配备率达到《县级人民检察院业务装备配备标准》要求的90%以上；我院“三公”经费不超过年初预算；机关后勤服务保障干警满意度达到90%以上。</w:t>
      </w:r>
    </w:p>
    <w:p>
      <w:pPr>
        <w:pStyle w:val="29"/>
        <w:rPr>
          <w:color w:val="000000"/>
        </w:rPr>
      </w:pPr>
    </w:p>
    <w:p>
      <w:pPr>
        <w:pStyle w:val="29"/>
        <w:rPr>
          <w:color w:val="000000"/>
        </w:rPr>
      </w:pPr>
      <w:r>
        <w:rPr>
          <w:rFonts w:hint="eastAsia"/>
          <w:color w:val="000000"/>
        </w:rPr>
        <w:t>（三）工作保障措施</w:t>
      </w:r>
    </w:p>
    <w:p>
      <w:pPr>
        <w:pStyle w:val="29"/>
        <w:rPr>
          <w:color w:val="000000"/>
        </w:rPr>
      </w:pPr>
      <w:r>
        <w:rPr>
          <w:rFonts w:hint="eastAsia"/>
          <w:color w:val="000000"/>
        </w:rPr>
        <w:t>为实现我院年度绩效目标，我院将采取有效措施，做好预判，控制偏差，切实提高预算绩效管理水平，保证绩效目标如期实现。</w:t>
      </w:r>
    </w:p>
    <w:p>
      <w:pPr>
        <w:pStyle w:val="29"/>
        <w:rPr>
          <w:color w:val="000000"/>
        </w:rPr>
      </w:pPr>
      <w:r>
        <w:rPr>
          <w:rFonts w:hint="eastAsia"/>
          <w:color w:val="000000"/>
        </w:rPr>
        <w:t>1、加强组织领导。高度重视预算绩效管理工作，加强对预算绩效管理的组织领导，切实转变思想观念，牢固树立预算意识，理顺内部工作机制，精心组织，扎实推进，及时研究预算执行过程中出现的问题，督促指导有关政策措施的落实，确保绩效目标顺利实现。</w:t>
      </w:r>
    </w:p>
    <w:p>
      <w:pPr>
        <w:pStyle w:val="29"/>
        <w:rPr>
          <w:color w:val="000000"/>
        </w:rPr>
      </w:pPr>
      <w:r>
        <w:rPr>
          <w:rFonts w:hint="eastAsia"/>
          <w:color w:val="000000"/>
        </w:rPr>
        <w:t>2、健全制度体系。根据预算绩效管理有关规定，以及各项财政政策要求，及时补充、修改、完善我院预算管理制度体系。狠抓制度落实，坚持按制度办事，规范预算资金管理程序。</w:t>
      </w:r>
    </w:p>
    <w:p>
      <w:pPr>
        <w:pStyle w:val="29"/>
        <w:rPr>
          <w:color w:val="000000"/>
        </w:rPr>
      </w:pPr>
      <w:r>
        <w:rPr>
          <w:rFonts w:hint="eastAsia"/>
          <w:color w:val="000000"/>
        </w:rPr>
        <w:t>3、重视过程管理。按要求开展绩效运行监控，对绩效目标实现程度和预算执行进度进行“双监控”，切实加强预算项目事前绩效评估，充分论证项目必要性，完善项目决策机制，提高年初预算科学性；抓好预算执行过程控制，采取有效措施，加强项目调度，加快项目实施，提高财政资金使用效率；按要求做好绩效自评工作，调整优化绩效管理体系，不断提高资金使用效益。</w:t>
      </w:r>
    </w:p>
    <w:p>
      <w:pPr>
        <w:pStyle w:val="29"/>
        <w:rPr>
          <w:color w:val="000000"/>
        </w:rPr>
      </w:pPr>
      <w:r>
        <w:rPr>
          <w:rFonts w:hint="eastAsia"/>
          <w:color w:val="000000"/>
        </w:rPr>
        <w:t>4、加强内外部监督。充分发挥内部监督作用，对预算绩效运行情况、重大支出事项、重大项目建设等其他重要经济业务业务的决策和执行进行监督；配合做好巡视、审计、财政监督等外部监督工作；依法进行预决算公开，接受社会公众监督，确保财政资金安全有效。</w:t>
      </w:r>
    </w:p>
    <w:p>
      <w:pPr>
        <w:pStyle w:val="29"/>
      </w:pPr>
      <w:r>
        <w:rPr>
          <w:rFonts w:hint="eastAsia"/>
          <w:color w:val="000000"/>
        </w:rPr>
        <w:t>5、强化宣传培训。充分利用各种渠道，广泛宣传预算绩效管理工作，使广大干警牢固树立绩效理念、熟悉绩效管理流程，提升绩效管理能力，促进绩效管理水平进一步提升。</w:t>
      </w:r>
    </w:p>
    <w:p/>
    <w:p>
      <w:pPr>
        <w:spacing w:before="10" w:after="10"/>
        <w:ind w:firstLine="640"/>
        <w:rPr>
          <w:rFonts w:ascii="黑体" w:hAnsi="黑体" w:eastAsia="黑体" w:cs="黑体"/>
          <w:color w:val="000000"/>
          <w:sz w:val="32"/>
        </w:rPr>
      </w:pPr>
      <w:bookmarkStart w:id="15" w:name="_Toc_3_3_0000000015"/>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eastAsia="黑体" w:cs="黑体" w:asciiTheme="minorHAnsi" w:hAnsiTheme="minorHAnsi"/>
          <w:color w:val="000000"/>
          <w:sz w:val="32"/>
          <w:lang w:val="uk-UA"/>
        </w:rPr>
      </w:pPr>
    </w:p>
    <w:p>
      <w:pPr>
        <w:spacing w:before="10" w:after="10"/>
        <w:ind w:firstLine="640"/>
        <w:outlineLvl w:val="2"/>
      </w:pPr>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w:t>
      </w:r>
      <w:r>
        <w:rPr>
          <w:rFonts w:hint="eastAsia" w:eastAsia="方正仿宋_GBK"/>
          <w:color w:val="000000"/>
          <w:sz w:val="28"/>
          <w:lang w:eastAsia="zh-CN"/>
        </w:rPr>
        <w:t>我部门</w:t>
      </w:r>
      <w:r>
        <w:rPr>
          <w:rFonts w:hint="eastAsia" w:eastAsia="方正仿宋_GBK"/>
          <w:color w:val="000000"/>
          <w:sz w:val="28"/>
        </w:rPr>
        <w:t>没有安排政府采购</w:t>
      </w:r>
      <w:r>
        <w:rPr>
          <w:rFonts w:hint="eastAsia" w:eastAsia="方正仿宋_GBK"/>
          <w:color w:val="000000"/>
          <w:sz w:val="28"/>
          <w:lang w:eastAsia="zh-CN"/>
        </w:rPr>
        <w:t>预算</w:t>
      </w:r>
      <w:r>
        <w:rPr>
          <w:rFonts w:hint="eastAsia" w:eastAsia="方正仿宋_GBK"/>
          <w:color w:val="000000"/>
          <w:sz w:val="28"/>
        </w:rPr>
        <w:t>，空表列示。</w:t>
      </w:r>
    </w:p>
    <w:p>
      <w:pPr>
        <w:jc w:val="center"/>
      </w:pPr>
      <w:r>
        <w:rPr>
          <w:rFonts w:ascii="方正小标宋_GBK" w:hAnsi="方正小标宋_GBK" w:eastAsia="方正小标宋_GBK" w:cs="方正小标宋_GBK"/>
          <w:color w:val="000000"/>
          <w:sz w:val="36"/>
        </w:rPr>
        <w:t>部门政府采购预算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1215"/>
        <w:gridCol w:w="1665"/>
        <w:gridCol w:w="1230"/>
        <w:gridCol w:w="1175"/>
        <w:gridCol w:w="690"/>
        <w:gridCol w:w="615"/>
        <w:gridCol w:w="570"/>
        <w:gridCol w:w="930"/>
        <w:gridCol w:w="585"/>
        <w:gridCol w:w="795"/>
        <w:gridCol w:w="1005"/>
        <w:gridCol w:w="15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8250" w:type="dxa"/>
            <w:gridSpan w:val="7"/>
            <w:tcBorders>
              <w:top w:val="single" w:color="FFFFFF" w:sz="6" w:space="0"/>
              <w:left w:val="single" w:color="FFFFFF" w:sz="6" w:space="0"/>
              <w:right w:val="single" w:color="FFFFFF" w:sz="6" w:space="0"/>
            </w:tcBorders>
            <w:vAlign w:val="center"/>
          </w:tcPr>
          <w:p>
            <w:pPr>
              <w:widowControl w:val="0"/>
              <w:spacing w:line="400" w:lineRule="exact"/>
              <w:rPr>
                <w:rFonts w:ascii="宋体" w:hAnsi="宋体" w:eastAsia="宋体" w:cs="宋体"/>
                <w:kern w:val="2"/>
                <w:sz w:val="18"/>
                <w:szCs w:val="18"/>
                <w:lang w:eastAsia="zh-CN"/>
              </w:rPr>
            </w:pPr>
          </w:p>
        </w:tc>
        <w:tc>
          <w:tcPr>
            <w:tcW w:w="5431" w:type="dxa"/>
            <w:gridSpan w:val="6"/>
            <w:tcBorders>
              <w:top w:val="single" w:color="FFFFFF" w:sz="6" w:space="0"/>
              <w:left w:val="single" w:color="FFFFFF" w:sz="6" w:space="0"/>
              <w:right w:val="single" w:color="FFFFFF" w:sz="6" w:space="0"/>
            </w:tcBorders>
            <w:vAlign w:val="center"/>
          </w:tcPr>
          <w:p>
            <w:pPr>
              <w:widowControl w:val="0"/>
              <w:spacing w:line="400" w:lineRule="exact"/>
              <w:jc w:val="right"/>
              <w:rPr>
                <w:rFonts w:ascii="宋体" w:hAnsi="宋体" w:eastAsia="宋体" w:cs="宋体"/>
                <w:kern w:val="2"/>
                <w:sz w:val="18"/>
                <w:szCs w:val="18"/>
                <w:lang w:eastAsia="zh-CN"/>
              </w:rPr>
            </w:pPr>
            <w:r>
              <w:rPr>
                <w:rFonts w:hint="eastAsia" w:ascii="宋体" w:hAnsi="宋体" w:eastAsia="宋体" w:cs="宋体"/>
                <w:kern w:val="2"/>
                <w:sz w:val="18"/>
                <w:szCs w:val="18"/>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875" w:type="dxa"/>
            <w:gridSpan w:val="2"/>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政府采购项目来源</w:t>
            </w:r>
          </w:p>
        </w:tc>
        <w:tc>
          <w:tcPr>
            <w:tcW w:w="166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采购物品名称</w:t>
            </w:r>
          </w:p>
        </w:tc>
        <w:tc>
          <w:tcPr>
            <w:tcW w:w="1230"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目录序号</w:t>
            </w:r>
          </w:p>
        </w:tc>
        <w:tc>
          <w:tcPr>
            <w:tcW w:w="117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计量单位</w:t>
            </w:r>
          </w:p>
        </w:tc>
        <w:tc>
          <w:tcPr>
            <w:tcW w:w="690"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数量</w:t>
            </w:r>
          </w:p>
        </w:tc>
        <w:tc>
          <w:tcPr>
            <w:tcW w:w="61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单价</w:t>
            </w:r>
          </w:p>
        </w:tc>
        <w:tc>
          <w:tcPr>
            <w:tcW w:w="5431" w:type="dxa"/>
            <w:gridSpan w:val="6"/>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66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项目</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名称</w:t>
            </w:r>
          </w:p>
        </w:tc>
        <w:tc>
          <w:tcPr>
            <w:tcW w:w="121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预算</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资金</w:t>
            </w:r>
          </w:p>
        </w:tc>
        <w:tc>
          <w:tcPr>
            <w:tcW w:w="1665" w:type="dxa"/>
            <w:vMerge w:val="continue"/>
            <w:vAlign w:val="center"/>
          </w:tcPr>
          <w:p>
            <w:pPr>
              <w:widowControl w:val="0"/>
              <w:spacing w:line="400" w:lineRule="exact"/>
              <w:rPr>
                <w:rFonts w:ascii="宋体" w:hAnsi="宋体" w:eastAsia="宋体" w:cs="宋体"/>
                <w:kern w:val="2"/>
                <w:sz w:val="18"/>
                <w:szCs w:val="18"/>
                <w:lang w:eastAsia="zh-CN"/>
              </w:rPr>
            </w:pPr>
          </w:p>
        </w:tc>
        <w:tc>
          <w:tcPr>
            <w:tcW w:w="1230" w:type="dxa"/>
            <w:vMerge w:val="continue"/>
            <w:vAlign w:val="center"/>
          </w:tcPr>
          <w:p>
            <w:pPr>
              <w:widowControl w:val="0"/>
              <w:spacing w:line="400" w:lineRule="exact"/>
              <w:rPr>
                <w:rFonts w:ascii="宋体" w:hAnsi="宋体" w:eastAsia="宋体" w:cs="宋体"/>
                <w:kern w:val="2"/>
                <w:sz w:val="18"/>
                <w:szCs w:val="18"/>
                <w:lang w:eastAsia="zh-CN"/>
              </w:rPr>
            </w:pPr>
          </w:p>
        </w:tc>
        <w:tc>
          <w:tcPr>
            <w:tcW w:w="1175" w:type="dxa"/>
            <w:vMerge w:val="continue"/>
            <w:vAlign w:val="center"/>
          </w:tcPr>
          <w:p>
            <w:pPr>
              <w:widowControl w:val="0"/>
              <w:spacing w:line="400" w:lineRule="exact"/>
              <w:rPr>
                <w:rFonts w:ascii="宋体" w:hAnsi="宋体" w:eastAsia="宋体" w:cs="宋体"/>
                <w:kern w:val="2"/>
                <w:sz w:val="18"/>
                <w:szCs w:val="18"/>
                <w:lang w:eastAsia="zh-CN"/>
              </w:rPr>
            </w:pPr>
          </w:p>
        </w:tc>
        <w:tc>
          <w:tcPr>
            <w:tcW w:w="690" w:type="dxa"/>
            <w:vMerge w:val="continue"/>
            <w:vAlign w:val="center"/>
          </w:tcPr>
          <w:p>
            <w:pPr>
              <w:widowControl w:val="0"/>
              <w:spacing w:line="400" w:lineRule="exact"/>
              <w:rPr>
                <w:rFonts w:ascii="宋体" w:hAnsi="宋体" w:eastAsia="宋体" w:cs="宋体"/>
                <w:kern w:val="2"/>
                <w:sz w:val="18"/>
                <w:szCs w:val="18"/>
                <w:lang w:eastAsia="zh-CN"/>
              </w:rPr>
            </w:pPr>
          </w:p>
        </w:tc>
        <w:tc>
          <w:tcPr>
            <w:tcW w:w="615" w:type="dxa"/>
            <w:vMerge w:val="continue"/>
            <w:vAlign w:val="center"/>
          </w:tcPr>
          <w:p>
            <w:pPr>
              <w:widowControl w:val="0"/>
              <w:spacing w:line="400" w:lineRule="exact"/>
              <w:rPr>
                <w:rFonts w:ascii="宋体" w:hAnsi="宋体" w:eastAsia="宋体" w:cs="宋体"/>
                <w:kern w:val="2"/>
                <w:sz w:val="18"/>
                <w:szCs w:val="18"/>
                <w:lang w:eastAsia="zh-CN"/>
              </w:rPr>
            </w:pPr>
          </w:p>
        </w:tc>
        <w:tc>
          <w:tcPr>
            <w:tcW w:w="57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合计</w:t>
            </w:r>
          </w:p>
        </w:tc>
        <w:tc>
          <w:tcPr>
            <w:tcW w:w="93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一般公共预算拨款</w:t>
            </w:r>
          </w:p>
        </w:tc>
        <w:tc>
          <w:tcPr>
            <w:tcW w:w="58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基金预算拨款</w:t>
            </w:r>
          </w:p>
        </w:tc>
        <w:tc>
          <w:tcPr>
            <w:tcW w:w="79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国有资本经营预算拨款</w:t>
            </w:r>
          </w:p>
        </w:tc>
        <w:tc>
          <w:tcPr>
            <w:tcW w:w="100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财政专户核拨</w:t>
            </w:r>
          </w:p>
        </w:tc>
        <w:tc>
          <w:tcPr>
            <w:tcW w:w="1546"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660" w:type="dxa"/>
            <w:vAlign w:val="center"/>
          </w:tcPr>
          <w:p>
            <w:pPr>
              <w:widowControl w:val="0"/>
              <w:spacing w:line="400" w:lineRule="exact"/>
              <w:jc w:val="center"/>
              <w:rPr>
                <w:rFonts w:ascii="宋体" w:hAnsi="宋体" w:eastAsia="宋体" w:cs="宋体"/>
                <w:b/>
                <w:kern w:val="2"/>
                <w:sz w:val="18"/>
                <w:szCs w:val="18"/>
                <w:lang w:eastAsia="zh-CN"/>
              </w:rPr>
            </w:pPr>
          </w:p>
        </w:tc>
        <w:tc>
          <w:tcPr>
            <w:tcW w:w="1215" w:type="dxa"/>
            <w:vAlign w:val="center"/>
          </w:tcPr>
          <w:p>
            <w:pPr>
              <w:widowControl w:val="0"/>
              <w:spacing w:line="400" w:lineRule="exact"/>
              <w:jc w:val="right"/>
              <w:rPr>
                <w:rFonts w:ascii="宋体" w:hAnsi="宋体" w:eastAsia="宋体" w:cs="宋体"/>
                <w:b/>
                <w:kern w:val="2"/>
                <w:sz w:val="18"/>
                <w:szCs w:val="18"/>
                <w:lang w:eastAsia="zh-CN"/>
              </w:rPr>
            </w:pPr>
          </w:p>
        </w:tc>
        <w:tc>
          <w:tcPr>
            <w:tcW w:w="1665" w:type="dxa"/>
            <w:vAlign w:val="center"/>
          </w:tcPr>
          <w:p>
            <w:pPr>
              <w:widowControl w:val="0"/>
              <w:spacing w:line="400" w:lineRule="exact"/>
              <w:rPr>
                <w:rFonts w:ascii="宋体" w:hAnsi="宋体" w:eastAsia="宋体" w:cs="宋体"/>
                <w:b/>
                <w:kern w:val="2"/>
                <w:sz w:val="18"/>
                <w:szCs w:val="18"/>
                <w:lang w:eastAsia="zh-CN"/>
              </w:rPr>
            </w:pPr>
          </w:p>
        </w:tc>
        <w:tc>
          <w:tcPr>
            <w:tcW w:w="1230" w:type="dxa"/>
            <w:vAlign w:val="center"/>
          </w:tcPr>
          <w:p>
            <w:pPr>
              <w:widowControl w:val="0"/>
              <w:spacing w:line="400" w:lineRule="exact"/>
              <w:rPr>
                <w:rFonts w:ascii="宋体" w:hAnsi="宋体" w:eastAsia="宋体" w:cs="宋体"/>
                <w:b/>
                <w:kern w:val="2"/>
                <w:sz w:val="18"/>
                <w:szCs w:val="18"/>
                <w:lang w:eastAsia="zh-CN"/>
              </w:rPr>
            </w:pPr>
          </w:p>
        </w:tc>
        <w:tc>
          <w:tcPr>
            <w:tcW w:w="1175" w:type="dxa"/>
            <w:vAlign w:val="center"/>
          </w:tcPr>
          <w:p>
            <w:pPr>
              <w:widowControl w:val="0"/>
              <w:spacing w:line="400" w:lineRule="exact"/>
              <w:jc w:val="center"/>
              <w:rPr>
                <w:rFonts w:ascii="宋体" w:hAnsi="宋体" w:eastAsia="宋体" w:cs="宋体"/>
                <w:b/>
                <w:kern w:val="2"/>
                <w:sz w:val="18"/>
                <w:szCs w:val="18"/>
                <w:lang w:eastAsia="zh-CN"/>
              </w:rPr>
            </w:pPr>
          </w:p>
        </w:tc>
        <w:tc>
          <w:tcPr>
            <w:tcW w:w="690" w:type="dxa"/>
            <w:vAlign w:val="center"/>
          </w:tcPr>
          <w:p>
            <w:pPr>
              <w:widowControl w:val="0"/>
              <w:spacing w:line="400" w:lineRule="exact"/>
              <w:jc w:val="right"/>
              <w:rPr>
                <w:rFonts w:ascii="宋体" w:hAnsi="宋体" w:eastAsia="宋体" w:cs="宋体"/>
                <w:b/>
                <w:kern w:val="2"/>
                <w:sz w:val="18"/>
                <w:szCs w:val="18"/>
                <w:lang w:eastAsia="zh-CN"/>
              </w:rPr>
            </w:pPr>
          </w:p>
        </w:tc>
        <w:tc>
          <w:tcPr>
            <w:tcW w:w="615" w:type="dxa"/>
            <w:vAlign w:val="center"/>
          </w:tcPr>
          <w:p>
            <w:pPr>
              <w:widowControl w:val="0"/>
              <w:spacing w:line="400" w:lineRule="exact"/>
              <w:jc w:val="right"/>
              <w:rPr>
                <w:rFonts w:ascii="宋体" w:hAnsi="宋体" w:eastAsia="宋体" w:cs="宋体"/>
                <w:b/>
                <w:kern w:val="2"/>
                <w:sz w:val="18"/>
                <w:szCs w:val="18"/>
                <w:lang w:eastAsia="zh-CN"/>
              </w:rPr>
            </w:pPr>
          </w:p>
        </w:tc>
        <w:tc>
          <w:tcPr>
            <w:tcW w:w="570" w:type="dxa"/>
            <w:vAlign w:val="center"/>
          </w:tcPr>
          <w:p>
            <w:pPr>
              <w:widowControl w:val="0"/>
              <w:spacing w:line="400" w:lineRule="exact"/>
              <w:jc w:val="right"/>
              <w:rPr>
                <w:rFonts w:ascii="宋体" w:hAnsi="宋体" w:eastAsia="宋体" w:cs="宋体"/>
                <w:b/>
                <w:kern w:val="2"/>
                <w:sz w:val="18"/>
                <w:szCs w:val="18"/>
                <w:lang w:eastAsia="zh-CN"/>
              </w:rPr>
            </w:pPr>
          </w:p>
        </w:tc>
        <w:tc>
          <w:tcPr>
            <w:tcW w:w="930" w:type="dxa"/>
            <w:vAlign w:val="center"/>
          </w:tcPr>
          <w:p>
            <w:pPr>
              <w:widowControl w:val="0"/>
              <w:spacing w:line="400" w:lineRule="exact"/>
              <w:jc w:val="both"/>
              <w:rPr>
                <w:rFonts w:ascii="宋体" w:hAnsi="宋体" w:eastAsia="宋体" w:cs="宋体"/>
                <w:b/>
                <w:kern w:val="2"/>
                <w:sz w:val="18"/>
                <w:szCs w:val="18"/>
                <w:lang w:eastAsia="zh-CN"/>
              </w:rPr>
            </w:pPr>
          </w:p>
        </w:tc>
        <w:tc>
          <w:tcPr>
            <w:tcW w:w="585" w:type="dxa"/>
            <w:vAlign w:val="center"/>
          </w:tcPr>
          <w:p>
            <w:pPr>
              <w:widowControl w:val="0"/>
              <w:spacing w:line="400" w:lineRule="exact"/>
              <w:jc w:val="right"/>
              <w:rPr>
                <w:rFonts w:ascii="宋体" w:hAnsi="宋体" w:eastAsia="宋体" w:cs="宋体"/>
                <w:b/>
                <w:kern w:val="2"/>
                <w:sz w:val="18"/>
                <w:szCs w:val="18"/>
                <w:lang w:eastAsia="zh-CN"/>
              </w:rPr>
            </w:pPr>
          </w:p>
        </w:tc>
        <w:tc>
          <w:tcPr>
            <w:tcW w:w="795" w:type="dxa"/>
            <w:vAlign w:val="center"/>
          </w:tcPr>
          <w:p>
            <w:pPr>
              <w:widowControl w:val="0"/>
              <w:spacing w:line="400" w:lineRule="exact"/>
              <w:jc w:val="right"/>
              <w:rPr>
                <w:rFonts w:ascii="宋体" w:hAnsi="宋体" w:eastAsia="宋体" w:cs="宋体"/>
                <w:b/>
                <w:kern w:val="2"/>
                <w:sz w:val="18"/>
                <w:szCs w:val="18"/>
                <w:lang w:eastAsia="zh-CN"/>
              </w:rPr>
            </w:pPr>
          </w:p>
        </w:tc>
        <w:tc>
          <w:tcPr>
            <w:tcW w:w="1005" w:type="dxa"/>
            <w:vAlign w:val="center"/>
          </w:tcPr>
          <w:p>
            <w:pPr>
              <w:widowControl w:val="0"/>
              <w:spacing w:line="400" w:lineRule="exact"/>
              <w:jc w:val="right"/>
              <w:rPr>
                <w:rFonts w:ascii="宋体" w:hAnsi="宋体" w:eastAsia="宋体" w:cs="宋体"/>
                <w:b/>
                <w:kern w:val="2"/>
                <w:sz w:val="18"/>
                <w:szCs w:val="18"/>
                <w:lang w:eastAsia="zh-CN"/>
              </w:rPr>
            </w:pPr>
          </w:p>
        </w:tc>
        <w:tc>
          <w:tcPr>
            <w:tcW w:w="1546" w:type="dxa"/>
            <w:vAlign w:val="center"/>
          </w:tcPr>
          <w:p>
            <w:pPr>
              <w:widowControl w:val="0"/>
              <w:spacing w:line="400" w:lineRule="exact"/>
              <w:jc w:val="right"/>
              <w:rPr>
                <w:rFonts w:ascii="宋体" w:hAnsi="宋体" w:eastAsia="宋体" w:cs="宋体"/>
                <w:b/>
                <w:kern w:val="2"/>
                <w:sz w:val="18"/>
                <w:szCs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660" w:type="dxa"/>
            <w:vAlign w:val="center"/>
          </w:tcPr>
          <w:p>
            <w:pPr>
              <w:widowControl w:val="0"/>
              <w:spacing w:line="400" w:lineRule="exact"/>
              <w:rPr>
                <w:rFonts w:ascii="宋体" w:hAnsi="宋体" w:eastAsia="宋体" w:cs="宋体"/>
                <w:kern w:val="2"/>
                <w:sz w:val="18"/>
                <w:szCs w:val="18"/>
                <w:lang w:eastAsia="zh-CN"/>
              </w:rPr>
            </w:pPr>
          </w:p>
        </w:tc>
        <w:tc>
          <w:tcPr>
            <w:tcW w:w="1215" w:type="dxa"/>
            <w:vAlign w:val="center"/>
          </w:tcPr>
          <w:p>
            <w:pPr>
              <w:widowControl w:val="0"/>
              <w:spacing w:line="400" w:lineRule="exact"/>
              <w:jc w:val="right"/>
              <w:rPr>
                <w:rFonts w:ascii="宋体" w:hAnsi="宋体" w:eastAsia="宋体" w:cs="宋体"/>
                <w:kern w:val="2"/>
                <w:sz w:val="18"/>
                <w:szCs w:val="18"/>
                <w:lang w:eastAsia="zh-CN"/>
              </w:rPr>
            </w:pPr>
          </w:p>
        </w:tc>
        <w:tc>
          <w:tcPr>
            <w:tcW w:w="1665" w:type="dxa"/>
            <w:vAlign w:val="center"/>
          </w:tcPr>
          <w:p>
            <w:pPr>
              <w:widowControl w:val="0"/>
              <w:spacing w:line="400" w:lineRule="exact"/>
              <w:rPr>
                <w:rFonts w:ascii="宋体" w:hAnsi="宋体" w:eastAsia="宋体" w:cs="宋体"/>
                <w:kern w:val="2"/>
                <w:sz w:val="18"/>
                <w:szCs w:val="18"/>
                <w:lang w:eastAsia="zh-CN"/>
              </w:rPr>
            </w:pPr>
          </w:p>
        </w:tc>
        <w:tc>
          <w:tcPr>
            <w:tcW w:w="1230" w:type="dxa"/>
            <w:vAlign w:val="center"/>
          </w:tcPr>
          <w:p>
            <w:pPr>
              <w:widowControl w:val="0"/>
              <w:spacing w:line="400" w:lineRule="exact"/>
              <w:rPr>
                <w:rFonts w:ascii="宋体" w:hAnsi="宋体" w:eastAsia="宋体" w:cs="宋体"/>
                <w:kern w:val="2"/>
                <w:sz w:val="18"/>
                <w:szCs w:val="18"/>
                <w:lang w:eastAsia="zh-CN"/>
              </w:rPr>
            </w:pPr>
          </w:p>
        </w:tc>
        <w:tc>
          <w:tcPr>
            <w:tcW w:w="1175" w:type="dxa"/>
            <w:vAlign w:val="center"/>
          </w:tcPr>
          <w:p>
            <w:pPr>
              <w:widowControl w:val="0"/>
              <w:spacing w:line="400" w:lineRule="exact"/>
              <w:jc w:val="center"/>
              <w:rPr>
                <w:rFonts w:ascii="宋体" w:hAnsi="宋体" w:eastAsia="宋体" w:cs="宋体"/>
                <w:kern w:val="2"/>
                <w:sz w:val="18"/>
                <w:szCs w:val="18"/>
                <w:lang w:eastAsia="zh-CN"/>
              </w:rPr>
            </w:pPr>
          </w:p>
        </w:tc>
        <w:tc>
          <w:tcPr>
            <w:tcW w:w="690" w:type="dxa"/>
            <w:vAlign w:val="center"/>
          </w:tcPr>
          <w:p>
            <w:pPr>
              <w:widowControl w:val="0"/>
              <w:spacing w:line="400" w:lineRule="exact"/>
              <w:jc w:val="right"/>
              <w:rPr>
                <w:rFonts w:ascii="宋体" w:hAnsi="宋体" w:eastAsia="宋体" w:cs="宋体"/>
                <w:kern w:val="2"/>
                <w:sz w:val="18"/>
                <w:szCs w:val="18"/>
                <w:lang w:eastAsia="zh-CN"/>
              </w:rPr>
            </w:pPr>
          </w:p>
        </w:tc>
        <w:tc>
          <w:tcPr>
            <w:tcW w:w="615" w:type="dxa"/>
            <w:vAlign w:val="center"/>
          </w:tcPr>
          <w:p>
            <w:pPr>
              <w:widowControl w:val="0"/>
              <w:spacing w:line="400" w:lineRule="exact"/>
              <w:jc w:val="right"/>
              <w:rPr>
                <w:rFonts w:ascii="宋体" w:hAnsi="宋体" w:eastAsia="宋体" w:cs="宋体"/>
                <w:kern w:val="2"/>
                <w:sz w:val="18"/>
                <w:szCs w:val="18"/>
                <w:lang w:eastAsia="zh-CN"/>
              </w:rPr>
            </w:pPr>
          </w:p>
        </w:tc>
        <w:tc>
          <w:tcPr>
            <w:tcW w:w="570" w:type="dxa"/>
            <w:vAlign w:val="center"/>
          </w:tcPr>
          <w:p>
            <w:pPr>
              <w:widowControl w:val="0"/>
              <w:spacing w:line="400" w:lineRule="exact"/>
              <w:jc w:val="right"/>
              <w:rPr>
                <w:rFonts w:ascii="宋体" w:hAnsi="宋体" w:eastAsia="宋体" w:cs="宋体"/>
                <w:kern w:val="2"/>
                <w:sz w:val="18"/>
                <w:szCs w:val="18"/>
                <w:lang w:eastAsia="zh-CN"/>
              </w:rPr>
            </w:pPr>
          </w:p>
        </w:tc>
        <w:tc>
          <w:tcPr>
            <w:tcW w:w="930" w:type="dxa"/>
            <w:vAlign w:val="center"/>
          </w:tcPr>
          <w:p>
            <w:pPr>
              <w:widowControl w:val="0"/>
              <w:spacing w:line="400" w:lineRule="exact"/>
              <w:jc w:val="right"/>
              <w:rPr>
                <w:rFonts w:ascii="宋体" w:hAnsi="宋体" w:eastAsia="宋体" w:cs="宋体"/>
                <w:kern w:val="2"/>
                <w:sz w:val="18"/>
                <w:szCs w:val="18"/>
                <w:lang w:eastAsia="zh-CN"/>
              </w:rPr>
            </w:pPr>
          </w:p>
        </w:tc>
        <w:tc>
          <w:tcPr>
            <w:tcW w:w="585" w:type="dxa"/>
            <w:vAlign w:val="center"/>
          </w:tcPr>
          <w:p>
            <w:pPr>
              <w:widowControl w:val="0"/>
              <w:spacing w:line="400" w:lineRule="exact"/>
              <w:jc w:val="right"/>
              <w:rPr>
                <w:rFonts w:ascii="宋体" w:hAnsi="宋体" w:eastAsia="宋体" w:cs="宋体"/>
                <w:kern w:val="2"/>
                <w:sz w:val="18"/>
                <w:szCs w:val="18"/>
                <w:lang w:eastAsia="zh-CN"/>
              </w:rPr>
            </w:pPr>
          </w:p>
        </w:tc>
        <w:tc>
          <w:tcPr>
            <w:tcW w:w="795" w:type="dxa"/>
            <w:vAlign w:val="center"/>
          </w:tcPr>
          <w:p>
            <w:pPr>
              <w:widowControl w:val="0"/>
              <w:spacing w:line="400" w:lineRule="exact"/>
              <w:jc w:val="right"/>
              <w:rPr>
                <w:rFonts w:ascii="宋体" w:hAnsi="宋体" w:eastAsia="宋体" w:cs="宋体"/>
                <w:kern w:val="2"/>
                <w:sz w:val="18"/>
                <w:szCs w:val="18"/>
                <w:lang w:eastAsia="zh-CN"/>
              </w:rPr>
            </w:pPr>
          </w:p>
        </w:tc>
        <w:tc>
          <w:tcPr>
            <w:tcW w:w="1005" w:type="dxa"/>
            <w:vAlign w:val="center"/>
          </w:tcPr>
          <w:p>
            <w:pPr>
              <w:widowControl w:val="0"/>
              <w:spacing w:line="400" w:lineRule="exact"/>
              <w:jc w:val="right"/>
              <w:rPr>
                <w:rFonts w:ascii="宋体" w:hAnsi="宋体" w:eastAsia="宋体" w:cs="宋体"/>
                <w:kern w:val="2"/>
                <w:sz w:val="18"/>
                <w:szCs w:val="18"/>
                <w:lang w:eastAsia="zh-CN"/>
              </w:rPr>
            </w:pPr>
          </w:p>
        </w:tc>
        <w:tc>
          <w:tcPr>
            <w:tcW w:w="1546" w:type="dxa"/>
            <w:vAlign w:val="center"/>
          </w:tcPr>
          <w:p>
            <w:pPr>
              <w:widowControl w:val="0"/>
              <w:spacing w:line="400" w:lineRule="exact"/>
              <w:jc w:val="right"/>
              <w:rPr>
                <w:rFonts w:ascii="宋体" w:hAnsi="宋体" w:eastAsia="宋体" w:cs="宋体"/>
                <w:kern w:val="2"/>
                <w:sz w:val="18"/>
                <w:szCs w:val="18"/>
                <w:lang w:eastAsia="zh-CN"/>
              </w:rPr>
            </w:pPr>
          </w:p>
        </w:tc>
      </w:tr>
    </w:tbl>
    <w:p>
      <w:pPr>
        <w:spacing w:line="500" w:lineRule="exact"/>
        <w:ind w:firstLine="420"/>
        <w:rPr>
          <w:rFonts w:ascii="方正书宋_GBK" w:hAnsi="方正书宋_GBK" w:eastAsia="方正书宋_GBK" w:cs="方正书宋_GBK"/>
          <w:color w:val="000000"/>
          <w:sz w:val="21"/>
        </w:rPr>
      </w:pPr>
    </w:p>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rPr>
          <w:rFonts w:ascii="黑体" w:hAnsi="黑体" w:eastAsia="黑体" w:cs="黑体"/>
          <w:color w:val="000000"/>
          <w:sz w:val="32"/>
        </w:rPr>
      </w:pPr>
      <w:bookmarkStart w:id="16" w:name="_Toc_3_3_0000000016"/>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6"/>
    </w:p>
    <w:p>
      <w:pPr>
        <w:spacing w:line="500" w:lineRule="exact"/>
        <w:ind w:firstLine="560"/>
      </w:pPr>
      <w:r>
        <w:rPr>
          <w:rFonts w:hint="eastAsia" w:eastAsia="方正仿宋_GBK"/>
          <w:color w:val="000000"/>
          <w:sz w:val="28"/>
          <w:lang w:eastAsia="zh-CN"/>
        </w:rPr>
        <w:t>涞水县人民检察院</w:t>
      </w:r>
      <w:r>
        <w:rPr>
          <w:rFonts w:eastAsia="方正仿宋_GBK"/>
          <w:color w:val="000000"/>
          <w:sz w:val="28"/>
        </w:rPr>
        <w:t>上年末固定资产金额为</w:t>
      </w:r>
      <w:r>
        <w:rPr>
          <w:rFonts w:hint="eastAsia" w:eastAsia="方正仿宋_GBK"/>
          <w:color w:val="000000"/>
          <w:sz w:val="28"/>
          <w:lang w:eastAsia="zh-CN"/>
        </w:rPr>
        <w:t>1661.56</w:t>
      </w:r>
      <w:r>
        <w:rPr>
          <w:rFonts w:eastAsia="方正仿宋_GBK"/>
          <w:color w:val="000000"/>
          <w:sz w:val="28"/>
        </w:rPr>
        <w:t>万元（详见下表）。</w:t>
      </w:r>
      <w:r>
        <w:rPr>
          <w:rFonts w:hint="eastAsia" w:eastAsia="方正仿宋_GBK"/>
          <w:color w:val="000000"/>
          <w:sz w:val="28"/>
          <w:lang w:eastAsia="zh-CN"/>
        </w:rPr>
        <w:t>2</w:t>
      </w:r>
      <w:r>
        <w:rPr>
          <w:rFonts w:eastAsia="方正仿宋_GBK"/>
          <w:color w:val="000000"/>
          <w:sz w:val="28"/>
          <w:lang w:eastAsia="zh-CN"/>
        </w:rPr>
        <w:t>022</w:t>
      </w:r>
      <w:r>
        <w:rPr>
          <w:rFonts w:hint="eastAsia" w:eastAsia="方正仿宋_GBK"/>
          <w:color w:val="000000"/>
          <w:sz w:val="28"/>
          <w:lang w:eastAsia="zh-CN"/>
        </w:rPr>
        <w:t>年，我部门无购置固定资产情况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jc w:val="center"/>
        <w:rPr>
          <w:rFonts w:ascii="仿宋" w:hAnsi="仿宋" w:eastAsia="仿宋" w:cs="方正小标宋_GBK"/>
          <w:color w:val="000000"/>
          <w:sz w:val="32"/>
          <w:szCs w:val="32"/>
          <w:lang w:eastAsia="zh-CN"/>
        </w:rPr>
      </w:pPr>
    </w:p>
    <w:p>
      <w:pPr>
        <w:jc w:val="center"/>
        <w:rPr>
          <w:rFonts w:ascii="仿宋" w:hAnsi="仿宋" w:eastAsia="仿宋" w:cs="方正小标宋_GBK"/>
          <w:color w:val="000000"/>
          <w:sz w:val="32"/>
          <w:szCs w:val="32"/>
          <w:lang w:eastAsia="zh-CN"/>
        </w:rPr>
      </w:pPr>
      <w:r>
        <w:rPr>
          <w:rFonts w:hint="eastAsia" w:ascii="仿宋" w:hAnsi="仿宋" w:eastAsia="仿宋" w:cs="方正小标宋_GBK"/>
          <w:color w:val="000000"/>
          <w:sz w:val="32"/>
          <w:szCs w:val="32"/>
          <w:lang w:eastAsia="zh-CN"/>
        </w:rPr>
        <w:t>截止时间：2</w:t>
      </w:r>
      <w:r>
        <w:rPr>
          <w:rFonts w:ascii="仿宋" w:hAnsi="仿宋" w:eastAsia="仿宋" w:cs="方正小标宋_GBK"/>
          <w:color w:val="000000"/>
          <w:sz w:val="32"/>
          <w:szCs w:val="32"/>
          <w:lang w:eastAsia="zh-CN"/>
        </w:rPr>
        <w:t>021</w:t>
      </w:r>
      <w:r>
        <w:rPr>
          <w:rFonts w:hint="eastAsia" w:ascii="仿宋" w:hAnsi="仿宋" w:eastAsia="仿宋" w:cs="方正小标宋_GBK"/>
          <w:color w:val="000000"/>
          <w:sz w:val="32"/>
          <w:szCs w:val="32"/>
          <w:lang w:eastAsia="zh-CN"/>
        </w:rPr>
        <w:t>年1</w:t>
      </w:r>
      <w:r>
        <w:rPr>
          <w:rFonts w:ascii="仿宋" w:hAnsi="仿宋" w:eastAsia="仿宋" w:cs="方正小标宋_GBK"/>
          <w:color w:val="000000"/>
          <w:sz w:val="32"/>
          <w:szCs w:val="32"/>
          <w:lang w:eastAsia="zh-CN"/>
        </w:rPr>
        <w:t>2</w:t>
      </w:r>
      <w:r>
        <w:rPr>
          <w:rFonts w:hint="eastAsia" w:ascii="仿宋" w:hAnsi="仿宋" w:eastAsia="仿宋" w:cs="方正小标宋_GBK"/>
          <w:color w:val="000000"/>
          <w:sz w:val="32"/>
          <w:szCs w:val="32"/>
          <w:lang w:eastAsia="zh-CN"/>
        </w:rPr>
        <w:t>月3</w:t>
      </w:r>
      <w:r>
        <w:rPr>
          <w:rFonts w:ascii="仿宋" w:hAnsi="仿宋" w:eastAsia="仿宋" w:cs="方正小标宋_GBK"/>
          <w:color w:val="000000"/>
          <w:sz w:val="32"/>
          <w:szCs w:val="32"/>
          <w:lang w:eastAsia="zh-CN"/>
        </w:rPr>
        <w:t>1</w:t>
      </w:r>
      <w:r>
        <w:rPr>
          <w:rFonts w:hint="eastAsia" w:ascii="仿宋" w:hAnsi="仿宋" w:eastAsia="仿宋" w:cs="方正小标宋_GBK"/>
          <w:color w:val="000000"/>
          <w:sz w:val="32"/>
          <w:szCs w:val="32"/>
          <w:lang w:eastAsia="zh-CN"/>
        </w:rPr>
        <w:t>日</w:t>
      </w:r>
    </w:p>
    <w:p>
      <w:pPr>
        <w:jc w:val="center"/>
        <w:rPr>
          <w:rFonts w:ascii="仿宋" w:hAnsi="仿宋" w:eastAsia="仿宋" w:cs="方正小标宋_GBK"/>
          <w:color w:val="000000"/>
          <w:sz w:val="32"/>
          <w:szCs w:val="32"/>
          <w:lang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1"/>
        <w:gridCol w:w="1033"/>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项　　目</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数量</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固定资产总额</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1</w:t>
            </w:r>
            <w:r>
              <w:rPr>
                <w:rFonts w:ascii="仿宋" w:hAnsi="仿宋" w:eastAsia="仿宋" w:cs="宋体"/>
                <w:kern w:val="2"/>
                <w:sz w:val="32"/>
                <w:szCs w:val="32"/>
                <w:lang w:eastAsia="zh-CN"/>
              </w:rPr>
              <w:t>661.56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1、房屋（平方米）</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5837</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其中：办公用房（平方米）</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5</w:t>
            </w:r>
            <w:r>
              <w:rPr>
                <w:rFonts w:ascii="仿宋" w:hAnsi="仿宋" w:eastAsia="仿宋" w:cs="宋体"/>
                <w:kern w:val="2"/>
                <w:sz w:val="32"/>
                <w:szCs w:val="32"/>
                <w:lang w:eastAsia="zh-CN"/>
              </w:rPr>
              <w:t>837</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2</w:t>
            </w:r>
            <w:r>
              <w:rPr>
                <w:rFonts w:ascii="仿宋" w:hAnsi="仿宋" w:eastAsia="仿宋" w:cs="宋体"/>
                <w:kern w:val="2"/>
                <w:sz w:val="32"/>
                <w:szCs w:val="32"/>
                <w:lang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2、车辆（台、辆）</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2</w:t>
            </w:r>
            <w:r>
              <w:rPr>
                <w:rFonts w:ascii="仿宋" w:hAnsi="仿宋" w:eastAsia="仿宋" w:cs="宋体"/>
                <w:color w:val="000000"/>
                <w:sz w:val="32"/>
                <w:szCs w:val="32"/>
                <w:lang w:eastAsia="zh-CN"/>
              </w:rPr>
              <w:t>6</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295.12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3、单价在20万元以上的设备</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4、其他固定资产</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ascii="仿宋" w:hAnsi="仿宋" w:eastAsia="仿宋" w:cs="宋体"/>
                <w:kern w:val="2"/>
                <w:sz w:val="36"/>
                <w:szCs w:val="36"/>
                <w:lang w:eastAsia="zh-CN"/>
              </w:rPr>
              <w:t>1088.44</w:t>
            </w:r>
          </w:p>
        </w:tc>
      </w:tr>
    </w:tbl>
    <w:p>
      <w:pPr>
        <w:rPr>
          <w:rFonts w:ascii="方正小标宋_GBK" w:hAnsi="方正小标宋_GBK" w:eastAsia="方正小标宋_GBK" w:cs="方正小标宋_GBK"/>
          <w:color w:val="000000"/>
          <w:sz w:val="36"/>
          <w:lang w:eastAsia="zh-CN"/>
        </w:rPr>
      </w:pPr>
    </w:p>
    <w:p>
      <w:pPr>
        <w:spacing w:before="10" w:after="10"/>
        <w:ind w:firstLine="640"/>
        <w:rPr>
          <w:rFonts w:ascii="黑体" w:hAnsi="黑体" w:eastAsia="黑体" w:cs="黑体"/>
          <w:color w:val="000000"/>
          <w:sz w:val="32"/>
        </w:rPr>
      </w:pPr>
      <w:bookmarkStart w:id="17" w:name="_Toc_3_3_0000000017"/>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县（区）级</w:t>
      </w:r>
      <w:r>
        <w:rPr>
          <w:rFonts w:eastAsia="方正仿宋_GBK"/>
          <w:color w:val="000000"/>
          <w:sz w:val="28"/>
        </w:rPr>
        <w:t>财政预算管理的“三公”经费，是指</w:t>
      </w:r>
      <w:r>
        <w:rPr>
          <w:rFonts w:hint="eastAsia" w:eastAsia="方正仿宋_GBK"/>
          <w:color w:val="000000"/>
          <w:sz w:val="28"/>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rPr>
          <w:rFonts w:ascii="黑体" w:hAnsi="黑体" w:eastAsia="黑体" w:cs="黑体"/>
          <w:color w:val="000000"/>
          <w:sz w:val="32"/>
        </w:rPr>
      </w:pPr>
      <w:bookmarkStart w:id="18" w:name="_Toc_3_3_0000000018"/>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九、其他需要说明的事项</w:t>
      </w:r>
      <w:bookmarkEnd w:id="18"/>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0" w:usb1="00000000" w:usb2="00000000" w:usb3="00000000" w:csb0="00000000" w:csb1="00000000"/>
  </w:font>
  <w:font w:name="方正小标宋_GBK">
    <w:panose1 w:val="02000000000000000000"/>
    <w:charset w:val="86"/>
    <w:family w:val="script"/>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panose1 w:val="02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CCD1"/>
    <w:multiLevelType w:val="singleLevel"/>
    <w:tmpl w:val="2D79CCD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YWNkOWEzOGU4NWZjNmQzNDE1ZjE5ODEyYTNjNDYifQ=="/>
  </w:docVars>
  <w:rsids>
    <w:rsidRoot w:val="00781D3A"/>
    <w:rsid w:val="001C0AE6"/>
    <w:rsid w:val="001D7814"/>
    <w:rsid w:val="00437AEC"/>
    <w:rsid w:val="00472F0F"/>
    <w:rsid w:val="004C4D3F"/>
    <w:rsid w:val="004D74D0"/>
    <w:rsid w:val="005134C8"/>
    <w:rsid w:val="006B610F"/>
    <w:rsid w:val="006E005A"/>
    <w:rsid w:val="00781D3A"/>
    <w:rsid w:val="00791CF2"/>
    <w:rsid w:val="00821C63"/>
    <w:rsid w:val="008236D4"/>
    <w:rsid w:val="009160D9"/>
    <w:rsid w:val="009C206B"/>
    <w:rsid w:val="00A560CA"/>
    <w:rsid w:val="00A7533E"/>
    <w:rsid w:val="00AA4685"/>
    <w:rsid w:val="00B133F1"/>
    <w:rsid w:val="00BC0518"/>
    <w:rsid w:val="00C551BF"/>
    <w:rsid w:val="00C84C2E"/>
    <w:rsid w:val="00C92AE3"/>
    <w:rsid w:val="00CA59D1"/>
    <w:rsid w:val="00CB6BE0"/>
    <w:rsid w:val="00CF6148"/>
    <w:rsid w:val="00D42B1A"/>
    <w:rsid w:val="00DC041D"/>
    <w:rsid w:val="00DE32C6"/>
    <w:rsid w:val="00DF7C5F"/>
    <w:rsid w:val="00E6241B"/>
    <w:rsid w:val="00ED2EDE"/>
    <w:rsid w:val="00F37B70"/>
    <w:rsid w:val="04B64792"/>
    <w:rsid w:val="054B4674"/>
    <w:rsid w:val="1F001077"/>
    <w:rsid w:val="37CF26CA"/>
    <w:rsid w:val="39C47E3E"/>
    <w:rsid w:val="3C883918"/>
    <w:rsid w:val="48BA73C9"/>
    <w:rsid w:val="4A6E08DD"/>
    <w:rsid w:val="4F4A4F48"/>
    <w:rsid w:val="5B01542B"/>
    <w:rsid w:val="618868A7"/>
    <w:rsid w:val="69A97DF5"/>
    <w:rsid w:val="725A3834"/>
    <w:rsid w:val="769A234B"/>
    <w:rsid w:val="778B2B68"/>
    <w:rsid w:val="789F35D1"/>
    <w:rsid w:val="7E742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36"/>
    <w:unhideWhenUsed/>
    <w:qFormat/>
    <w:uiPriority w:val="99"/>
    <w:pPr>
      <w:tabs>
        <w:tab w:val="center" w:pos="4153"/>
        <w:tab w:val="right" w:pos="8306"/>
      </w:tabs>
      <w:snapToGrid w:val="0"/>
    </w:pPr>
    <w:rPr>
      <w:sz w:val="18"/>
      <w:szCs w:val="18"/>
    </w:rPr>
  </w:style>
  <w:style w:type="paragraph" w:styleId="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字符"/>
    <w:basedOn w:val="12"/>
    <w:link w:val="6"/>
    <w:qFormat/>
    <w:uiPriority w:val="99"/>
    <w:rPr>
      <w:rFonts w:eastAsia="Times New Roman"/>
      <w:sz w:val="18"/>
      <w:szCs w:val="18"/>
      <w:lang w:eastAsia="uk-UA"/>
    </w:rPr>
  </w:style>
  <w:style w:type="character" w:customStyle="1" w:styleId="36">
    <w:name w:val="页脚 字符"/>
    <w:basedOn w:val="12"/>
    <w:link w:val="5"/>
    <w:qFormat/>
    <w:uiPriority w:val="99"/>
    <w:rPr>
      <w:rFonts w:eastAsia="Times New Roman"/>
      <w:sz w:val="18"/>
      <w:szCs w:val="18"/>
      <w:lang w:eastAsia="uk-UA"/>
    </w:rPr>
  </w:style>
  <w:style w:type="paragraph" w:customStyle="1" w:styleId="37">
    <w:name w:val="WPSOffice手动目录 1"/>
    <w:uiPriority w:val="0"/>
    <w:rPr>
      <w:rFonts w:ascii="Times New Roman" w:hAnsi="Times New Roman" w:eastAsia="宋体" w:cs="Times New Roman"/>
      <w:lang w:val="en-US" w:eastAsia="zh-CN" w:bidi="ar-SA"/>
    </w:rPr>
  </w:style>
  <w:style w:type="paragraph" w:customStyle="1" w:styleId="38">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FFE41CD-7795-417D-8B3D-7B7E92ADCE28}">
  <ds:schemaRefs/>
</ds:datastoreItem>
</file>

<file path=customXml/itemProps11.xml><?xml version="1.0" encoding="utf-8"?>
<ds:datastoreItem xmlns:ds="http://schemas.openxmlformats.org/officeDocument/2006/customXml" ds:itemID="{335668B4-649C-41E0-BC80-7D94ABF681A2}">
  <ds:schemaRefs/>
</ds:datastoreItem>
</file>

<file path=customXml/itemProps12.xml><?xml version="1.0" encoding="utf-8"?>
<ds:datastoreItem xmlns:ds="http://schemas.openxmlformats.org/officeDocument/2006/customXml" ds:itemID="{66CC41B6-D28D-4EED-B564-F0D3D013B8B1}">
  <ds:schemaRefs/>
</ds:datastoreItem>
</file>

<file path=customXml/itemProps13.xml><?xml version="1.0" encoding="utf-8"?>
<ds:datastoreItem xmlns:ds="http://schemas.openxmlformats.org/officeDocument/2006/customXml" ds:itemID="{907DF196-29BA-4F64-A2E6-9B891D8DA970}">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9B2DCA2B-261B-4FC5-92E2-74D6E9C53092}">
  <ds:schemaRefs/>
</ds:datastoreItem>
</file>

<file path=customXml/itemProps16.xml><?xml version="1.0" encoding="utf-8"?>
<ds:datastoreItem xmlns:ds="http://schemas.openxmlformats.org/officeDocument/2006/customXml" ds:itemID="{D5DDAF8B-C90E-40EE-B940-CCD547411B81}">
  <ds:schemaRefs/>
</ds:datastoreItem>
</file>

<file path=customXml/itemProps17.xml><?xml version="1.0" encoding="utf-8"?>
<ds:datastoreItem xmlns:ds="http://schemas.openxmlformats.org/officeDocument/2006/customXml" ds:itemID="{C66F43F9-0AB8-4241-BA67-D8AE60CF6C21}">
  <ds:schemaRefs/>
</ds:datastoreItem>
</file>

<file path=customXml/itemProps18.xml><?xml version="1.0" encoding="utf-8"?>
<ds:datastoreItem xmlns:ds="http://schemas.openxmlformats.org/officeDocument/2006/customXml" ds:itemID="{E56AD1C2-FB4D-4572-86C7-2470DBB3943B}">
  <ds:schemaRefs/>
</ds:datastoreItem>
</file>

<file path=customXml/itemProps19.xml><?xml version="1.0" encoding="utf-8"?>
<ds:datastoreItem xmlns:ds="http://schemas.openxmlformats.org/officeDocument/2006/customXml" ds:itemID="{989DA21E-0CDF-4E3D-84F6-1D172BF7F4B9}">
  <ds:schemaRefs/>
</ds:datastoreItem>
</file>

<file path=customXml/itemProps2.xml><?xml version="1.0" encoding="utf-8"?>
<ds:datastoreItem xmlns:ds="http://schemas.openxmlformats.org/officeDocument/2006/customXml" ds:itemID="{DD8D39B1-E032-4B64-9020-66CD65ABCD3B}">
  <ds:schemaRefs/>
</ds:datastoreItem>
</file>

<file path=customXml/itemProps20.xml><?xml version="1.0" encoding="utf-8"?>
<ds:datastoreItem xmlns:ds="http://schemas.openxmlformats.org/officeDocument/2006/customXml" ds:itemID="{BF249A3C-5046-4792-B1C7-86A45BD0F7B3}">
  <ds:schemaRefs/>
</ds:datastoreItem>
</file>

<file path=customXml/itemProps21.xml><?xml version="1.0" encoding="utf-8"?>
<ds:datastoreItem xmlns:ds="http://schemas.openxmlformats.org/officeDocument/2006/customXml" ds:itemID="{B9E9C162-3959-4E09-8552-3788A3BCB94D}">
  <ds:schemaRefs/>
</ds:datastoreItem>
</file>

<file path=customXml/itemProps22.xml><?xml version="1.0" encoding="utf-8"?>
<ds:datastoreItem xmlns:ds="http://schemas.openxmlformats.org/officeDocument/2006/customXml" ds:itemID="{6C8F0DDD-DA95-49D7-BEC9-54BED6023821}">
  <ds:schemaRefs/>
</ds:datastoreItem>
</file>

<file path=customXml/itemProps23.xml><?xml version="1.0" encoding="utf-8"?>
<ds:datastoreItem xmlns:ds="http://schemas.openxmlformats.org/officeDocument/2006/customXml" ds:itemID="{5EFC46A3-03BA-4ECF-B65E-51918400F753}">
  <ds:schemaRefs/>
</ds:datastoreItem>
</file>

<file path=customXml/itemProps24.xml><?xml version="1.0" encoding="utf-8"?>
<ds:datastoreItem xmlns:ds="http://schemas.openxmlformats.org/officeDocument/2006/customXml" ds:itemID="{BC8B0B68-B399-4D6D-AE2B-284CCF1A5CB6}">
  <ds:schemaRefs/>
</ds:datastoreItem>
</file>

<file path=customXml/itemProps25.xml><?xml version="1.0" encoding="utf-8"?>
<ds:datastoreItem xmlns:ds="http://schemas.openxmlformats.org/officeDocument/2006/customXml" ds:itemID="{8807E301-CE3E-48B0-8F1B-BE48F29E1736}">
  <ds:schemaRefs/>
</ds:datastoreItem>
</file>

<file path=customXml/itemProps26.xml><?xml version="1.0" encoding="utf-8"?>
<ds:datastoreItem xmlns:ds="http://schemas.openxmlformats.org/officeDocument/2006/customXml" ds:itemID="{C593EC27-B89C-46A8-9CF9-3B5AE2B23C20}">
  <ds:schemaRefs/>
</ds:datastoreItem>
</file>

<file path=customXml/itemProps27.xml><?xml version="1.0" encoding="utf-8"?>
<ds:datastoreItem xmlns:ds="http://schemas.openxmlformats.org/officeDocument/2006/customXml" ds:itemID="{3300B263-A8B2-4577-A8B1-07D060066AC1}">
  <ds:schemaRefs/>
</ds:datastoreItem>
</file>

<file path=customXml/itemProps28.xml><?xml version="1.0" encoding="utf-8"?>
<ds:datastoreItem xmlns:ds="http://schemas.openxmlformats.org/officeDocument/2006/customXml" ds:itemID="{127F30A9-AC64-4000-970B-04BBBAF6782F}">
  <ds:schemaRefs/>
</ds:datastoreItem>
</file>

<file path=customXml/itemProps29.xml><?xml version="1.0" encoding="utf-8"?>
<ds:datastoreItem xmlns:ds="http://schemas.openxmlformats.org/officeDocument/2006/customXml" ds:itemID="{C864F1CC-9C8C-41E6-8FD8-C85E12A44050}">
  <ds:schemaRefs/>
</ds:datastoreItem>
</file>

<file path=customXml/itemProps3.xml><?xml version="1.0" encoding="utf-8"?>
<ds:datastoreItem xmlns:ds="http://schemas.openxmlformats.org/officeDocument/2006/customXml" ds:itemID="{4D21B174-EFD5-481F-8023-ECD2C99EA6A5}">
  <ds:schemaRefs/>
</ds:datastoreItem>
</file>

<file path=customXml/itemProps30.xml><?xml version="1.0" encoding="utf-8"?>
<ds:datastoreItem xmlns:ds="http://schemas.openxmlformats.org/officeDocument/2006/customXml" ds:itemID="{B52E45D6-0F3C-4B21-B161-FA591631F8EB}">
  <ds:schemaRefs/>
</ds:datastoreItem>
</file>

<file path=customXml/itemProps31.xml><?xml version="1.0" encoding="utf-8"?>
<ds:datastoreItem xmlns:ds="http://schemas.openxmlformats.org/officeDocument/2006/customXml" ds:itemID="{C486A553-0F69-4945-B340-E49BCA32411A}">
  <ds:schemaRefs/>
</ds:datastoreItem>
</file>

<file path=customXml/itemProps32.xml><?xml version="1.0" encoding="utf-8"?>
<ds:datastoreItem xmlns:ds="http://schemas.openxmlformats.org/officeDocument/2006/customXml" ds:itemID="{BAA19A8D-5B92-489B-B169-BAD91A103344}">
  <ds:schemaRefs/>
</ds:datastoreItem>
</file>

<file path=customXml/itemProps33.xml><?xml version="1.0" encoding="utf-8"?>
<ds:datastoreItem xmlns:ds="http://schemas.openxmlformats.org/officeDocument/2006/customXml" ds:itemID="{4074F53B-6AA8-493B-96FF-0D7EB858216C}">
  <ds:schemaRefs/>
</ds:datastoreItem>
</file>

<file path=customXml/itemProps34.xml><?xml version="1.0" encoding="utf-8"?>
<ds:datastoreItem xmlns:ds="http://schemas.openxmlformats.org/officeDocument/2006/customXml" ds:itemID="{6A6DB8E6-5EDD-4508-B255-AD07BCA264C9}">
  <ds:schemaRefs/>
</ds:datastoreItem>
</file>

<file path=customXml/itemProps35.xml><?xml version="1.0" encoding="utf-8"?>
<ds:datastoreItem xmlns:ds="http://schemas.openxmlformats.org/officeDocument/2006/customXml" ds:itemID="{82063DCE-E0D9-4D45-94AB-06A5849F123C}">
  <ds:schemaRefs/>
</ds:datastoreItem>
</file>

<file path=customXml/itemProps36.xml><?xml version="1.0" encoding="utf-8"?>
<ds:datastoreItem xmlns:ds="http://schemas.openxmlformats.org/officeDocument/2006/customXml" ds:itemID="{55A60376-5F1A-4B58-BE70-A0B8CD8AC393}">
  <ds:schemaRefs/>
</ds:datastoreItem>
</file>

<file path=customXml/itemProps37.xml><?xml version="1.0" encoding="utf-8"?>
<ds:datastoreItem xmlns:ds="http://schemas.openxmlformats.org/officeDocument/2006/customXml" ds:itemID="{9E39FA8A-0D5E-4C72-88C2-A4A5C9D016A3}">
  <ds:schemaRefs/>
</ds:datastoreItem>
</file>

<file path=customXml/itemProps38.xml><?xml version="1.0" encoding="utf-8"?>
<ds:datastoreItem xmlns:ds="http://schemas.openxmlformats.org/officeDocument/2006/customXml" ds:itemID="{328F8FAA-F9B6-48DE-ABD9-772610F9386F}">
  <ds:schemaRefs/>
</ds:datastoreItem>
</file>

<file path=customXml/itemProps39.xml><?xml version="1.0" encoding="utf-8"?>
<ds:datastoreItem xmlns:ds="http://schemas.openxmlformats.org/officeDocument/2006/customXml" ds:itemID="{1C4E702D-2594-4689-8404-84AFD7E73E52}">
  <ds:schemaRefs/>
</ds:datastoreItem>
</file>

<file path=customXml/itemProps4.xml><?xml version="1.0" encoding="utf-8"?>
<ds:datastoreItem xmlns:ds="http://schemas.openxmlformats.org/officeDocument/2006/customXml" ds:itemID="{B8034E79-3EC9-4FB4-8900-8DB566ED87F2}">
  <ds:schemaRefs/>
</ds:datastoreItem>
</file>

<file path=customXml/itemProps40.xml><?xml version="1.0" encoding="utf-8"?>
<ds:datastoreItem xmlns:ds="http://schemas.openxmlformats.org/officeDocument/2006/customXml" ds:itemID="{CB6B8C05-D526-4E72-8AB4-B1FB0F487636}">
  <ds:schemaRefs/>
</ds:datastoreItem>
</file>

<file path=customXml/itemProps5.xml><?xml version="1.0" encoding="utf-8"?>
<ds:datastoreItem xmlns:ds="http://schemas.openxmlformats.org/officeDocument/2006/customXml" ds:itemID="{7DA1E944-597F-4D9A-ADC8-E3A5D62388E9}">
  <ds:schemaRefs/>
</ds:datastoreItem>
</file>

<file path=customXml/itemProps6.xml><?xml version="1.0" encoding="utf-8"?>
<ds:datastoreItem xmlns:ds="http://schemas.openxmlformats.org/officeDocument/2006/customXml" ds:itemID="{F2B0114A-1BF3-408C-A937-DBD594359DD7}">
  <ds:schemaRefs/>
</ds:datastoreItem>
</file>

<file path=customXml/itemProps7.xml><?xml version="1.0" encoding="utf-8"?>
<ds:datastoreItem xmlns:ds="http://schemas.openxmlformats.org/officeDocument/2006/customXml" ds:itemID="{927546BB-28A9-4183-9889-130B2B46E760}">
  <ds:schemaRefs/>
</ds:datastoreItem>
</file>

<file path=customXml/itemProps8.xml><?xml version="1.0" encoding="utf-8"?>
<ds:datastoreItem xmlns:ds="http://schemas.openxmlformats.org/officeDocument/2006/customXml" ds:itemID="{FF40C868-CD10-4565-BD6F-28B55B247751}">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11887</Words>
  <Characters>13294</Characters>
  <Lines>117</Lines>
  <Paragraphs>33</Paragraphs>
  <TotalTime>14</TotalTime>
  <ScaleCrop>false</ScaleCrop>
  <LinksUpToDate>false</LinksUpToDate>
  <CharactersWithSpaces>13642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2023-08-21T02:08:04Z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9DF2C3110AE44B838A877B76BE15439D</vt:lpwstr>
  </property>
</Properties>
</file>