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contextualSpacing/>
        <w:jc w:val="center"/>
        <w:rPr>
          <w:rFonts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涞水县民政局2022年政府信息公开工作</w:t>
      </w:r>
    </w:p>
    <w:p>
      <w:pPr>
        <w:widowControl/>
        <w:shd w:val="clear" w:color="auto" w:fill="FFFFFF"/>
        <w:spacing w:line="500" w:lineRule="exact"/>
        <w:contextualSpacing/>
        <w:jc w:val="center"/>
        <w:rPr>
          <w:rFonts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年度报告</w:t>
      </w:r>
    </w:p>
    <w:p>
      <w:pPr>
        <w:widowControl/>
        <w:shd w:val="clear" w:color="auto" w:fill="FFFFFF"/>
        <w:spacing w:line="500" w:lineRule="exact"/>
        <w:ind w:firstLine="480"/>
        <w:contextualSpacing/>
        <w:rPr>
          <w:rFonts w:ascii="宋体" w:hAnsi="宋体" w:eastAsia="宋体" w:cs="宋体"/>
          <w:color w:val="333333"/>
          <w:kern w:val="0"/>
          <w:sz w:val="24"/>
          <w:szCs w:val="24"/>
        </w:rPr>
      </w:pPr>
    </w:p>
    <w:p>
      <w:pPr>
        <w:widowControl/>
        <w:shd w:val="clear" w:color="auto" w:fill="FFFFFF"/>
        <w:spacing w:line="500" w:lineRule="exact"/>
        <w:ind w:firstLine="480"/>
        <w:contextualSpacing/>
        <w:rPr>
          <w:rFonts w:ascii="黑体" w:hAnsi="黑体" w:eastAsia="黑体" w:cs="黑体"/>
          <w:color w:val="333333"/>
          <w:kern w:val="0"/>
          <w:sz w:val="32"/>
          <w:szCs w:val="32"/>
        </w:rPr>
      </w:pPr>
      <w:r>
        <w:rPr>
          <w:rFonts w:hint="eastAsia" w:ascii="黑体" w:hAnsi="黑体" w:eastAsia="黑体" w:cs="黑体"/>
          <w:color w:val="333333"/>
          <w:kern w:val="0"/>
          <w:sz w:val="32"/>
          <w:szCs w:val="32"/>
        </w:rPr>
        <w:t>一、总体情况</w:t>
      </w:r>
    </w:p>
    <w:p>
      <w:pPr>
        <w:widowControl/>
        <w:shd w:val="clear" w:color="auto" w:fill="FFFFFF"/>
        <w:spacing w:line="500" w:lineRule="exact"/>
        <w:ind w:firstLine="640" w:firstLineChars="200"/>
        <w:contextualSpacing/>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2022年，民政局政府信息公开工作坚持以习近平新时代中国特色社会主义思想为指导，深入贯彻党的二十大精神，严格执行《政府信息公开条例》和上级有关要求，着力做好主动公开，依法及时开展依申请公开，持续加强政府信息管理，切实强化监督保障，进一步推进民政工作公开透明，切实发挥政府信息对人民群众生产、生活和经济社会活动的服务作用。</w:t>
      </w:r>
    </w:p>
    <w:p>
      <w:pPr>
        <w:pStyle w:val="4"/>
        <w:shd w:val="clear" w:color="auto" w:fill="FFFFFF"/>
        <w:spacing w:before="0" w:beforeAutospacing="0" w:after="0" w:afterAutospacing="0" w:line="500" w:lineRule="exact"/>
        <w:ind w:firstLine="480"/>
        <w:contextualSpacing/>
        <w:jc w:val="both"/>
        <w:rPr>
          <w:rFonts w:ascii="楷体_GB2312" w:hAnsi="楷体_GB2312" w:eastAsia="楷体_GB2312" w:cs="楷体_GB2312"/>
          <w:b/>
          <w:bCs/>
          <w:color w:val="333333"/>
          <w:kern w:val="2"/>
          <w:sz w:val="32"/>
          <w:szCs w:val="32"/>
        </w:rPr>
      </w:pPr>
      <w:r>
        <w:rPr>
          <w:rFonts w:hint="eastAsia" w:ascii="楷体_GB2312" w:hAnsi="楷体_GB2312" w:eastAsia="楷体_GB2312" w:cs="楷体_GB2312"/>
          <w:b/>
          <w:bCs/>
          <w:color w:val="333333"/>
          <w:kern w:val="2"/>
          <w:sz w:val="32"/>
          <w:szCs w:val="32"/>
        </w:rPr>
        <w:t>（一）加强组织领导，健全政府信息公开工作的机制</w:t>
      </w:r>
    </w:p>
    <w:p>
      <w:pPr>
        <w:widowControl/>
        <w:shd w:val="clear" w:color="auto" w:fill="FFFFFF"/>
        <w:spacing w:line="500" w:lineRule="exact"/>
        <w:ind w:firstLine="640" w:firstLineChars="200"/>
        <w:contextualSpacing/>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民政局始终高度认识推行政务公开的重要性和必要性，把推进政务公开作为规范机关行为、提高工作效率、提升服务水平的一项重要工作抓紧抓好。为强化组织领导，县民政局成立了政务公开领导小组，局党组书记、局长任组长，各位副局长任副组长，相关股室负责人任成员，具体负责全县民政部门政务公开的监督、考核、奖惩及具体实施工作，为推动政务公开工作向纵深发展提供了有力的组织保障。</w:t>
      </w:r>
    </w:p>
    <w:p>
      <w:pPr>
        <w:pStyle w:val="4"/>
        <w:shd w:val="clear" w:color="auto" w:fill="FFFFFF"/>
        <w:spacing w:before="0" w:beforeAutospacing="0" w:after="0" w:afterAutospacing="0" w:line="500" w:lineRule="exact"/>
        <w:ind w:firstLine="480"/>
        <w:contextualSpacing/>
        <w:jc w:val="both"/>
        <w:rPr>
          <w:rFonts w:ascii="楷体_GB2312" w:hAnsi="楷体_GB2312" w:eastAsia="楷体_GB2312" w:cs="楷体_GB2312"/>
          <w:b/>
          <w:bCs/>
          <w:color w:val="333333"/>
          <w:kern w:val="2"/>
          <w:sz w:val="32"/>
          <w:szCs w:val="32"/>
        </w:rPr>
      </w:pPr>
      <w:r>
        <w:rPr>
          <w:rFonts w:hint="eastAsia" w:ascii="楷体_GB2312" w:hAnsi="楷体_GB2312" w:eastAsia="楷体_GB2312" w:cs="楷体_GB2312"/>
          <w:b/>
          <w:bCs/>
          <w:color w:val="333333"/>
          <w:kern w:val="2"/>
          <w:sz w:val="32"/>
          <w:szCs w:val="32"/>
        </w:rPr>
        <w:t>（二）强化监督，保障政务公开工作成效</w:t>
      </w:r>
    </w:p>
    <w:p>
      <w:pPr>
        <w:widowControl/>
        <w:shd w:val="clear" w:color="auto" w:fill="FFFFFF"/>
        <w:spacing w:line="500" w:lineRule="exact"/>
        <w:ind w:firstLine="640" w:firstLineChars="200"/>
        <w:contextualSpacing/>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在狠抓内部制约机制的同时，也抓好社会监督制约机机制的完善，建立健全长效管理机制，形成用制度规范行为，按制度办事，靠制度管人的机制，把政务公开工作与党风廉政建设相结合进行检查、考评。采取多种形式，强化监督检查工作，实行定期检查与不定期检查相结合，同时鼓励广大领导干部、群众积极参与监督，积极反映政务公开过程中存在的突出问题，使政务公开工作更加扎实。</w:t>
      </w:r>
    </w:p>
    <w:p>
      <w:pPr>
        <w:widowControl/>
        <w:shd w:val="clear" w:color="auto" w:fill="FFFFFF"/>
        <w:spacing w:line="500" w:lineRule="exact"/>
        <w:ind w:firstLine="480"/>
        <w:contextualSpacing/>
        <w:rPr>
          <w:rFonts w:ascii="黑体" w:hAnsi="黑体" w:eastAsia="黑体" w:cs="黑体"/>
          <w:color w:val="333333"/>
          <w:kern w:val="0"/>
          <w:sz w:val="32"/>
          <w:szCs w:val="32"/>
        </w:rPr>
      </w:pPr>
      <w:r>
        <w:rPr>
          <w:rFonts w:hint="eastAsia" w:ascii="黑体" w:hAnsi="黑体" w:eastAsia="黑体" w:cs="黑体"/>
          <w:color w:val="333333"/>
          <w:kern w:val="0"/>
          <w:sz w:val="32"/>
          <w:szCs w:val="32"/>
        </w:rPr>
        <w:t>二、主动公开政府信息情况</w:t>
      </w:r>
    </w:p>
    <w:tbl>
      <w:tblPr>
        <w:tblStyle w:val="5"/>
        <w:tblW w:w="9713" w:type="dxa"/>
        <w:jc w:val="center"/>
        <w:tblLayout w:type="autofit"/>
        <w:tblCellMar>
          <w:top w:w="0" w:type="dxa"/>
          <w:left w:w="0" w:type="dxa"/>
          <w:bottom w:w="0" w:type="dxa"/>
          <w:right w:w="0" w:type="dxa"/>
        </w:tblCellMar>
      </w:tblPr>
      <w:tblGrid>
        <w:gridCol w:w="2408"/>
        <w:gridCol w:w="2435"/>
        <w:gridCol w:w="2435"/>
        <w:gridCol w:w="2435"/>
      </w:tblGrid>
      <w:tr>
        <w:tblPrEx>
          <w:tblCellMar>
            <w:top w:w="0" w:type="dxa"/>
            <w:left w:w="0" w:type="dxa"/>
            <w:bottom w:w="0" w:type="dxa"/>
            <w:right w:w="0" w:type="dxa"/>
          </w:tblCellMar>
        </w:tblPrEx>
        <w:trPr>
          <w:trHeight w:val="340" w:hRule="atLeast"/>
          <w:jc w:val="center"/>
        </w:trPr>
        <w:tc>
          <w:tcPr>
            <w:tcW w:w="9713"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0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0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Cs w:val="21"/>
              </w:rPr>
              <w:t>0</w:t>
            </w:r>
          </w:p>
        </w:tc>
      </w:tr>
      <w:tr>
        <w:tblPrEx>
          <w:tblCellMar>
            <w:top w:w="0" w:type="dxa"/>
            <w:left w:w="0" w:type="dxa"/>
            <w:bottom w:w="0" w:type="dxa"/>
            <w:right w:w="0" w:type="dxa"/>
          </w:tblCellMar>
        </w:tblPrEx>
        <w:trPr>
          <w:trHeight w:val="340" w:hRule="atLeast"/>
          <w:jc w:val="center"/>
        </w:trPr>
        <w:tc>
          <w:tcPr>
            <w:tcW w:w="240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Cs w:val="21"/>
              </w:rPr>
              <w:t>0</w:t>
            </w:r>
          </w:p>
        </w:tc>
      </w:tr>
      <w:tr>
        <w:tblPrEx>
          <w:tblCellMar>
            <w:top w:w="0" w:type="dxa"/>
            <w:left w:w="0" w:type="dxa"/>
            <w:bottom w:w="0" w:type="dxa"/>
            <w:right w:w="0" w:type="dxa"/>
          </w:tblCellMar>
        </w:tblPrEx>
        <w:trPr>
          <w:trHeight w:val="340" w:hRule="atLeast"/>
          <w:jc w:val="center"/>
        </w:trPr>
        <w:tc>
          <w:tcPr>
            <w:tcW w:w="9713"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0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0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Cs w:val="21"/>
              </w:rPr>
              <w:t>0</w:t>
            </w:r>
          </w:p>
        </w:tc>
      </w:tr>
      <w:tr>
        <w:tblPrEx>
          <w:tblCellMar>
            <w:top w:w="0" w:type="dxa"/>
            <w:left w:w="0" w:type="dxa"/>
            <w:bottom w:w="0" w:type="dxa"/>
            <w:right w:w="0" w:type="dxa"/>
          </w:tblCellMar>
        </w:tblPrEx>
        <w:trPr>
          <w:trHeight w:val="340" w:hRule="atLeast"/>
          <w:jc w:val="center"/>
        </w:trPr>
        <w:tc>
          <w:tcPr>
            <w:tcW w:w="9713"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08" w:type="dxa"/>
            <w:tcBorders>
              <w:top w:val="nil"/>
              <w:left w:val="single" w:color="auto" w:sz="8" w:space="0"/>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08" w:type="dxa"/>
            <w:tcBorders>
              <w:top w:val="single" w:color="auto" w:sz="4" w:space="0"/>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7305" w:type="dxa"/>
            <w:gridSpan w:val="3"/>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1</w:t>
            </w:r>
          </w:p>
        </w:tc>
      </w:tr>
      <w:tr>
        <w:tblPrEx>
          <w:tblCellMar>
            <w:top w:w="0" w:type="dxa"/>
            <w:left w:w="0" w:type="dxa"/>
            <w:bottom w:w="0" w:type="dxa"/>
            <w:right w:w="0" w:type="dxa"/>
          </w:tblCellMar>
        </w:tblPrEx>
        <w:trPr>
          <w:trHeight w:val="340" w:hRule="atLeast"/>
          <w:jc w:val="center"/>
        </w:trPr>
        <w:tc>
          <w:tcPr>
            <w:tcW w:w="240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ind w:firstLine="3400" w:firstLineChars="1700"/>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9713"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0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0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500" w:lineRule="exact"/>
              <w:ind w:firstLine="3480" w:firstLineChars="1450"/>
              <w:contextualSpacing/>
              <w:jc w:val="center"/>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spacing w:line="500" w:lineRule="exact"/>
        <w:contextualSpacing/>
        <w:jc w:val="left"/>
        <w:rPr>
          <w:rFonts w:ascii="宋体" w:hAnsi="宋体" w:eastAsia="宋体" w:cs="宋体"/>
          <w:b/>
          <w:bCs/>
          <w:color w:val="333333"/>
          <w:kern w:val="0"/>
          <w:sz w:val="24"/>
          <w:szCs w:val="24"/>
        </w:rPr>
      </w:pPr>
      <w:r>
        <w:rPr>
          <w:rFonts w:hint="eastAsia" w:ascii="黑体" w:hAnsi="黑体" w:eastAsia="黑体" w:cs="黑体"/>
          <w:color w:val="333333"/>
          <w:kern w:val="0"/>
          <w:sz w:val="32"/>
          <w:szCs w:val="32"/>
        </w:rPr>
        <w:t>三、收到和处理政府信息公开申请情况</w:t>
      </w:r>
    </w:p>
    <w:tbl>
      <w:tblPr>
        <w:tblStyle w:val="5"/>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left"/>
              <w:rPr>
                <w:rFonts w:ascii="宋体" w:hAnsi="宋体" w:eastAsia="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714"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00" w:lineRule="exact"/>
              <w:contextualSpacing/>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商业</w:t>
            </w:r>
          </w:p>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科研</w:t>
            </w:r>
          </w:p>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spacing w:line="500" w:lineRule="exact"/>
              <w:contextualSpacing/>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14" w:type="dxa"/>
            <w:tcBorders>
              <w:top w:val="single" w:color="auto" w:sz="8"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8"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8"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8"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8"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8"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8"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85" w:type="dxa"/>
            <w:vMerge w:val="restart"/>
            <w:tcBorders>
              <w:top w:val="single" w:color="auto" w:sz="4" w:space="0"/>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4365" w:type="dxa"/>
            <w:gridSpan w:val="2"/>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（一）予以公开</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4365" w:type="dxa"/>
            <w:gridSpan w:val="2"/>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959" w:type="dxa"/>
            <w:vMerge w:val="restart"/>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（三）不予公开</w:t>
            </w:r>
          </w:p>
        </w:tc>
        <w:tc>
          <w:tcPr>
            <w:tcW w:w="3406" w:type="dxa"/>
            <w:tcBorders>
              <w:top w:val="single" w:color="auto" w:sz="4" w:space="0"/>
              <w:left w:val="nil"/>
              <w:bottom w:val="single" w:color="auto" w:sz="4" w:space="0"/>
              <w:right w:val="single" w:color="auto" w:sz="8" w:space="0"/>
            </w:tcBorders>
            <w:tcMar>
              <w:top w:w="0" w:type="dxa"/>
              <w:left w:w="57" w:type="dxa"/>
              <w:bottom w:w="0" w:type="dxa"/>
              <w:right w:w="57" w:type="dxa"/>
            </w:tcMa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1.属于国家秘密</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0" w:type="auto"/>
            <w:vMerge w:val="continue"/>
            <w:tcBorders>
              <w:top w:val="inset" w:color="auto" w:sz="8" w:space="0"/>
              <w:left w:val="nil"/>
              <w:bottom w:val="single" w:color="auto" w:sz="4"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3406" w:type="dxa"/>
            <w:tcBorders>
              <w:top w:val="single" w:color="auto" w:sz="4" w:space="0"/>
              <w:left w:val="nil"/>
              <w:bottom w:val="single" w:color="auto" w:sz="8" w:space="0"/>
              <w:right w:val="single" w:color="auto" w:sz="8" w:space="0"/>
            </w:tcBorders>
            <w:tcMar>
              <w:top w:w="0" w:type="dxa"/>
              <w:left w:w="57" w:type="dxa"/>
              <w:bottom w:w="0" w:type="dxa"/>
              <w:right w:w="57" w:type="dxa"/>
            </w:tcMa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2.其他法律行政法规禁止公开</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0" w:type="auto"/>
            <w:vMerge w:val="continue"/>
            <w:tcBorders>
              <w:top w:val="inset" w:color="auto" w:sz="8" w:space="0"/>
              <w:left w:val="nil"/>
              <w:bottom w:val="single" w:color="auto" w:sz="4"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3.危及“三安全一稳定”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0" w:type="auto"/>
            <w:vMerge w:val="continue"/>
            <w:tcBorders>
              <w:top w:val="inset" w:color="auto" w:sz="8" w:space="0"/>
              <w:left w:val="nil"/>
              <w:bottom w:val="single" w:color="auto" w:sz="4"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4.保护第三方合法权益</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0" w:type="auto"/>
            <w:vMerge w:val="continue"/>
            <w:tcBorders>
              <w:top w:val="inset" w:color="auto" w:sz="8" w:space="0"/>
              <w:left w:val="nil"/>
              <w:bottom w:val="single" w:color="auto" w:sz="4"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3406" w:type="dxa"/>
            <w:tcBorders>
              <w:top w:val="nil"/>
              <w:left w:val="nil"/>
              <w:bottom w:val="single" w:color="auto" w:sz="4" w:space="0"/>
              <w:right w:val="single" w:color="auto" w:sz="8" w:space="0"/>
            </w:tcBorders>
            <w:tcMar>
              <w:top w:w="0" w:type="dxa"/>
              <w:left w:w="57" w:type="dxa"/>
              <w:bottom w:w="0" w:type="dxa"/>
              <w:right w:w="57" w:type="dxa"/>
            </w:tcMa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5.属于三类内部事务信息</w:t>
            </w:r>
          </w:p>
        </w:tc>
        <w:tc>
          <w:tcPr>
            <w:tcW w:w="714"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0" w:type="auto"/>
            <w:vMerge w:val="continue"/>
            <w:tcBorders>
              <w:top w:val="inset" w:color="auto" w:sz="8" w:space="0"/>
              <w:left w:val="nil"/>
              <w:bottom w:val="single" w:color="auto" w:sz="4"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3406" w:type="dxa"/>
            <w:tcBorders>
              <w:top w:val="single" w:color="auto" w:sz="4" w:space="0"/>
              <w:left w:val="nil"/>
              <w:bottom w:val="single" w:color="auto" w:sz="4" w:space="0"/>
              <w:right w:val="single" w:color="auto" w:sz="8" w:space="0"/>
            </w:tcBorders>
            <w:tcMar>
              <w:top w:w="0" w:type="dxa"/>
              <w:left w:w="57" w:type="dxa"/>
              <w:bottom w:w="0" w:type="dxa"/>
              <w:right w:w="57" w:type="dxa"/>
            </w:tcMa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6.属于四类过程性信息</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0" w:type="auto"/>
            <w:vMerge w:val="continue"/>
            <w:tcBorders>
              <w:top w:val="inset" w:color="auto" w:sz="8" w:space="0"/>
              <w:left w:val="nil"/>
              <w:bottom w:val="single" w:color="auto" w:sz="4"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3406" w:type="dxa"/>
            <w:tcBorders>
              <w:top w:val="single" w:color="auto" w:sz="4" w:space="0"/>
              <w:left w:val="nil"/>
              <w:bottom w:val="single" w:color="auto" w:sz="8" w:space="0"/>
              <w:right w:val="single" w:color="auto" w:sz="8" w:space="0"/>
            </w:tcBorders>
            <w:tcMar>
              <w:top w:w="0" w:type="dxa"/>
              <w:left w:w="57" w:type="dxa"/>
              <w:bottom w:w="0" w:type="dxa"/>
              <w:right w:w="57" w:type="dxa"/>
            </w:tcMa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7.属于行政执法案卷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0" w:type="auto"/>
            <w:vMerge w:val="continue"/>
            <w:tcBorders>
              <w:top w:val="inset" w:color="auto" w:sz="8" w:space="0"/>
              <w:left w:val="nil"/>
              <w:bottom w:val="single" w:color="auto" w:sz="4"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8.属于行政查询事项</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959" w:type="dxa"/>
            <w:vMerge w:val="restart"/>
            <w:tcBorders>
              <w:top w:val="single" w:color="auto" w:sz="4" w:space="0"/>
              <w:left w:val="nil"/>
              <w:bottom w:val="inset" w:color="auto" w:sz="8" w:space="0"/>
              <w:right w:val="single" w:color="auto" w:sz="8" w:space="0"/>
            </w:tcBorders>
            <w:tcMar>
              <w:top w:w="0" w:type="dxa"/>
              <w:left w:w="57" w:type="dxa"/>
              <w:bottom w:w="0" w:type="dxa"/>
              <w:right w:w="57" w:type="dxa"/>
            </w:tcMar>
            <w:vAlign w:val="cente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（四）无法提供</w:t>
            </w:r>
          </w:p>
        </w:tc>
        <w:tc>
          <w:tcPr>
            <w:tcW w:w="3406" w:type="dxa"/>
            <w:tcBorders>
              <w:top w:val="nil"/>
              <w:left w:val="nil"/>
              <w:bottom w:val="single" w:color="auto" w:sz="4" w:space="0"/>
              <w:right w:val="single" w:color="auto" w:sz="8" w:space="0"/>
            </w:tcBorders>
            <w:tcMar>
              <w:top w:w="0" w:type="dxa"/>
              <w:left w:w="57" w:type="dxa"/>
              <w:bottom w:w="0" w:type="dxa"/>
              <w:right w:w="57" w:type="dxa"/>
            </w:tcMa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1.本机关不掌握相关政府信息</w:t>
            </w:r>
          </w:p>
        </w:tc>
        <w:tc>
          <w:tcPr>
            <w:tcW w:w="714"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3406" w:type="dxa"/>
            <w:tcBorders>
              <w:top w:val="single" w:color="auto" w:sz="4" w:space="0"/>
              <w:left w:val="nil"/>
              <w:bottom w:val="single" w:color="auto" w:sz="8" w:space="0"/>
              <w:right w:val="single" w:color="auto" w:sz="8" w:space="0"/>
            </w:tcBorders>
            <w:tcMar>
              <w:top w:w="0" w:type="dxa"/>
              <w:left w:w="57" w:type="dxa"/>
              <w:bottom w:w="0" w:type="dxa"/>
              <w:right w:w="57" w:type="dxa"/>
            </w:tcMa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2.没有现成信息需要另行制作</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1.信访举报投诉类申请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2.重复申请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3.要求提供公开出版物</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340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500" w:lineRule="exact"/>
              <w:contextualSpacing/>
              <w:rPr>
                <w:rFonts w:ascii="宋体" w:hAnsi="宋体" w:eastAsia="宋体" w:cs="宋体"/>
                <w:kern w:val="0"/>
                <w:sz w:val="24"/>
                <w:szCs w:val="24"/>
              </w:rPr>
            </w:pPr>
            <w:r>
              <w:rPr>
                <w:rFonts w:hint="eastAsia" w:ascii="宋体" w:hAnsi="宋体" w:eastAsia="宋体" w:cs="宋体"/>
                <w:kern w:val="0"/>
                <w:sz w:val="20"/>
                <w:szCs w:val="20"/>
              </w:rPr>
              <w:t>5.要求行政机关确认或重新出具已获取信息</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（六）其他处理</w:t>
            </w:r>
          </w:p>
        </w:tc>
        <w:tc>
          <w:tcPr>
            <w:tcW w:w="3406"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500" w:lineRule="exact"/>
              <w:contextualSpacing/>
              <w:rPr>
                <w:rFonts w:ascii="宋体" w:hAnsi="宋体" w:eastAsia="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3406"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rPr>
                <w:rFonts w:ascii="宋体" w:hAnsi="宋体" w:eastAsia="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3.其他</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inset" w:color="auto" w:sz="8" w:space="0"/>
              <w:left w:val="single" w:color="auto" w:sz="8" w:space="0"/>
              <w:bottom w:val="inset"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shd w:val="clear" w:color="auto" w:fill="FFFFFF"/>
        <w:spacing w:line="500" w:lineRule="exact"/>
        <w:ind w:firstLine="480"/>
        <w:contextualSpacing/>
        <w:rPr>
          <w:rFonts w:ascii="黑体" w:hAnsi="黑体" w:eastAsia="黑体" w:cs="黑体"/>
          <w:color w:val="333333"/>
          <w:kern w:val="0"/>
          <w:sz w:val="32"/>
          <w:szCs w:val="32"/>
        </w:rPr>
      </w:pPr>
      <w:r>
        <w:rPr>
          <w:rFonts w:hint="eastAsia" w:ascii="黑体" w:hAnsi="黑体" w:eastAsia="黑体" w:cs="黑体"/>
          <w:color w:val="333333"/>
          <w:kern w:val="0"/>
          <w:sz w:val="32"/>
          <w:szCs w:val="32"/>
        </w:rPr>
        <w:t>四、政府信息公开行政复议、行政诉讼情况</w:t>
      </w: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500" w:lineRule="exact"/>
              <w:contextualSpacing/>
              <w:jc w:val="left"/>
              <w:rPr>
                <w:rFonts w:ascii="宋体" w:hAnsi="宋体" w:eastAsia="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其他</w:t>
            </w:r>
          </w:p>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bookmarkStart w:id="0" w:name="_GoBack"/>
            <w:bookmarkEnd w:id="0"/>
            <w:r>
              <w:rPr>
                <w:rFonts w:hint="eastAsia" w:ascii="宋体" w:hAnsi="宋体" w:eastAsia="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contextualSpacing/>
              <w:jc w:val="center"/>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shd w:val="clear" w:color="auto" w:fill="FFFFFF"/>
        <w:spacing w:line="500" w:lineRule="exact"/>
        <w:ind w:firstLine="640" w:firstLineChars="200"/>
        <w:contextualSpacing/>
        <w:rPr>
          <w:rFonts w:ascii="黑体" w:hAnsi="黑体" w:eastAsia="黑体" w:cs="黑体"/>
          <w:color w:val="333333"/>
          <w:kern w:val="0"/>
          <w:sz w:val="32"/>
          <w:szCs w:val="32"/>
        </w:rPr>
      </w:pPr>
      <w:r>
        <w:rPr>
          <w:rFonts w:hint="eastAsia" w:ascii="黑体" w:hAnsi="黑体" w:eastAsia="黑体" w:cs="黑体"/>
          <w:color w:val="333333"/>
          <w:kern w:val="0"/>
          <w:sz w:val="32"/>
          <w:szCs w:val="32"/>
        </w:rPr>
        <w:t>五、存在的主要问题及改进情况</w:t>
      </w:r>
    </w:p>
    <w:p>
      <w:pPr>
        <w:pStyle w:val="4"/>
        <w:shd w:val="clear" w:color="auto" w:fill="FFFFFF"/>
        <w:spacing w:before="0" w:beforeAutospacing="0" w:after="0" w:afterAutospacing="0" w:line="500" w:lineRule="exact"/>
        <w:ind w:firstLine="640" w:firstLineChars="200"/>
        <w:contextualSpacing/>
        <w:jc w:val="both"/>
        <w:rPr>
          <w:rFonts w:ascii="仿宋_GB2312" w:hAnsi="仿宋_GB2312" w:eastAsia="仿宋_GB2312" w:cs="仿宋_GB2312"/>
          <w:color w:val="333333"/>
          <w:kern w:val="2"/>
          <w:sz w:val="32"/>
          <w:szCs w:val="32"/>
        </w:rPr>
      </w:pPr>
      <w:r>
        <w:rPr>
          <w:rFonts w:hint="eastAsia" w:ascii="仿宋_GB2312" w:hAnsi="仿宋_GB2312" w:eastAsia="仿宋_GB2312" w:cs="仿宋_GB2312"/>
          <w:color w:val="333333"/>
          <w:kern w:val="2"/>
          <w:sz w:val="32"/>
          <w:szCs w:val="32"/>
        </w:rPr>
        <w:t>2022年民政局政务公开工作存在的主要问题：一是政策解读的方式还需要更加丰富多样；二是依申请公开答复文书格式有待进一步规范。</w:t>
      </w:r>
    </w:p>
    <w:p>
      <w:pPr>
        <w:widowControl/>
        <w:shd w:val="clear" w:color="auto" w:fill="FFFFFF"/>
        <w:spacing w:line="500" w:lineRule="exact"/>
        <w:ind w:firstLine="640" w:firstLineChars="200"/>
        <w:contextualSpacing/>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2023年，民政局将以习近平新时代中国特色社会主义思想为指导，深入贯彻上级关于政务公开工作的决策部署，准确把握政务公开工作面临的新形势新任</w:t>
      </w:r>
      <w:r>
        <w:rPr>
          <w:rFonts w:hint="eastAsia" w:ascii="仿宋_GB2312" w:hAnsi="仿宋_GB2312" w:eastAsia="仿宋_GB2312" w:cs="仿宋_GB2312"/>
          <w:color w:val="333333"/>
          <w:sz w:val="32"/>
          <w:szCs w:val="32"/>
        </w:rPr>
        <w:t>务，坚持以公开为常态、不公开为例外，继续稳妥扎实做好政府信息公开工作。一是完善信息公开制度，修订政府信息公开有关制度办法；二是进一步加强政府</w:t>
      </w:r>
      <w:r>
        <w:rPr>
          <w:rFonts w:hint="eastAsia" w:ascii="仿宋_GB2312" w:hAnsi="仿宋_GB2312" w:eastAsia="仿宋_GB2312" w:cs="仿宋_GB2312"/>
          <w:color w:val="333333"/>
          <w:kern w:val="0"/>
          <w:sz w:val="32"/>
          <w:szCs w:val="32"/>
        </w:rPr>
        <w:t>信息公开平台管理，使其成为公众便捷、全面获取重点政府信息的权威渠道；</w:t>
      </w:r>
      <w:r>
        <w:rPr>
          <w:rFonts w:hint="eastAsia" w:ascii="仿宋_GB2312" w:hAnsi="仿宋_GB2312" w:eastAsia="仿宋_GB2312" w:cs="仿宋_GB2312"/>
          <w:bCs/>
          <w:color w:val="333333"/>
          <w:kern w:val="0"/>
          <w:sz w:val="32"/>
          <w:szCs w:val="32"/>
        </w:rPr>
        <w:t>三是</w:t>
      </w:r>
      <w:r>
        <w:rPr>
          <w:rFonts w:hint="eastAsia" w:ascii="仿宋_GB2312" w:hAnsi="仿宋_GB2312" w:eastAsia="仿宋_GB2312" w:cs="仿宋_GB2312"/>
          <w:color w:val="333333"/>
          <w:kern w:val="0"/>
          <w:sz w:val="32"/>
          <w:szCs w:val="32"/>
        </w:rPr>
        <w:t>进一步加强政策宣传解读的针对性、时效性；</w:t>
      </w:r>
      <w:r>
        <w:rPr>
          <w:rFonts w:hint="eastAsia" w:ascii="仿宋_GB2312" w:hAnsi="仿宋_GB2312" w:eastAsia="仿宋_GB2312" w:cs="仿宋_GB2312"/>
          <w:bCs/>
          <w:color w:val="333333"/>
          <w:kern w:val="0"/>
          <w:sz w:val="32"/>
          <w:szCs w:val="32"/>
        </w:rPr>
        <w:t>四是</w:t>
      </w:r>
      <w:r>
        <w:rPr>
          <w:rFonts w:hint="eastAsia" w:ascii="仿宋_GB2312" w:hAnsi="仿宋_GB2312" w:eastAsia="仿宋_GB2312" w:cs="仿宋_GB2312"/>
          <w:color w:val="333333"/>
          <w:kern w:val="0"/>
          <w:sz w:val="32"/>
          <w:szCs w:val="32"/>
        </w:rPr>
        <w:t>进一步加强依申请公开工作，规范答复文书格式。</w:t>
      </w:r>
    </w:p>
    <w:p>
      <w:pPr>
        <w:widowControl/>
        <w:shd w:val="clear" w:color="auto" w:fill="FFFFFF"/>
        <w:spacing w:line="500" w:lineRule="exact"/>
        <w:ind w:firstLine="640" w:firstLineChars="200"/>
        <w:contextualSpacing/>
        <w:rPr>
          <w:rFonts w:ascii="黑体" w:hAnsi="黑体" w:eastAsia="黑体" w:cs="黑体"/>
          <w:color w:val="333333"/>
          <w:kern w:val="0"/>
          <w:sz w:val="32"/>
          <w:szCs w:val="32"/>
        </w:rPr>
      </w:pPr>
      <w:r>
        <w:rPr>
          <w:rFonts w:hint="eastAsia" w:ascii="黑体" w:hAnsi="黑体" w:eastAsia="黑体" w:cs="黑体"/>
          <w:color w:val="333333"/>
          <w:kern w:val="0"/>
          <w:sz w:val="32"/>
          <w:szCs w:val="32"/>
        </w:rPr>
        <w:t>六、其他需要报告的事项</w:t>
      </w:r>
    </w:p>
    <w:p>
      <w:pPr>
        <w:pStyle w:val="4"/>
        <w:shd w:val="clear" w:color="auto" w:fill="FFFFFF"/>
        <w:spacing w:before="0" w:beforeAutospacing="0" w:after="0" w:afterAutospacing="0" w:line="500" w:lineRule="exact"/>
        <w:ind w:firstLine="480"/>
        <w:contextualSpacing/>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认真贯彻执行国务院办公厅《政府信息公开信息处理费管理办法》和《关于政府信息公开处理费管理有关事项的通知》。2022年我单位未收取信息处理费。</w:t>
      </w:r>
    </w:p>
    <w:p>
      <w:pPr>
        <w:pStyle w:val="4"/>
        <w:shd w:val="clear" w:color="auto" w:fill="FFFFFF"/>
        <w:spacing w:before="0" w:beforeAutospacing="0" w:after="0" w:afterAutospacing="0" w:line="500" w:lineRule="exact"/>
        <w:ind w:firstLine="480"/>
        <w:contextualSpacing/>
        <w:jc w:val="both"/>
        <w:rPr>
          <w:rFonts w:ascii="仿宋_GB2312" w:hAnsi="仿宋_GB2312" w:eastAsia="仿宋_GB2312" w:cs="仿宋_GB2312"/>
          <w:color w:val="333333"/>
          <w:sz w:val="32"/>
          <w:szCs w:val="32"/>
        </w:rPr>
      </w:pPr>
    </w:p>
    <w:p>
      <w:pPr>
        <w:pStyle w:val="4"/>
        <w:shd w:val="clear" w:color="auto" w:fill="FFFFFF"/>
        <w:spacing w:before="0" w:beforeAutospacing="0" w:after="0" w:afterAutospacing="0" w:line="500" w:lineRule="exact"/>
        <w:ind w:firstLine="5760" w:firstLineChars="1800"/>
        <w:contextualSpacing/>
        <w:jc w:val="both"/>
        <w:rPr>
          <w:rFonts w:ascii="仿宋_GB2312" w:hAnsi="仿宋_GB2312" w:eastAsia="仿宋_GB2312" w:cs="仿宋_GB2312"/>
          <w:color w:val="333333"/>
          <w:kern w:val="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hlNzY1OGY2YjIxNmMxZmEyNGJkZTMwOGY2YjkwOWEifQ=="/>
  </w:docVars>
  <w:rsids>
    <w:rsidRoot w:val="00640F26"/>
    <w:rsid w:val="0001050C"/>
    <w:rsid w:val="000340A8"/>
    <w:rsid w:val="00051B57"/>
    <w:rsid w:val="000B2A80"/>
    <w:rsid w:val="000B5EF0"/>
    <w:rsid w:val="000D280E"/>
    <w:rsid w:val="000D3D87"/>
    <w:rsid w:val="000E0154"/>
    <w:rsid w:val="000E0574"/>
    <w:rsid w:val="000E6DAC"/>
    <w:rsid w:val="000E74D0"/>
    <w:rsid w:val="0010691D"/>
    <w:rsid w:val="00116D23"/>
    <w:rsid w:val="00120475"/>
    <w:rsid w:val="00131D62"/>
    <w:rsid w:val="0014143B"/>
    <w:rsid w:val="00163F02"/>
    <w:rsid w:val="001829F2"/>
    <w:rsid w:val="0018704D"/>
    <w:rsid w:val="001C4F79"/>
    <w:rsid w:val="001F4EBD"/>
    <w:rsid w:val="00244243"/>
    <w:rsid w:val="00257F7E"/>
    <w:rsid w:val="00277142"/>
    <w:rsid w:val="002808F9"/>
    <w:rsid w:val="00283287"/>
    <w:rsid w:val="00287933"/>
    <w:rsid w:val="00296B9B"/>
    <w:rsid w:val="002B2126"/>
    <w:rsid w:val="002B5D6E"/>
    <w:rsid w:val="002C21CD"/>
    <w:rsid w:val="002C484F"/>
    <w:rsid w:val="002F2087"/>
    <w:rsid w:val="00301D57"/>
    <w:rsid w:val="0030257D"/>
    <w:rsid w:val="00326266"/>
    <w:rsid w:val="00333084"/>
    <w:rsid w:val="00346099"/>
    <w:rsid w:val="003544D6"/>
    <w:rsid w:val="003A181E"/>
    <w:rsid w:val="003B5154"/>
    <w:rsid w:val="003D3029"/>
    <w:rsid w:val="003D6F58"/>
    <w:rsid w:val="00400FC6"/>
    <w:rsid w:val="0042292E"/>
    <w:rsid w:val="00436EAF"/>
    <w:rsid w:val="00440E41"/>
    <w:rsid w:val="00453FE8"/>
    <w:rsid w:val="004633C2"/>
    <w:rsid w:val="00474D7C"/>
    <w:rsid w:val="004834B7"/>
    <w:rsid w:val="004A7186"/>
    <w:rsid w:val="004C0B18"/>
    <w:rsid w:val="004D2547"/>
    <w:rsid w:val="004E15BC"/>
    <w:rsid w:val="004E57BE"/>
    <w:rsid w:val="004E6DB2"/>
    <w:rsid w:val="00513700"/>
    <w:rsid w:val="005152A6"/>
    <w:rsid w:val="0054225A"/>
    <w:rsid w:val="0054767B"/>
    <w:rsid w:val="005944DB"/>
    <w:rsid w:val="00597399"/>
    <w:rsid w:val="005B2552"/>
    <w:rsid w:val="005C76D1"/>
    <w:rsid w:val="005E64A3"/>
    <w:rsid w:val="005F44BB"/>
    <w:rsid w:val="005F5854"/>
    <w:rsid w:val="005F7B97"/>
    <w:rsid w:val="00623F38"/>
    <w:rsid w:val="00626C46"/>
    <w:rsid w:val="0063283B"/>
    <w:rsid w:val="00636500"/>
    <w:rsid w:val="00640F26"/>
    <w:rsid w:val="00657DBF"/>
    <w:rsid w:val="00665A80"/>
    <w:rsid w:val="00672192"/>
    <w:rsid w:val="006B3F59"/>
    <w:rsid w:val="006C242F"/>
    <w:rsid w:val="006C4875"/>
    <w:rsid w:val="006D2246"/>
    <w:rsid w:val="006E7AB1"/>
    <w:rsid w:val="0071699C"/>
    <w:rsid w:val="00727D93"/>
    <w:rsid w:val="00785214"/>
    <w:rsid w:val="00791BD7"/>
    <w:rsid w:val="007A3D27"/>
    <w:rsid w:val="007C1D69"/>
    <w:rsid w:val="00832D43"/>
    <w:rsid w:val="00836ED4"/>
    <w:rsid w:val="00840015"/>
    <w:rsid w:val="008622F9"/>
    <w:rsid w:val="008637A2"/>
    <w:rsid w:val="00871090"/>
    <w:rsid w:val="0088372E"/>
    <w:rsid w:val="008B7F3B"/>
    <w:rsid w:val="008C0FDF"/>
    <w:rsid w:val="008C50DE"/>
    <w:rsid w:val="008D4EDF"/>
    <w:rsid w:val="00917F78"/>
    <w:rsid w:val="00925ABC"/>
    <w:rsid w:val="00931919"/>
    <w:rsid w:val="009575E5"/>
    <w:rsid w:val="0098223C"/>
    <w:rsid w:val="00983746"/>
    <w:rsid w:val="00984E23"/>
    <w:rsid w:val="00995047"/>
    <w:rsid w:val="009A7C9D"/>
    <w:rsid w:val="009F1C24"/>
    <w:rsid w:val="00A0539E"/>
    <w:rsid w:val="00A05C08"/>
    <w:rsid w:val="00A07673"/>
    <w:rsid w:val="00A22375"/>
    <w:rsid w:val="00A31127"/>
    <w:rsid w:val="00A40124"/>
    <w:rsid w:val="00A43822"/>
    <w:rsid w:val="00A936CD"/>
    <w:rsid w:val="00AA132D"/>
    <w:rsid w:val="00AD23A3"/>
    <w:rsid w:val="00B308F0"/>
    <w:rsid w:val="00B3166F"/>
    <w:rsid w:val="00B519EE"/>
    <w:rsid w:val="00B61BB2"/>
    <w:rsid w:val="00B61D39"/>
    <w:rsid w:val="00B63224"/>
    <w:rsid w:val="00B800E0"/>
    <w:rsid w:val="00B92C21"/>
    <w:rsid w:val="00B941D5"/>
    <w:rsid w:val="00BC3634"/>
    <w:rsid w:val="00BD1962"/>
    <w:rsid w:val="00BE0567"/>
    <w:rsid w:val="00C00384"/>
    <w:rsid w:val="00C33F93"/>
    <w:rsid w:val="00C37D39"/>
    <w:rsid w:val="00C550AA"/>
    <w:rsid w:val="00C55D43"/>
    <w:rsid w:val="00C7030B"/>
    <w:rsid w:val="00C74A1B"/>
    <w:rsid w:val="00C97876"/>
    <w:rsid w:val="00CB3759"/>
    <w:rsid w:val="00CE64C9"/>
    <w:rsid w:val="00D06EF4"/>
    <w:rsid w:val="00D14CD3"/>
    <w:rsid w:val="00D214E6"/>
    <w:rsid w:val="00D41439"/>
    <w:rsid w:val="00D80543"/>
    <w:rsid w:val="00D911F9"/>
    <w:rsid w:val="00D917C8"/>
    <w:rsid w:val="00DA6465"/>
    <w:rsid w:val="00DB5530"/>
    <w:rsid w:val="00DC6250"/>
    <w:rsid w:val="00DD31B0"/>
    <w:rsid w:val="00DD56AE"/>
    <w:rsid w:val="00E3200D"/>
    <w:rsid w:val="00E454C4"/>
    <w:rsid w:val="00E73D57"/>
    <w:rsid w:val="00E77FFE"/>
    <w:rsid w:val="00E9194E"/>
    <w:rsid w:val="00EC0806"/>
    <w:rsid w:val="00ED4B63"/>
    <w:rsid w:val="00F15ACB"/>
    <w:rsid w:val="00F55D55"/>
    <w:rsid w:val="00F624DF"/>
    <w:rsid w:val="00F911AC"/>
    <w:rsid w:val="00F927C9"/>
    <w:rsid w:val="00FB2F77"/>
    <w:rsid w:val="00FB3E80"/>
    <w:rsid w:val="00FD5411"/>
    <w:rsid w:val="00FE780E"/>
    <w:rsid w:val="080556F1"/>
    <w:rsid w:val="5F412B72"/>
    <w:rsid w:val="64D241D5"/>
    <w:rsid w:val="67521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000FF" w:themeColor="hyperlink"/>
      <w:u w:val="single"/>
    </w:rPr>
  </w:style>
  <w:style w:type="paragraph" w:styleId="8">
    <w:name w:val="List Paragraph"/>
    <w:basedOn w:val="1"/>
    <w:qFormat/>
    <w:uiPriority w:val="34"/>
    <w:pPr>
      <w:ind w:firstLine="420" w:firstLineChars="200"/>
    </w:pPr>
  </w:style>
  <w:style w:type="character" w:customStyle="1" w:styleId="9">
    <w:name w:val="页眉 Char"/>
    <w:basedOn w:val="6"/>
    <w:link w:val="3"/>
    <w:semiHidden/>
    <w:uiPriority w:val="99"/>
    <w:rPr>
      <w:sz w:val="18"/>
      <w:szCs w:val="18"/>
    </w:rPr>
  </w:style>
  <w:style w:type="character" w:customStyle="1" w:styleId="10">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1830</Words>
  <Characters>1864</Characters>
  <Lines>16</Lines>
  <Paragraphs>4</Paragraphs>
  <TotalTime>165</TotalTime>
  <ScaleCrop>false</ScaleCrop>
  <LinksUpToDate>false</LinksUpToDate>
  <CharactersWithSpaces>1930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2022-01-19T08:23:00Z</dcterms:created>
  <dc:creator>Administrator</dc:creator>
  <cp:lastModifiedBy>八爪小鱼</cp:lastModifiedBy>
  <dcterms:modified xsi:type="dcterms:W3CDTF">2023-03-30T09:05:13Z</dcterms:modified>
  <cp:revision>286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ABCAE8A2510C461DBEA3C4AEB586AC8C</vt:lpwstr>
  </property>
</Properties>
</file>