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涞水县国家电子商务进农村综合示范项目2</w:t>
      </w:r>
      <w:r>
        <w:rPr>
          <w:rFonts w:asciiTheme="majorEastAsia" w:hAnsiTheme="majorEastAsia" w:eastAsiaTheme="majorEastAsia"/>
          <w:b/>
          <w:sz w:val="44"/>
          <w:szCs w:val="44"/>
        </w:rPr>
        <w:t>02</w:t>
      </w:r>
      <w:r>
        <w:rPr>
          <w:rFonts w:hint="eastAsia" w:asciiTheme="majorEastAsia" w:hAnsiTheme="majorEastAsia" w:eastAsiaTheme="majorEastAsia"/>
          <w:b/>
          <w:sz w:val="44"/>
          <w:szCs w:val="44"/>
          <w:lang w:val="en-US" w:eastAsia="zh-CN"/>
        </w:rPr>
        <w:t>2</w:t>
      </w:r>
      <w:r>
        <w:rPr>
          <w:rFonts w:hint="eastAsia" w:asciiTheme="majorEastAsia" w:hAnsiTheme="majorEastAsia" w:eastAsiaTheme="majorEastAsia"/>
          <w:b/>
          <w:sz w:val="44"/>
          <w:szCs w:val="44"/>
        </w:rPr>
        <w:t>年</w:t>
      </w:r>
      <w:r>
        <w:rPr>
          <w:rFonts w:hint="eastAsia" w:asciiTheme="majorEastAsia" w:hAnsiTheme="majorEastAsia" w:eastAsiaTheme="majorEastAsia"/>
          <w:b/>
          <w:sz w:val="44"/>
          <w:szCs w:val="44"/>
          <w:lang w:val="en-US" w:eastAsia="zh-CN"/>
        </w:rPr>
        <w:t>10</w:t>
      </w:r>
      <w:r>
        <w:rPr>
          <w:rFonts w:hint="eastAsia" w:asciiTheme="majorEastAsia" w:hAnsiTheme="majorEastAsia" w:eastAsiaTheme="majorEastAsia"/>
          <w:b/>
          <w:sz w:val="44"/>
          <w:szCs w:val="44"/>
        </w:rPr>
        <w:t>月</w:t>
      </w:r>
      <w:r>
        <w:rPr>
          <w:rFonts w:hint="eastAsia" w:asciiTheme="majorEastAsia" w:hAnsiTheme="majorEastAsia" w:eastAsiaTheme="majorEastAsia"/>
          <w:b/>
          <w:sz w:val="44"/>
          <w:szCs w:val="44"/>
          <w:lang w:val="en-US" w:eastAsia="zh-CN"/>
        </w:rPr>
        <w:t>-12月</w:t>
      </w:r>
      <w:r>
        <w:rPr>
          <w:rFonts w:hint="eastAsia" w:asciiTheme="majorEastAsia" w:hAnsiTheme="majorEastAsia" w:eastAsiaTheme="majorEastAsia"/>
          <w:b/>
          <w:sz w:val="44"/>
          <w:szCs w:val="44"/>
        </w:rPr>
        <w:t>资金拨付与项目进度公示</w:t>
      </w:r>
    </w:p>
    <w:tbl>
      <w:tblPr>
        <w:tblStyle w:val="5"/>
        <w:tblW w:w="22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803"/>
        <w:gridCol w:w="2880"/>
        <w:gridCol w:w="1924"/>
        <w:gridCol w:w="1665"/>
        <w:gridCol w:w="1455"/>
        <w:gridCol w:w="1715"/>
        <w:gridCol w:w="2708"/>
        <w:gridCol w:w="1696"/>
        <w:gridCol w:w="166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62"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项目名称</w:t>
            </w:r>
          </w:p>
        </w:tc>
        <w:tc>
          <w:tcPr>
            <w:tcW w:w="2803" w:type="dxa"/>
            <w:vMerge w:val="restart"/>
            <w:vAlign w:val="center"/>
          </w:tcPr>
          <w:p>
            <w:pPr>
              <w:spacing w:after="0" w:line="220" w:lineRule="atLeast"/>
              <w:jc w:val="center"/>
            </w:pPr>
            <w:r>
              <w:rPr>
                <w:rFonts w:hint="eastAsia" w:ascii="仿宋" w:hAnsi="仿宋" w:eastAsia="仿宋"/>
                <w:b/>
                <w:sz w:val="28"/>
                <w:szCs w:val="24"/>
              </w:rPr>
              <w:t>决策文件</w:t>
            </w:r>
          </w:p>
        </w:tc>
        <w:tc>
          <w:tcPr>
            <w:tcW w:w="2880"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建设内容和要求</w:t>
            </w:r>
          </w:p>
        </w:tc>
        <w:tc>
          <w:tcPr>
            <w:tcW w:w="1924"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扶持资金额度</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66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已拨付金额</w:t>
            </w:r>
          </w:p>
          <w:p>
            <w:pPr>
              <w:spacing w:after="0" w:line="220" w:lineRule="atLeast"/>
              <w:jc w:val="center"/>
              <w:rPr>
                <w:rFonts w:ascii="仿宋" w:hAnsi="仿宋" w:eastAsia="仿宋"/>
                <w:b/>
                <w:sz w:val="28"/>
                <w:szCs w:val="24"/>
              </w:rPr>
            </w:pPr>
            <w:r>
              <w:rPr>
                <w:rFonts w:hint="eastAsia" w:ascii="仿宋" w:hAnsi="仿宋" w:eastAsia="仿宋"/>
                <w:b/>
                <w:sz w:val="28"/>
                <w:szCs w:val="24"/>
              </w:rPr>
              <w:t>（万元）</w:t>
            </w:r>
          </w:p>
        </w:tc>
        <w:tc>
          <w:tcPr>
            <w:tcW w:w="145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完成时限</w:t>
            </w:r>
          </w:p>
        </w:tc>
        <w:tc>
          <w:tcPr>
            <w:tcW w:w="1715" w:type="dxa"/>
            <w:vMerge w:val="restart"/>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绩效目标</w:t>
            </w:r>
          </w:p>
        </w:tc>
        <w:tc>
          <w:tcPr>
            <w:tcW w:w="4404" w:type="dxa"/>
            <w:gridSpan w:val="2"/>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本月进度</w:t>
            </w:r>
          </w:p>
        </w:tc>
        <w:tc>
          <w:tcPr>
            <w:tcW w:w="1662"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承办企业</w:t>
            </w:r>
          </w:p>
        </w:tc>
        <w:tc>
          <w:tcPr>
            <w:tcW w:w="1405"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62" w:type="dxa"/>
            <w:vMerge w:val="continue"/>
            <w:vAlign w:val="center"/>
          </w:tcPr>
          <w:p>
            <w:pPr>
              <w:spacing w:after="0" w:line="220" w:lineRule="atLeast"/>
              <w:jc w:val="center"/>
            </w:pPr>
          </w:p>
        </w:tc>
        <w:tc>
          <w:tcPr>
            <w:tcW w:w="2803" w:type="dxa"/>
            <w:vMerge w:val="continue"/>
            <w:vAlign w:val="center"/>
          </w:tcPr>
          <w:p>
            <w:pPr>
              <w:spacing w:after="0" w:line="220" w:lineRule="atLeast"/>
              <w:jc w:val="center"/>
            </w:pPr>
          </w:p>
        </w:tc>
        <w:tc>
          <w:tcPr>
            <w:tcW w:w="2880" w:type="dxa"/>
            <w:vMerge w:val="continue"/>
            <w:vAlign w:val="center"/>
          </w:tcPr>
          <w:p>
            <w:pPr>
              <w:spacing w:after="0" w:line="220" w:lineRule="atLeast"/>
              <w:jc w:val="center"/>
            </w:pPr>
          </w:p>
        </w:tc>
        <w:tc>
          <w:tcPr>
            <w:tcW w:w="1924" w:type="dxa"/>
            <w:vMerge w:val="continue"/>
            <w:vAlign w:val="center"/>
          </w:tcPr>
          <w:p>
            <w:pPr>
              <w:spacing w:after="0" w:line="220" w:lineRule="atLeast"/>
              <w:jc w:val="center"/>
            </w:pPr>
          </w:p>
        </w:tc>
        <w:tc>
          <w:tcPr>
            <w:tcW w:w="1665" w:type="dxa"/>
            <w:vMerge w:val="continue"/>
            <w:vAlign w:val="center"/>
          </w:tcPr>
          <w:p>
            <w:pPr>
              <w:spacing w:after="0" w:line="220" w:lineRule="atLeast"/>
              <w:jc w:val="center"/>
            </w:pPr>
          </w:p>
        </w:tc>
        <w:tc>
          <w:tcPr>
            <w:tcW w:w="1455" w:type="dxa"/>
            <w:vMerge w:val="continue"/>
            <w:vAlign w:val="center"/>
          </w:tcPr>
          <w:p>
            <w:pPr>
              <w:spacing w:after="0" w:line="220" w:lineRule="atLeast"/>
              <w:jc w:val="center"/>
            </w:pPr>
          </w:p>
        </w:tc>
        <w:tc>
          <w:tcPr>
            <w:tcW w:w="1715" w:type="dxa"/>
            <w:vMerge w:val="continue"/>
            <w:vAlign w:val="center"/>
          </w:tcPr>
          <w:p>
            <w:pPr>
              <w:spacing w:after="0" w:line="220" w:lineRule="atLeast"/>
              <w:jc w:val="center"/>
            </w:pPr>
          </w:p>
        </w:tc>
        <w:tc>
          <w:tcPr>
            <w:tcW w:w="2708"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工作情况</w:t>
            </w:r>
          </w:p>
        </w:tc>
        <w:tc>
          <w:tcPr>
            <w:tcW w:w="1696" w:type="dxa"/>
            <w:vAlign w:val="center"/>
          </w:tcPr>
          <w:p>
            <w:pPr>
              <w:spacing w:after="0" w:line="220" w:lineRule="atLeast"/>
              <w:jc w:val="center"/>
              <w:rPr>
                <w:rFonts w:ascii="仿宋" w:hAnsi="仿宋" w:eastAsia="仿宋"/>
                <w:b/>
                <w:sz w:val="28"/>
                <w:szCs w:val="24"/>
              </w:rPr>
            </w:pPr>
            <w:r>
              <w:rPr>
                <w:rFonts w:hint="eastAsia" w:ascii="仿宋" w:hAnsi="仿宋" w:eastAsia="仿宋"/>
                <w:b/>
                <w:sz w:val="28"/>
                <w:szCs w:val="24"/>
              </w:rPr>
              <w:t>资金拨付额</w:t>
            </w:r>
          </w:p>
        </w:tc>
        <w:tc>
          <w:tcPr>
            <w:tcW w:w="1662" w:type="dxa"/>
            <w:vAlign w:val="center"/>
          </w:tcPr>
          <w:p>
            <w:pPr>
              <w:spacing w:after="0" w:line="220" w:lineRule="atLeast"/>
              <w:jc w:val="center"/>
            </w:pPr>
          </w:p>
        </w:tc>
        <w:tc>
          <w:tcPr>
            <w:tcW w:w="1405" w:type="dxa"/>
            <w:vAlign w:val="center"/>
          </w:tcPr>
          <w:p>
            <w:pPr>
              <w:spacing w:after="0"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21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县级公共服务中心</w:t>
            </w: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建设或改造600平米以上的县级农村电商公共服务中心，设置交流室、电教室、会议室、办公室、农产品研发体验中心（100—200平米），</w:t>
            </w:r>
            <w:r>
              <w:rPr>
                <w:rFonts w:hint="eastAsia" w:ascii="仿宋" w:hAnsi="仿宋" w:eastAsia="仿宋" w:cs="宋体"/>
                <w:color w:val="000000"/>
                <w:sz w:val="24"/>
                <w:szCs w:val="24"/>
              </w:rPr>
              <w:t>其它必要的办公设施设备</w:t>
            </w:r>
          </w:p>
        </w:tc>
        <w:tc>
          <w:tcPr>
            <w:tcW w:w="1924"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1个中心建设改造</w:t>
            </w:r>
          </w:p>
          <w:p>
            <w:pPr>
              <w:spacing w:after="0" w:line="220" w:lineRule="atLeast"/>
              <w:jc w:val="center"/>
              <w:rPr>
                <w:rFonts w:ascii="仿宋" w:hAnsi="仿宋" w:eastAsia="仿宋"/>
                <w:sz w:val="24"/>
                <w:szCs w:val="24"/>
              </w:rPr>
            </w:pPr>
          </w:p>
        </w:tc>
        <w:tc>
          <w:tcPr>
            <w:tcW w:w="2708" w:type="dxa"/>
          </w:tcPr>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1、10月1日-31日开展“蔬”香满园、果香“益”农、民生“百财”、“葱”向未来四场电商直播助农活动，累计销售黄瓜、茄子、苹果、白菜、大葱6.5万斤，助农增收5.98万元。</w:t>
            </w:r>
          </w:p>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2、10月14日对九龙镇河西村35户困难群众进行慰问，并送去价值3500元的慰问物资。</w:t>
            </w:r>
          </w:p>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3、10月24日-31日举办#我为涞水特色产品代言的抖音话题挑战赛活动，#我为涞水特色产品代言的话题在抖音平台的播放量突破了735万次，并得到了全网的点赞，更大范围的推广、宣传了我县特色产品。</w:t>
            </w:r>
          </w:p>
          <w:p>
            <w:pPr>
              <w:numPr>
                <w:ilvl w:val="0"/>
                <w:numId w:val="0"/>
              </w:num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4、11月11日、12月12日分别开展了我为家乡农产品代言的直播带货活动，累计有6万人次观看直播，下单2.73万单，销售额突破27万元。</w:t>
            </w:r>
          </w:p>
          <w:p>
            <w:pPr>
              <w:numPr>
                <w:ilvl w:val="0"/>
                <w:numId w:val="0"/>
              </w:numPr>
              <w:spacing w:after="0" w:line="220" w:lineRule="atLeast"/>
              <w:jc w:val="both"/>
              <w:rPr>
                <w:rFonts w:hint="default" w:ascii="仿宋" w:hAnsi="仿宋" w:eastAsia="仿宋"/>
                <w:sz w:val="24"/>
                <w:szCs w:val="24"/>
                <w:lang w:val="en-US" w:eastAsia="zh-CN"/>
              </w:rPr>
            </w:pPr>
          </w:p>
        </w:tc>
        <w:tc>
          <w:tcPr>
            <w:tcW w:w="1696" w:type="dxa"/>
          </w:tcPr>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村级服务站</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常住人口500人以上的行政村或建档立卡贫困村建设面积10平米以上；常住人口500人以下的行政村或建档立卡贫困村建设面积5-10平米。室内有电商区，并配备电脑、背景墙、电视42寸、上网行为数据管理器、收发货物流筐、公告牌及其它相关的设施设备。室外有门头、灯箱、WIFI标识牌。同一行政村，中央财政支持不超过1个，建档立卡贫困村和行政村覆盖率达到50%以上。</w:t>
            </w:r>
          </w:p>
        </w:tc>
        <w:tc>
          <w:tcPr>
            <w:tcW w:w="192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66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150</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284个服务站升级改造</w:t>
            </w:r>
          </w:p>
        </w:tc>
        <w:tc>
          <w:tcPr>
            <w:tcW w:w="2708" w:type="dxa"/>
          </w:tcPr>
          <w:p>
            <w:pPr>
              <w:numPr>
                <w:ilvl w:val="0"/>
                <w:numId w:val="1"/>
              </w:numPr>
              <w:rPr>
                <w:rFonts w:hint="eastAsia" w:ascii="仿宋" w:hAnsi="仿宋" w:eastAsia="仿宋"/>
                <w:sz w:val="24"/>
                <w:szCs w:val="24"/>
                <w:lang w:val="en-US" w:eastAsia="zh-CN"/>
              </w:rPr>
            </w:pPr>
            <w:r>
              <w:rPr>
                <w:rFonts w:hint="eastAsia" w:ascii="仿宋" w:hAnsi="仿宋" w:eastAsia="仿宋"/>
                <w:sz w:val="24"/>
                <w:szCs w:val="24"/>
                <w:lang w:val="en-US" w:eastAsia="zh-CN"/>
              </w:rPr>
              <w:t>巡查村级服务站的设备。</w:t>
            </w:r>
          </w:p>
          <w:p>
            <w:pPr>
              <w:numPr>
                <w:ilvl w:val="0"/>
                <w:numId w:val="1"/>
              </w:numPr>
              <w:rPr>
                <w:rFonts w:hint="default" w:ascii="仿宋" w:hAnsi="仿宋" w:eastAsia="仿宋"/>
                <w:sz w:val="24"/>
                <w:szCs w:val="24"/>
                <w:lang w:val="en-US" w:eastAsia="zh-CN"/>
              </w:rPr>
            </w:pPr>
            <w:r>
              <w:rPr>
                <w:rFonts w:hint="eastAsia" w:ascii="仿宋" w:hAnsi="仿宋" w:eastAsia="仿宋"/>
                <w:sz w:val="24"/>
                <w:szCs w:val="24"/>
                <w:lang w:val="en-US" w:eastAsia="zh-CN"/>
              </w:rPr>
              <w:t>调查村级服务站宽带网络使用情况。</w:t>
            </w:r>
          </w:p>
        </w:tc>
        <w:tc>
          <w:tcPr>
            <w:tcW w:w="1696" w:type="dxa"/>
            <w:vAlign w:val="center"/>
          </w:tcPr>
          <w:p>
            <w:pPr>
              <w:spacing w:after="0" w:line="220" w:lineRule="atLeast"/>
              <w:jc w:val="center"/>
              <w:rPr>
                <w:rFonts w:ascii="仿宋" w:hAnsi="仿宋" w:eastAsia="仿宋"/>
                <w:sz w:val="24"/>
                <w:szCs w:val="24"/>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培训</w:t>
            </w:r>
          </w:p>
          <w:p>
            <w:pPr>
              <w:spacing w:after="0" w:line="220" w:lineRule="atLeast"/>
              <w:jc w:val="center"/>
              <w:rPr>
                <w:rFonts w:ascii="仿宋" w:hAnsi="仿宋" w:eastAsia="仿宋"/>
                <w:sz w:val="24"/>
                <w:szCs w:val="24"/>
              </w:rPr>
            </w:pPr>
          </w:p>
        </w:tc>
        <w:tc>
          <w:tcPr>
            <w:tcW w:w="2803" w:type="dxa"/>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1924" w:type="dxa"/>
            <w:vAlign w:val="center"/>
          </w:tcPr>
          <w:p>
            <w:pPr>
              <w:spacing w:after="0" w:line="22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324.6</w:t>
            </w:r>
          </w:p>
        </w:tc>
        <w:tc>
          <w:tcPr>
            <w:tcW w:w="1665" w:type="dxa"/>
            <w:vAlign w:val="center"/>
          </w:tcPr>
          <w:p>
            <w:pPr>
              <w:spacing w:after="0" w:line="22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324.6</w:t>
            </w:r>
          </w:p>
        </w:tc>
        <w:tc>
          <w:tcPr>
            <w:tcW w:w="145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p>
            <w:pPr>
              <w:spacing w:after="0" w:line="220" w:lineRule="atLeast"/>
              <w:jc w:val="center"/>
              <w:rPr>
                <w:rFonts w:ascii="仿宋" w:hAnsi="仿宋" w:eastAsia="仿宋"/>
                <w:sz w:val="24"/>
                <w:szCs w:val="24"/>
              </w:rPr>
            </w:pPr>
          </w:p>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cs="宋体"/>
                <w:kern w:val="2"/>
                <w:sz w:val="24"/>
                <w:szCs w:val="24"/>
              </w:rPr>
              <w:t>初步建立多层次培训体系。针对政府、企业、农民等提供基础普及性的公开、免费培训；针对农村青年等电商创业需求提供市场化或者公益性增值培训。培训达到3000人次以上</w:t>
            </w:r>
          </w:p>
        </w:tc>
        <w:tc>
          <w:tcPr>
            <w:tcW w:w="2708" w:type="dxa"/>
          </w:tcPr>
          <w:p>
            <w:pPr>
              <w:spacing w:after="0" w:line="220" w:lineRule="atLeast"/>
              <w:jc w:val="both"/>
              <w:rPr>
                <w:rFonts w:ascii="仿宋" w:hAnsi="仿宋" w:eastAsia="仿宋"/>
                <w:sz w:val="24"/>
                <w:szCs w:val="24"/>
              </w:rPr>
            </w:pPr>
            <w:r>
              <w:rPr>
                <w:rFonts w:hint="eastAsia" w:ascii="仿宋" w:hAnsi="仿宋" w:eastAsia="仿宋"/>
                <w:sz w:val="24"/>
                <w:szCs w:val="24"/>
              </w:rPr>
              <w:t xml:space="preserve"> </w:t>
            </w:r>
          </w:p>
          <w:p>
            <w:pPr>
              <w:spacing w:after="0" w:line="220" w:lineRule="atLeast"/>
              <w:jc w:val="both"/>
              <w:rPr>
                <w:rFonts w:hint="default" w:ascii="仿宋" w:hAnsi="仿宋" w:eastAsia="仿宋"/>
                <w:sz w:val="24"/>
                <w:szCs w:val="24"/>
                <w:lang w:val="en-US" w:eastAsia="zh-CN"/>
              </w:rPr>
            </w:pPr>
            <w:r>
              <w:rPr>
                <w:rFonts w:hint="default" w:ascii="仿宋" w:hAnsi="仿宋" w:eastAsia="仿宋"/>
                <w:sz w:val="24"/>
                <w:szCs w:val="24"/>
                <w:lang w:val="en-US" w:eastAsia="zh-CN"/>
              </w:rPr>
              <w:t>1</w:t>
            </w:r>
            <w:r>
              <w:rPr>
                <w:rFonts w:hint="eastAsia" w:ascii="仿宋" w:hAnsi="仿宋" w:eastAsia="仿宋"/>
                <w:sz w:val="24"/>
                <w:szCs w:val="24"/>
                <w:lang w:val="en-US" w:eastAsia="zh-CN"/>
              </w:rPr>
              <w:t>、</w:t>
            </w:r>
            <w:r>
              <w:rPr>
                <w:rFonts w:hint="default" w:ascii="仿宋" w:hAnsi="仿宋" w:eastAsia="仿宋"/>
                <w:sz w:val="24"/>
                <w:szCs w:val="24"/>
                <w:lang w:val="en-US" w:eastAsia="zh-CN"/>
              </w:rPr>
              <w:t>开展培训后跟踪孵化34场94人次。</w:t>
            </w:r>
          </w:p>
          <w:p>
            <w:pPr>
              <w:spacing w:after="0" w:line="220" w:lineRule="atLeast"/>
              <w:jc w:val="both"/>
              <w:rPr>
                <w:rFonts w:hint="default" w:ascii="仿宋" w:hAnsi="仿宋" w:eastAsia="仿宋"/>
                <w:sz w:val="24"/>
                <w:szCs w:val="24"/>
                <w:lang w:val="en-US" w:eastAsia="zh-CN"/>
              </w:rPr>
            </w:pPr>
            <w:r>
              <w:rPr>
                <w:rFonts w:hint="default" w:ascii="仿宋" w:hAnsi="仿宋" w:eastAsia="仿宋"/>
                <w:sz w:val="24"/>
                <w:szCs w:val="24"/>
                <w:lang w:val="en-US" w:eastAsia="zh-CN"/>
              </w:rPr>
              <w:t>2</w:t>
            </w:r>
            <w:r>
              <w:rPr>
                <w:rFonts w:hint="eastAsia" w:ascii="仿宋" w:hAnsi="仿宋" w:eastAsia="仿宋"/>
                <w:sz w:val="24"/>
                <w:szCs w:val="24"/>
                <w:lang w:val="en-US" w:eastAsia="zh-CN"/>
              </w:rPr>
              <w:t>、</w:t>
            </w:r>
            <w:r>
              <w:rPr>
                <w:rFonts w:hint="default" w:ascii="仿宋" w:hAnsi="仿宋" w:eastAsia="仿宋"/>
                <w:sz w:val="24"/>
                <w:szCs w:val="24"/>
                <w:lang w:val="en-US" w:eastAsia="zh-CN"/>
              </w:rPr>
              <w:t>帮助涞水培训学员50人，报名阿里数字乡村“互联网营销师-淘宝主播认证”证书的学习和考试，共计31人通过考试获得证书。</w:t>
            </w:r>
          </w:p>
        </w:tc>
        <w:tc>
          <w:tcPr>
            <w:tcW w:w="1696" w:type="dxa"/>
            <w:vAlign w:val="center"/>
          </w:tcPr>
          <w:p>
            <w:pPr>
              <w:spacing w:after="0" w:line="220" w:lineRule="atLeast"/>
              <w:jc w:val="center"/>
              <w:rPr>
                <w:rFonts w:hint="default" w:ascii="仿宋" w:hAnsi="仿宋" w:eastAsia="仿宋"/>
                <w:sz w:val="24"/>
                <w:szCs w:val="24"/>
                <w:lang w:val="en-US" w:eastAsia="zh-CN"/>
              </w:rPr>
            </w:pPr>
          </w:p>
        </w:tc>
        <w:tc>
          <w:tcPr>
            <w:tcW w:w="1662"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2162"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物流配送中心</w:t>
            </w:r>
          </w:p>
          <w:p>
            <w:pPr>
              <w:spacing w:after="0" w:line="220" w:lineRule="atLeast"/>
              <w:jc w:val="center"/>
              <w:rPr>
                <w:rFonts w:ascii="仿宋" w:hAnsi="仿宋" w:eastAsia="仿宋"/>
                <w:sz w:val="24"/>
                <w:szCs w:val="24"/>
              </w:rPr>
            </w:pP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县级仓储物流中心：面积800平米以上，打包台、货架、扫抢配送车辆。乡镇级配送中心按实际需求建设，面积100平米以上，打包台，货架，电脑，扫抢，配送车辆。同一物流线路，中央财政支持不超过1家。物流快递网点的乡镇覆盖率达到100%，能为村站提供服务，与村站实现资源共享。有需求和条件的地区，应建设冷冻库，冷藏柜、冷链物流车等设备设施。</w:t>
            </w:r>
          </w:p>
        </w:tc>
        <w:tc>
          <w:tcPr>
            <w:tcW w:w="1924" w:type="dxa"/>
            <w:vMerge w:val="restart"/>
            <w:vAlign w:val="center"/>
          </w:tcPr>
          <w:p>
            <w:pPr>
              <w:spacing w:after="0" w:line="22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599.4</w:t>
            </w:r>
          </w:p>
        </w:tc>
        <w:tc>
          <w:tcPr>
            <w:tcW w:w="1665" w:type="dxa"/>
            <w:vMerge w:val="restart"/>
            <w:vAlign w:val="center"/>
          </w:tcPr>
          <w:p>
            <w:pPr>
              <w:spacing w:after="0" w:line="22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599.4</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kern w:val="2"/>
                <w:sz w:val="24"/>
                <w:szCs w:val="24"/>
              </w:rPr>
              <w:t>1个县级仓储配送中心</w:t>
            </w:r>
          </w:p>
        </w:tc>
        <w:tc>
          <w:tcPr>
            <w:tcW w:w="2708" w:type="dxa"/>
            <w:vMerge w:val="restart"/>
          </w:tcPr>
          <w:p>
            <w:pPr>
              <w:spacing w:after="0" w:line="220" w:lineRule="atLeast"/>
              <w:rPr>
                <w:rFonts w:ascii="仿宋" w:hAnsi="仿宋" w:eastAsia="仿宋"/>
                <w:sz w:val="24"/>
                <w:szCs w:val="24"/>
              </w:rPr>
            </w:pPr>
          </w:p>
          <w:p>
            <w:pPr>
              <w:spacing w:after="0" w:line="220" w:lineRule="atLeast"/>
              <w:rPr>
                <w:rFonts w:ascii="仿宋" w:hAnsi="仿宋" w:eastAsia="仿宋"/>
                <w:sz w:val="24"/>
                <w:szCs w:val="24"/>
              </w:rPr>
            </w:pPr>
          </w:p>
          <w:p>
            <w:pPr>
              <w:numPr>
                <w:ilvl w:val="0"/>
                <w:numId w:val="0"/>
              </w:numPr>
              <w:spacing w:after="0" w:line="220" w:lineRule="atLeast"/>
              <w:jc w:val="both"/>
              <w:rPr>
                <w:rFonts w:hint="eastAsia" w:ascii="仿宋" w:hAnsi="仿宋" w:eastAsia="仿宋"/>
                <w:sz w:val="24"/>
                <w:szCs w:val="24"/>
                <w:lang w:val="en-US" w:eastAsia="zh-CN"/>
              </w:rPr>
            </w:pPr>
          </w:p>
          <w:p>
            <w:pPr>
              <w:numPr>
                <w:numId w:val="0"/>
              </w:numPr>
              <w:spacing w:after="0" w:line="220" w:lineRule="atLeast"/>
              <w:jc w:val="both"/>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正常开展物流、快递收发工作及生活物资配送；</w:t>
            </w:r>
          </w:p>
          <w:p>
            <w:pPr>
              <w:numPr>
                <w:numId w:val="0"/>
              </w:numPr>
              <w:spacing w:after="0" w:line="220" w:lineRule="atLeast"/>
              <w:jc w:val="both"/>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调度安排人员车辆，保障双十一、双十二期间货物正常收发，避免货物积压；</w:t>
            </w:r>
          </w:p>
          <w:p>
            <w:pPr>
              <w:numPr>
                <w:numId w:val="0"/>
              </w:numPr>
              <w:spacing w:after="0" w:line="220" w:lineRule="atLeast"/>
              <w:jc w:val="both"/>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验车并检修所有物流车辆，保障道路运输安全；</w:t>
            </w:r>
          </w:p>
          <w:p>
            <w:pPr>
              <w:numPr>
                <w:ilvl w:val="0"/>
                <w:numId w:val="0"/>
              </w:numPr>
              <w:spacing w:after="0" w:line="220" w:lineRule="atLeast"/>
              <w:jc w:val="both"/>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国有资产盘点。</w:t>
            </w:r>
          </w:p>
        </w:tc>
        <w:tc>
          <w:tcPr>
            <w:tcW w:w="1696" w:type="dxa"/>
            <w:vMerge w:val="restart"/>
            <w:vAlign w:val="center"/>
          </w:tcPr>
          <w:p>
            <w:pPr>
              <w:spacing w:after="0" w:line="220" w:lineRule="atLeast"/>
              <w:jc w:val="center"/>
              <w:rPr>
                <w:rFonts w:hint="default" w:ascii="仿宋" w:hAnsi="仿宋" w:eastAsia="仿宋"/>
                <w:sz w:val="24"/>
                <w:szCs w:val="24"/>
                <w:lang w:val="en-US" w:eastAsia="zh-CN"/>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涞水汇华商贸有限公司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晋春雨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162" w:type="dxa"/>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乡镇物流配送中心</w:t>
            </w:r>
          </w:p>
        </w:tc>
        <w:tc>
          <w:tcPr>
            <w:tcW w:w="2803" w:type="dxa"/>
            <w:vMerge w:val="continue"/>
            <w:vAlign w:val="center"/>
          </w:tcPr>
          <w:p>
            <w:pPr>
              <w:spacing w:after="0" w:line="220" w:lineRule="atLeast"/>
              <w:jc w:val="center"/>
              <w:rPr>
                <w:rFonts w:ascii="仿宋" w:hAnsi="仿宋" w:eastAsia="仿宋"/>
                <w:sz w:val="24"/>
                <w:szCs w:val="24"/>
              </w:rPr>
            </w:pPr>
          </w:p>
        </w:tc>
        <w:tc>
          <w:tcPr>
            <w:tcW w:w="2880" w:type="dxa"/>
            <w:vMerge w:val="continue"/>
            <w:vAlign w:val="center"/>
          </w:tcPr>
          <w:p>
            <w:pPr>
              <w:spacing w:after="0" w:line="220" w:lineRule="atLeast"/>
              <w:jc w:val="center"/>
              <w:rPr>
                <w:rFonts w:ascii="仿宋" w:hAnsi="仿宋" w:eastAsia="仿宋"/>
                <w:sz w:val="24"/>
                <w:szCs w:val="24"/>
              </w:rPr>
            </w:pPr>
          </w:p>
        </w:tc>
        <w:tc>
          <w:tcPr>
            <w:tcW w:w="1924" w:type="dxa"/>
            <w:vMerge w:val="continue"/>
            <w:vAlign w:val="center"/>
          </w:tcPr>
          <w:p>
            <w:pPr>
              <w:spacing w:after="0" w:line="220" w:lineRule="atLeast"/>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14个乡</w:t>
            </w:r>
          </w:p>
          <w:p>
            <w:pPr>
              <w:spacing w:after="0" w:line="220" w:lineRule="atLeast"/>
              <w:jc w:val="center"/>
              <w:rPr>
                <w:rFonts w:ascii="仿宋" w:hAnsi="仿宋" w:eastAsia="仿宋"/>
                <w:sz w:val="24"/>
                <w:szCs w:val="24"/>
              </w:rPr>
            </w:pPr>
            <w:r>
              <w:rPr>
                <w:rFonts w:hint="eastAsia" w:ascii="仿宋" w:hAnsi="仿宋" w:eastAsia="仿宋"/>
                <w:sz w:val="24"/>
                <w:szCs w:val="24"/>
              </w:rPr>
              <w:t>镇配送中心</w:t>
            </w:r>
          </w:p>
        </w:tc>
        <w:tc>
          <w:tcPr>
            <w:tcW w:w="2708" w:type="dxa"/>
            <w:vMerge w:val="continue"/>
          </w:tcPr>
          <w:p>
            <w:pPr>
              <w:adjustRightInd/>
              <w:snapToGrid/>
              <w:spacing w:after="0"/>
              <w:jc w:val="both"/>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162" w:type="dxa"/>
            <w:vMerge w:val="restart"/>
            <w:vAlign w:val="center"/>
          </w:tcPr>
          <w:p>
            <w:pPr>
              <w:adjustRightInd/>
              <w:snapToGrid/>
              <w:spacing w:after="0"/>
              <w:jc w:val="center"/>
              <w:rPr>
                <w:rFonts w:ascii="仿宋" w:hAnsi="仿宋" w:eastAsia="仿宋" w:cs="宋体"/>
                <w:kern w:val="2"/>
                <w:sz w:val="24"/>
                <w:szCs w:val="24"/>
              </w:rPr>
            </w:pPr>
            <w:r>
              <w:rPr>
                <w:rFonts w:hint="eastAsia" w:ascii="仿宋" w:hAnsi="仿宋" w:eastAsia="仿宋" w:cs="宋体"/>
                <w:kern w:val="2"/>
                <w:sz w:val="24"/>
                <w:szCs w:val="24"/>
              </w:rPr>
              <w:t>农业产品上行体系</w:t>
            </w:r>
          </w:p>
        </w:tc>
        <w:tc>
          <w:tcPr>
            <w:tcW w:w="2803" w:type="dxa"/>
            <w:vMerge w:val="restart"/>
            <w:vAlign w:val="center"/>
          </w:tcPr>
          <w:p>
            <w:pPr>
              <w:adjustRightInd/>
              <w:snapToGrid/>
              <w:spacing w:after="0"/>
              <w:jc w:val="center"/>
              <w:rPr>
                <w:rFonts w:ascii="仿宋" w:hAnsi="仿宋" w:eastAsia="仿宋"/>
                <w:sz w:val="24"/>
                <w:szCs w:val="24"/>
              </w:rPr>
            </w:pPr>
            <w:r>
              <w:rPr>
                <w:rFonts w:hint="eastAsia" w:ascii="仿宋" w:hAnsi="仿宋" w:eastAsia="仿宋"/>
                <w:sz w:val="24"/>
                <w:szCs w:val="24"/>
              </w:rPr>
              <w:t>《涞水县电子商务进农村综合示范工作方案》</w:t>
            </w:r>
          </w:p>
        </w:tc>
        <w:tc>
          <w:tcPr>
            <w:tcW w:w="2880" w:type="dxa"/>
            <w:vMerge w:val="restart"/>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在县域范围内引入1-3家企业加入溯源系统，并取得销售成效，有力地推动农业制品上行。</w:t>
            </w:r>
          </w:p>
        </w:tc>
        <w:tc>
          <w:tcPr>
            <w:tcW w:w="1924" w:type="dxa"/>
            <w:vMerge w:val="restart"/>
            <w:vAlign w:val="center"/>
          </w:tcPr>
          <w:p>
            <w:pPr>
              <w:adjustRightInd/>
              <w:snapToGrid/>
              <w:spacing w:after="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774</w:t>
            </w:r>
          </w:p>
        </w:tc>
        <w:tc>
          <w:tcPr>
            <w:tcW w:w="1665" w:type="dxa"/>
            <w:vMerge w:val="restart"/>
            <w:vAlign w:val="center"/>
          </w:tcPr>
          <w:p>
            <w:pPr>
              <w:spacing w:after="0" w:line="220" w:lineRule="atLeas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774</w:t>
            </w:r>
          </w:p>
        </w:tc>
        <w:tc>
          <w:tcPr>
            <w:tcW w:w="145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商业运营开始日起三年（不含建设期，建设期为2018年9月30日完工及交付）</w:t>
            </w: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农产品的标准化、生产认证、品牌培育、质量溯源等综合服务体系建设</w:t>
            </w:r>
          </w:p>
        </w:tc>
        <w:tc>
          <w:tcPr>
            <w:tcW w:w="2708" w:type="dxa"/>
            <w:vMerge w:val="restart"/>
          </w:tcPr>
          <w:p>
            <w:pPr>
              <w:numPr>
                <w:ilvl w:val="0"/>
                <w:numId w:val="0"/>
              </w:num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1、10月17日在九龙镇峨峪</w:t>
            </w:r>
            <w:bookmarkStart w:id="0" w:name="_GoBack"/>
            <w:bookmarkEnd w:id="0"/>
            <w:r>
              <w:rPr>
                <w:rFonts w:hint="eastAsia" w:ascii="仿宋" w:hAnsi="仿宋" w:eastAsia="仿宋"/>
                <w:sz w:val="24"/>
                <w:szCs w:val="24"/>
                <w:lang w:val="en-US" w:eastAsia="zh-CN"/>
              </w:rPr>
              <w:t>村开展苹果采摘暨产销对接签约活动，涞水县金谷粮油食品有限公司与保定昌隆农业发展有限公司签订苹果长期收购协议，活动当天收购苹果1.1万斤，助农增收5.5万元。</w:t>
            </w:r>
          </w:p>
          <w:p>
            <w:pPr>
              <w:numPr>
                <w:ilvl w:val="0"/>
                <w:numId w:val="0"/>
              </w:numPr>
              <w:spacing w:after="0" w:line="220" w:lineRule="atLeast"/>
              <w:jc w:val="both"/>
              <w:rPr>
                <w:rFonts w:hint="eastAsia" w:ascii="仿宋" w:hAnsi="仿宋" w:eastAsia="仿宋"/>
                <w:sz w:val="24"/>
                <w:szCs w:val="24"/>
                <w:lang w:val="en-US" w:eastAsia="zh-CN"/>
              </w:rPr>
            </w:pPr>
            <w:r>
              <w:rPr>
                <w:rFonts w:hint="eastAsia" w:ascii="仿宋" w:hAnsi="仿宋" w:eastAsia="仿宋"/>
                <w:sz w:val="24"/>
                <w:szCs w:val="24"/>
                <w:lang w:val="en-US" w:eastAsia="zh-CN"/>
              </w:rPr>
              <w:t>2、研发京涞派炭烤核桃、龙门辣酱的内外包装。</w:t>
            </w:r>
          </w:p>
          <w:p>
            <w:pPr>
              <w:numPr>
                <w:ilvl w:val="0"/>
                <w:numId w:val="0"/>
              </w:numPr>
              <w:spacing w:after="0" w:line="220" w:lineRule="atLeast"/>
              <w:jc w:val="both"/>
              <w:rPr>
                <w:rFonts w:hint="default" w:ascii="仿宋" w:hAnsi="仿宋" w:eastAsia="仿宋"/>
                <w:sz w:val="24"/>
                <w:szCs w:val="24"/>
                <w:lang w:val="en-US" w:eastAsia="zh-CN"/>
              </w:rPr>
            </w:pPr>
            <w:r>
              <w:rPr>
                <w:rFonts w:hint="eastAsia" w:ascii="仿宋" w:hAnsi="仿宋" w:eastAsia="仿宋"/>
                <w:sz w:val="24"/>
                <w:szCs w:val="24"/>
                <w:lang w:val="en-US" w:eastAsia="zh-CN"/>
              </w:rPr>
              <w:t>3、完成制作野三坡京涞派文创钥匙扣，并根据市场反馈及使用场景研发水墨野山坡创意摆件和野三坡创意杯垫设计图。</w:t>
            </w:r>
          </w:p>
        </w:tc>
        <w:tc>
          <w:tcPr>
            <w:tcW w:w="1696" w:type="dxa"/>
            <w:vMerge w:val="restart"/>
            <w:vAlign w:val="center"/>
          </w:tcPr>
          <w:p>
            <w:pPr>
              <w:spacing w:after="0" w:line="220" w:lineRule="atLeast"/>
              <w:jc w:val="center"/>
              <w:rPr>
                <w:rFonts w:hint="default" w:ascii="仿宋" w:hAnsi="仿宋" w:eastAsia="仿宋"/>
                <w:sz w:val="24"/>
                <w:szCs w:val="24"/>
                <w:lang w:val="en-US" w:eastAsia="zh-CN"/>
              </w:rPr>
            </w:pPr>
          </w:p>
        </w:tc>
        <w:tc>
          <w:tcPr>
            <w:tcW w:w="1662"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涞水聚涞宝电子商务有限公司</w:t>
            </w:r>
          </w:p>
        </w:tc>
        <w:tc>
          <w:tcPr>
            <w:tcW w:w="1405" w:type="dxa"/>
            <w:vMerge w:val="restart"/>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赵奕铭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162" w:type="dxa"/>
            <w:vMerge w:val="continue"/>
            <w:vAlign w:val="center"/>
          </w:tcPr>
          <w:p>
            <w:pPr>
              <w:adjustRightInd/>
              <w:snapToGrid/>
              <w:spacing w:after="0"/>
              <w:jc w:val="center"/>
              <w:rPr>
                <w:rFonts w:ascii="仿宋" w:hAnsi="仿宋" w:eastAsia="仿宋" w:cs="宋体"/>
                <w:kern w:val="2"/>
                <w:sz w:val="24"/>
                <w:szCs w:val="24"/>
              </w:rPr>
            </w:pPr>
          </w:p>
        </w:tc>
        <w:tc>
          <w:tcPr>
            <w:tcW w:w="2803" w:type="dxa"/>
            <w:vMerge w:val="continue"/>
            <w:vAlign w:val="center"/>
          </w:tcPr>
          <w:p>
            <w:pPr>
              <w:adjustRightInd/>
              <w:snapToGrid/>
              <w:spacing w:after="0"/>
              <w:jc w:val="center"/>
              <w:rPr>
                <w:rFonts w:ascii="仿宋" w:hAnsi="仿宋" w:eastAsia="仿宋"/>
                <w:sz w:val="24"/>
                <w:szCs w:val="24"/>
              </w:rPr>
            </w:pPr>
          </w:p>
        </w:tc>
        <w:tc>
          <w:tcPr>
            <w:tcW w:w="2880" w:type="dxa"/>
            <w:vMerge w:val="continue"/>
            <w:vAlign w:val="center"/>
          </w:tcPr>
          <w:p>
            <w:pPr>
              <w:adjustRightInd/>
              <w:snapToGrid/>
              <w:spacing w:after="0"/>
              <w:jc w:val="center"/>
              <w:rPr>
                <w:rFonts w:ascii="仿宋" w:hAnsi="仿宋" w:eastAsia="仿宋" w:cs="宋体"/>
                <w:kern w:val="2"/>
                <w:sz w:val="24"/>
                <w:szCs w:val="24"/>
              </w:rPr>
            </w:pPr>
          </w:p>
        </w:tc>
        <w:tc>
          <w:tcPr>
            <w:tcW w:w="1924" w:type="dxa"/>
            <w:vMerge w:val="continue"/>
            <w:vAlign w:val="center"/>
          </w:tcPr>
          <w:p>
            <w:pPr>
              <w:adjustRightInd/>
              <w:snapToGrid/>
              <w:spacing w:after="0"/>
              <w:jc w:val="center"/>
              <w:rPr>
                <w:rFonts w:ascii="仿宋" w:hAnsi="仿宋" w:eastAsia="仿宋"/>
                <w:sz w:val="24"/>
                <w:szCs w:val="24"/>
              </w:rPr>
            </w:pPr>
          </w:p>
        </w:tc>
        <w:tc>
          <w:tcPr>
            <w:tcW w:w="1665" w:type="dxa"/>
            <w:vMerge w:val="continue"/>
            <w:vAlign w:val="center"/>
          </w:tcPr>
          <w:p>
            <w:pPr>
              <w:spacing w:after="0" w:line="220" w:lineRule="atLeast"/>
              <w:jc w:val="center"/>
              <w:rPr>
                <w:rFonts w:ascii="仿宋" w:hAnsi="仿宋" w:eastAsia="仿宋"/>
                <w:sz w:val="24"/>
                <w:szCs w:val="24"/>
              </w:rPr>
            </w:pPr>
          </w:p>
        </w:tc>
        <w:tc>
          <w:tcPr>
            <w:tcW w:w="1455" w:type="dxa"/>
            <w:vMerge w:val="continue"/>
            <w:vAlign w:val="center"/>
          </w:tcPr>
          <w:p>
            <w:pPr>
              <w:spacing w:after="0" w:line="220" w:lineRule="atLeast"/>
              <w:jc w:val="center"/>
              <w:rPr>
                <w:rFonts w:ascii="仿宋" w:hAnsi="仿宋" w:eastAsia="仿宋"/>
                <w:sz w:val="24"/>
                <w:szCs w:val="24"/>
              </w:rPr>
            </w:pPr>
          </w:p>
        </w:tc>
        <w:tc>
          <w:tcPr>
            <w:tcW w:w="1715" w:type="dxa"/>
            <w:vAlign w:val="center"/>
          </w:tcPr>
          <w:p>
            <w:pPr>
              <w:adjustRightInd/>
              <w:snapToGrid/>
              <w:spacing w:after="0"/>
              <w:jc w:val="center"/>
              <w:rPr>
                <w:rFonts w:ascii="仿宋" w:hAnsi="仿宋" w:eastAsia="仿宋" w:cs="宋体"/>
                <w:sz w:val="24"/>
                <w:szCs w:val="24"/>
              </w:rPr>
            </w:pPr>
            <w:r>
              <w:rPr>
                <w:rFonts w:hint="eastAsia" w:ascii="仿宋" w:hAnsi="仿宋" w:eastAsia="仿宋" w:cs="宋体"/>
                <w:kern w:val="2"/>
                <w:sz w:val="24"/>
                <w:szCs w:val="24"/>
              </w:rPr>
              <w:t>农产品分级、包装、预冷、初加工等基础设施建设</w:t>
            </w:r>
          </w:p>
        </w:tc>
        <w:tc>
          <w:tcPr>
            <w:tcW w:w="2708" w:type="dxa"/>
            <w:vMerge w:val="continue"/>
            <w:vAlign w:val="center"/>
          </w:tcPr>
          <w:p>
            <w:pPr>
              <w:adjustRightInd/>
              <w:snapToGrid/>
              <w:spacing w:after="0"/>
              <w:jc w:val="center"/>
              <w:rPr>
                <w:rFonts w:ascii="仿宋" w:hAnsi="仿宋" w:eastAsia="仿宋" w:cs="宋体"/>
                <w:kern w:val="2"/>
                <w:sz w:val="24"/>
                <w:szCs w:val="24"/>
              </w:rPr>
            </w:pPr>
          </w:p>
        </w:tc>
        <w:tc>
          <w:tcPr>
            <w:tcW w:w="1696" w:type="dxa"/>
            <w:vMerge w:val="continue"/>
            <w:vAlign w:val="center"/>
          </w:tcPr>
          <w:p>
            <w:pPr>
              <w:spacing w:after="0" w:line="220" w:lineRule="atLeast"/>
              <w:jc w:val="center"/>
              <w:rPr>
                <w:rFonts w:ascii="仿宋" w:hAnsi="仿宋" w:eastAsia="仿宋"/>
                <w:sz w:val="24"/>
                <w:szCs w:val="24"/>
              </w:rPr>
            </w:pPr>
          </w:p>
        </w:tc>
        <w:tc>
          <w:tcPr>
            <w:tcW w:w="1662" w:type="dxa"/>
            <w:vMerge w:val="continue"/>
            <w:vAlign w:val="center"/>
          </w:tcPr>
          <w:p>
            <w:pPr>
              <w:spacing w:after="0" w:line="220" w:lineRule="atLeast"/>
              <w:jc w:val="center"/>
              <w:rPr>
                <w:rFonts w:ascii="仿宋" w:hAnsi="仿宋" w:eastAsia="仿宋"/>
                <w:sz w:val="24"/>
                <w:szCs w:val="24"/>
              </w:rPr>
            </w:pPr>
          </w:p>
        </w:tc>
        <w:tc>
          <w:tcPr>
            <w:tcW w:w="1405" w:type="dxa"/>
            <w:vMerge w:val="continue"/>
            <w:vAlign w:val="center"/>
          </w:tcPr>
          <w:p>
            <w:pPr>
              <w:spacing w:after="0" w:line="220" w:lineRule="atLeast"/>
              <w:jc w:val="center"/>
              <w:rPr>
                <w:rFonts w:ascii="仿宋" w:hAnsi="仿宋" w:eastAsia="仿宋"/>
                <w:sz w:val="24"/>
                <w:szCs w:val="24"/>
              </w:rPr>
            </w:pPr>
          </w:p>
        </w:tc>
      </w:tr>
    </w:tbl>
    <w:p>
      <w:pPr>
        <w:spacing w:line="220" w:lineRule="atLeast"/>
        <w:rPr>
          <w:rFonts w:ascii="仿宋" w:hAnsi="仿宋" w:eastAsia="仿宋"/>
          <w:sz w:val="24"/>
          <w:szCs w:val="24"/>
        </w:rPr>
      </w:pPr>
    </w:p>
    <w:sectPr>
      <w:pgSz w:w="23757" w:h="16783" w:orient="landscape"/>
      <w:pgMar w:top="1797"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56D6F"/>
    <w:multiLevelType w:val="singleLevel"/>
    <w:tmpl w:val="19856D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RjYmE4MDBkMzM3MWFhNmJhMzQyZTdlYWM3OTEifQ=="/>
  </w:docVars>
  <w:rsids>
    <w:rsidRoot w:val="00D31D50"/>
    <w:rsid w:val="0014635D"/>
    <w:rsid w:val="00151C58"/>
    <w:rsid w:val="001C582D"/>
    <w:rsid w:val="002D1C10"/>
    <w:rsid w:val="00320D7C"/>
    <w:rsid w:val="00323B43"/>
    <w:rsid w:val="003D37D8"/>
    <w:rsid w:val="003F7B69"/>
    <w:rsid w:val="004244A2"/>
    <w:rsid w:val="00426133"/>
    <w:rsid w:val="004358AB"/>
    <w:rsid w:val="00440ABE"/>
    <w:rsid w:val="006137F1"/>
    <w:rsid w:val="00682F14"/>
    <w:rsid w:val="00696879"/>
    <w:rsid w:val="006B611A"/>
    <w:rsid w:val="007D3DE9"/>
    <w:rsid w:val="00864072"/>
    <w:rsid w:val="00870161"/>
    <w:rsid w:val="008B7726"/>
    <w:rsid w:val="008E5B5C"/>
    <w:rsid w:val="009C0114"/>
    <w:rsid w:val="00B55646"/>
    <w:rsid w:val="00B90E66"/>
    <w:rsid w:val="00BC1BD4"/>
    <w:rsid w:val="00C057EB"/>
    <w:rsid w:val="00C07CC5"/>
    <w:rsid w:val="00D31D50"/>
    <w:rsid w:val="00EA629F"/>
    <w:rsid w:val="00F31EF9"/>
    <w:rsid w:val="022E284B"/>
    <w:rsid w:val="025608ED"/>
    <w:rsid w:val="0300200F"/>
    <w:rsid w:val="042B0140"/>
    <w:rsid w:val="092C17AA"/>
    <w:rsid w:val="0F3235C3"/>
    <w:rsid w:val="1435076D"/>
    <w:rsid w:val="149A3019"/>
    <w:rsid w:val="166F3FA0"/>
    <w:rsid w:val="1A340446"/>
    <w:rsid w:val="1E1A00C2"/>
    <w:rsid w:val="1F936869"/>
    <w:rsid w:val="21970658"/>
    <w:rsid w:val="226C516F"/>
    <w:rsid w:val="22747DBB"/>
    <w:rsid w:val="22E02B74"/>
    <w:rsid w:val="23CF233D"/>
    <w:rsid w:val="257E56BA"/>
    <w:rsid w:val="2B1B055B"/>
    <w:rsid w:val="2C094745"/>
    <w:rsid w:val="2C55458E"/>
    <w:rsid w:val="31D27D3C"/>
    <w:rsid w:val="328C4CFA"/>
    <w:rsid w:val="39D247AC"/>
    <w:rsid w:val="3BAD70DD"/>
    <w:rsid w:val="3E583C0C"/>
    <w:rsid w:val="3F973CC5"/>
    <w:rsid w:val="4231042E"/>
    <w:rsid w:val="43A22D43"/>
    <w:rsid w:val="469A0DC5"/>
    <w:rsid w:val="49BA5BE7"/>
    <w:rsid w:val="4BA40674"/>
    <w:rsid w:val="4F4F011D"/>
    <w:rsid w:val="4FA233AD"/>
    <w:rsid w:val="506F5A80"/>
    <w:rsid w:val="5077187F"/>
    <w:rsid w:val="516B4657"/>
    <w:rsid w:val="53F9556E"/>
    <w:rsid w:val="551D2C9F"/>
    <w:rsid w:val="57037581"/>
    <w:rsid w:val="597E4D2F"/>
    <w:rsid w:val="5B801CC6"/>
    <w:rsid w:val="5C740381"/>
    <w:rsid w:val="5FBA4C29"/>
    <w:rsid w:val="61D77C00"/>
    <w:rsid w:val="64E231C8"/>
    <w:rsid w:val="67C46391"/>
    <w:rsid w:val="6C940C85"/>
    <w:rsid w:val="6F361E1D"/>
    <w:rsid w:val="77855565"/>
    <w:rsid w:val="791E5AE2"/>
    <w:rsid w:val="7B832EBE"/>
    <w:rsid w:val="7D1100A9"/>
    <w:rsid w:val="7E6F3EF9"/>
    <w:rsid w:val="7F56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eastAsia="微软雅黑" w:cstheme="minorBidi"/>
      <w:sz w:val="18"/>
      <w:szCs w:val="18"/>
    </w:rPr>
  </w:style>
  <w:style w:type="character" w:customStyle="1" w:styleId="8">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1771</Words>
  <Characters>1901</Characters>
  <Lines>11</Lines>
  <Paragraphs>3</Paragraphs>
  <TotalTime>28</TotalTime>
  <ScaleCrop>false</ScaleCrop>
  <LinksUpToDate>false</LinksUpToDate>
  <CharactersWithSpaces>1902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2020-11-02T05:24:00Z</dcterms:created>
  <dc:creator>Administrator</dc:creator>
  <cp:lastModifiedBy>Lily</cp:lastModifiedBy>
  <cp:lastPrinted>2021-05-31T03:55:00Z</cp:lastPrinted>
  <dcterms:modified xsi:type="dcterms:W3CDTF">2023-02-01T03:41:56Z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0486366555DD46518153ADA0B2B0D9AB</vt:lpwstr>
  </property>
</Properties>
</file>