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uk-UA"/>
        </w:rPr>
        <w:t>涞水县永阳镇人民政府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8"/>
        <w:tabs>
          <w:tab w:val="right" w:leader="dot" w:pos="14800"/>
        </w:tabs>
      </w:pPr>
      <w:r>
        <w:fldChar w:fldCharType="begin"/>
      </w:r>
      <w:r>
        <w:instrText xml:space="preserve">TOC \o "2-2" \h \z \u</w:instrText>
      </w:r>
      <w:r>
        <w:fldChar w:fldCharType="separate"/>
      </w:r>
      <w:r>
        <w:fldChar w:fldCharType="begin"/>
      </w:r>
      <w:r>
        <w:instrText xml:space="preserve"> HYPERLINK \l _Toc24699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_Toc24699 </w:instrText>
      </w:r>
      <w:r>
        <w:fldChar w:fldCharType="separate"/>
      </w:r>
      <w:r>
        <w:t>1</w:t>
      </w:r>
      <w:r>
        <w:fldChar w:fldCharType="end"/>
      </w:r>
      <w:r>
        <w:fldChar w:fldCharType="end"/>
      </w:r>
    </w:p>
    <w:p>
      <w:pPr>
        <w:pStyle w:val="8"/>
        <w:tabs>
          <w:tab w:val="right" w:leader="dot" w:pos="14800"/>
        </w:tabs>
      </w:pPr>
      <w:r>
        <w:fldChar w:fldCharType="begin"/>
      </w:r>
      <w:r>
        <w:instrText xml:space="preserve"> HYPERLINK \l _Toc13514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_Toc13514 </w:instrText>
      </w:r>
      <w:r>
        <w:fldChar w:fldCharType="separate"/>
      </w:r>
      <w:r>
        <w:t>3</w:t>
      </w:r>
      <w:r>
        <w:fldChar w:fldCharType="end"/>
      </w:r>
      <w:r>
        <w:fldChar w:fldCharType="end"/>
      </w:r>
    </w:p>
    <w:p>
      <w:pPr>
        <w:pStyle w:val="8"/>
        <w:tabs>
          <w:tab w:val="right" w:leader="dot" w:pos="14800"/>
        </w:tabs>
      </w:pPr>
      <w:r>
        <w:fldChar w:fldCharType="begin"/>
      </w:r>
      <w:r>
        <w:instrText xml:space="preserve"> HYPERLINK \l _Toc2603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_Toc2603 </w:instrText>
      </w:r>
      <w:r>
        <w:fldChar w:fldCharType="separate"/>
      </w:r>
      <w:r>
        <w:t>5</w:t>
      </w:r>
      <w:r>
        <w:fldChar w:fldCharType="end"/>
      </w:r>
      <w:r>
        <w:fldChar w:fldCharType="end"/>
      </w:r>
    </w:p>
    <w:p>
      <w:pPr>
        <w:pStyle w:val="8"/>
        <w:tabs>
          <w:tab w:val="right" w:leader="dot" w:pos="14800"/>
        </w:tabs>
      </w:pPr>
      <w:r>
        <w:fldChar w:fldCharType="begin"/>
      </w:r>
      <w:r>
        <w:instrText xml:space="preserve"> HYPERLINK \l _Toc3211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_Toc3211 </w:instrText>
      </w:r>
      <w:r>
        <w:fldChar w:fldCharType="separate"/>
      </w:r>
      <w:r>
        <w:t>6</w:t>
      </w:r>
      <w:r>
        <w:fldChar w:fldCharType="end"/>
      </w:r>
      <w:r>
        <w:fldChar w:fldCharType="end"/>
      </w:r>
    </w:p>
    <w:p>
      <w:pPr>
        <w:pStyle w:val="8"/>
        <w:tabs>
          <w:tab w:val="right" w:leader="dot" w:pos="14800"/>
        </w:tabs>
      </w:pPr>
      <w:r>
        <w:fldChar w:fldCharType="begin"/>
      </w:r>
      <w:r>
        <w:instrText xml:space="preserve"> HYPERLINK \l _Toc20888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_Toc20888 </w:instrText>
      </w:r>
      <w:r>
        <w:fldChar w:fldCharType="separate"/>
      </w:r>
      <w:r>
        <w:t>8</w:t>
      </w:r>
      <w:r>
        <w:fldChar w:fldCharType="end"/>
      </w:r>
      <w:r>
        <w:fldChar w:fldCharType="end"/>
      </w:r>
    </w:p>
    <w:p>
      <w:pPr>
        <w:pStyle w:val="8"/>
        <w:tabs>
          <w:tab w:val="right" w:leader="dot" w:pos="14800"/>
        </w:tabs>
      </w:pPr>
      <w:r>
        <w:fldChar w:fldCharType="begin"/>
      </w:r>
      <w:r>
        <w:instrText xml:space="preserve"> HYPERLINK \l _Toc25307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_Toc25307 </w:instrText>
      </w:r>
      <w:r>
        <w:fldChar w:fldCharType="separate"/>
      </w:r>
      <w:r>
        <w:t>9</w:t>
      </w:r>
      <w:r>
        <w:fldChar w:fldCharType="end"/>
      </w:r>
      <w:r>
        <w:fldChar w:fldCharType="end"/>
      </w:r>
    </w:p>
    <w:p>
      <w:pPr>
        <w:pStyle w:val="8"/>
        <w:tabs>
          <w:tab w:val="right" w:leader="dot" w:pos="14800"/>
        </w:tabs>
      </w:pPr>
      <w:r>
        <w:fldChar w:fldCharType="begin"/>
      </w:r>
      <w:r>
        <w:instrText xml:space="preserve"> HYPERLINK \l _Toc32514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_Toc32514 </w:instrText>
      </w:r>
      <w:r>
        <w:fldChar w:fldCharType="separate"/>
      </w:r>
      <w:r>
        <w:t>10</w:t>
      </w:r>
      <w:r>
        <w:fldChar w:fldCharType="end"/>
      </w:r>
      <w:r>
        <w:fldChar w:fldCharType="end"/>
      </w:r>
    </w:p>
    <w:p>
      <w:pPr>
        <w:pStyle w:val="8"/>
        <w:tabs>
          <w:tab w:val="right" w:leader="dot" w:pos="14800"/>
        </w:tabs>
      </w:pPr>
      <w:r>
        <w:fldChar w:fldCharType="begin"/>
      </w:r>
      <w:r>
        <w:instrText xml:space="preserve"> HYPERLINK \l _Toc10028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_Toc10028 </w:instrText>
      </w:r>
      <w:r>
        <w:fldChar w:fldCharType="separate"/>
      </w:r>
      <w:r>
        <w:t>11</w:t>
      </w:r>
      <w:r>
        <w:fldChar w:fldCharType="end"/>
      </w:r>
      <w:r>
        <w:fldChar w:fldCharType="end"/>
      </w:r>
    </w:p>
    <w:p>
      <w:pPr>
        <w:pStyle w:val="8"/>
        <w:tabs>
          <w:tab w:val="right" w:leader="dot" w:pos="14800"/>
        </w:tabs>
      </w:pPr>
      <w:r>
        <w:fldChar w:fldCharType="begin"/>
      </w:r>
      <w:r>
        <w:instrText xml:space="preserve"> HYPERLINK \l _Toc13184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_Toc13184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
        <w:tabs>
          <w:tab w:val="right" w:leader="dot" w:pos="14800"/>
        </w:tabs>
        <w:rPr>
          <w:rFonts w:ascii="方正小标宋_GBK" w:hAnsi="方正小标宋_GBK" w:eastAsia="方正小标宋_GBK" w:cs="方正小标宋_GBK"/>
          <w:sz w:val="24"/>
          <w:szCs w:val="24"/>
          <w:lang w:val="en-US" w:eastAsia="uk-UA" w:bidi="ar-SA"/>
        </w:rPr>
      </w:pPr>
      <w:r>
        <w:fldChar w:fldCharType="begin"/>
      </w:r>
      <w:r>
        <w:instrText xml:space="preserve">TOC \o "3-3" \h \z \u</w:instrText>
      </w:r>
      <w:r>
        <w:fldChar w:fldCharType="separate"/>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一、部门职责及机构设置情况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13</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二、部门预算安排的总体情况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三、机关运行经费安排情况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四、财政拨款“三公”经费预算情况及增减变化原因</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17</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五、预算绩效信息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18</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六、政府采购预算情况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30</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七、国有资产信息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31</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八、名词解释</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九、其他需要说明的事项</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rPr>
          <w:rFonts w:ascii="方正小标宋_GBK" w:hAnsi="方正小标宋_GBK" w:cs="方正小标宋_GBK" w:eastAsiaTheme="minorEastAsia"/>
          <w:color w:val="000000"/>
          <w:sz w:val="36"/>
          <w:lang w:eastAsia="zh-CN"/>
        </w:rPr>
        <w:sectPr>
          <w:pgSz w:w="16840" w:h="11900" w:orient="landscape"/>
          <w:pgMar w:top="1361" w:right="1020" w:bottom="1134" w:left="1020" w:header="720" w:footer="720" w:gutter="0"/>
          <w:pgNumType w:fmt="decimal" w:start="1"/>
          <w:cols w:space="720" w:num="1"/>
        </w:sectPr>
      </w:pPr>
      <w:r>
        <w:fldChar w:fldCharType="end"/>
      </w:r>
      <w:bookmarkStart w:id="19" w:name="_GoBack"/>
    </w:p>
    <w:bookmarkEnd w:id="19"/>
    <w:p>
      <w:pPr>
        <w:jc w:val="center"/>
        <w:outlineLvl w:val="1"/>
      </w:pPr>
      <w:bookmarkStart w:id="0" w:name="_Toc24699"/>
      <w:r>
        <w:rPr>
          <w:rFonts w:ascii="方正小标宋_GBK" w:hAnsi="方正小标宋_GBK" w:eastAsia="方正小标宋_GBK" w:cs="方正小标宋_GBK"/>
          <w:color w:val="000000"/>
          <w:sz w:val="36"/>
        </w:rPr>
        <w:t>部门预算收支总表</w:t>
      </w:r>
      <w:bookmarkEnd w:id="0"/>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126"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6662"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6661"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四、财政专户管理资金收入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五、事业收入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六、事业单位经营收入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七、上级补助收入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八、附属单位上缴收入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九、其他收入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10"/>
        <w:tblW w:w="14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4551"/>
        <w:gridCol w:w="2133"/>
        <w:gridCol w:w="4550"/>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上年结转结余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年终结转结余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1"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13514"/>
      <w:r>
        <w:rPr>
          <w:rFonts w:ascii="方正小标宋_GBK" w:hAnsi="方正小标宋_GBK" w:eastAsia="方正小标宋_GBK" w:cs="方正小标宋_GBK"/>
          <w:color w:val="000000"/>
          <w:sz w:val="36"/>
        </w:rPr>
        <w:t>部门预算收入总表</w:t>
      </w:r>
      <w:bookmarkEnd w:id="1"/>
    </w:p>
    <w:tbl>
      <w:tblPr>
        <w:tblStyle w:val="10"/>
        <w:tblW w:w="145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987"/>
        <w:gridCol w:w="1753"/>
        <w:gridCol w:w="927"/>
        <w:gridCol w:w="1128"/>
        <w:gridCol w:w="1"/>
        <w:gridCol w:w="1128"/>
        <w:gridCol w:w="1129"/>
        <w:gridCol w:w="1128"/>
        <w:gridCol w:w="1129"/>
        <w:gridCol w:w="1128"/>
        <w:gridCol w:w="1128"/>
        <w:gridCol w:w="1129"/>
        <w:gridCol w:w="1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5" w:hRule="atLeast"/>
          <w:tblHeader/>
          <w:jc w:val="center"/>
        </w:trPr>
        <w:tc>
          <w:tcPr>
            <w:tcW w:w="5472" w:type="dxa"/>
            <w:gridSpan w:val="5"/>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3386" w:type="dxa"/>
            <w:gridSpan w:val="4"/>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642"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tblHeader/>
          <w:jc w:val="center"/>
        </w:trPr>
        <w:tc>
          <w:tcPr>
            <w:tcW w:w="67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2740"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92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9028" w:type="dxa"/>
            <w:gridSpan w:val="9"/>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本年收入</w:t>
            </w:r>
          </w:p>
        </w:tc>
        <w:tc>
          <w:tcPr>
            <w:tcW w:w="1128"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tblHeader/>
          <w:jc w:val="center"/>
        </w:trPr>
        <w:tc>
          <w:tcPr>
            <w:tcW w:w="677" w:type="dxa"/>
            <w:vMerge w:val="continue"/>
          </w:tcPr>
          <w:p>
            <w:pPr>
              <w:keepNext w:val="0"/>
              <w:keepLines w:val="0"/>
              <w:widowControl/>
              <w:suppressLineNumbers w:val="0"/>
              <w:spacing w:before="0" w:beforeAutospacing="0" w:after="0" w:afterAutospacing="0"/>
              <w:ind w:left="0" w:right="0"/>
              <w:rPr>
                <w:rFonts w:hint="default"/>
              </w:rPr>
            </w:pPr>
          </w:p>
        </w:tc>
        <w:tc>
          <w:tcPr>
            <w:tcW w:w="98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17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927" w:type="dxa"/>
            <w:vMerge w:val="continue"/>
          </w:tcPr>
          <w:p>
            <w:pPr>
              <w:keepNext w:val="0"/>
              <w:keepLines w:val="0"/>
              <w:widowControl/>
              <w:suppressLineNumbers w:val="0"/>
              <w:spacing w:before="0" w:beforeAutospacing="0" w:after="0" w:afterAutospacing="0"/>
              <w:ind w:left="0" w:right="0"/>
              <w:rPr>
                <w:rFonts w:hint="default"/>
              </w:rPr>
            </w:pPr>
          </w:p>
        </w:tc>
        <w:tc>
          <w:tcPr>
            <w:tcW w:w="1129"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小计</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财政拨款 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 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事业收入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上级补助收入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附属单位上缴收入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其他收入</w:t>
            </w:r>
          </w:p>
        </w:tc>
        <w:tc>
          <w:tcPr>
            <w:tcW w:w="1128"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tblHeader/>
          <w:jc w:val="center"/>
        </w:trPr>
        <w:tc>
          <w:tcPr>
            <w:tcW w:w="67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8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7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9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129"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9</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10</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11</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87" w:type="dxa"/>
            <w:vAlign w:val="center"/>
          </w:tcPr>
          <w:p>
            <w:pPr>
              <w:pStyle w:val="22"/>
              <w:keepNext w:val="0"/>
              <w:keepLines w:val="0"/>
              <w:widowControl/>
              <w:suppressLineNumbers w:val="0"/>
              <w:spacing w:before="0" w:beforeAutospacing="0" w:after="0" w:afterAutospacing="0"/>
              <w:ind w:left="0" w:right="0"/>
              <w:rPr>
                <w:rFonts w:hint="default"/>
              </w:rPr>
            </w:pPr>
          </w:p>
        </w:tc>
        <w:tc>
          <w:tcPr>
            <w:tcW w:w="1753"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927"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129" w:type="dxa"/>
            <w:gridSpan w:val="2"/>
            <w:vAlign w:val="center"/>
          </w:tcPr>
          <w:p>
            <w:pPr>
              <w:pStyle w:val="21"/>
              <w:keepNext w:val="0"/>
              <w:keepLines w:val="0"/>
              <w:widowControl/>
              <w:suppressLineNumbers w:val="0"/>
              <w:spacing w:before="0" w:beforeAutospacing="0" w:after="0" w:afterAutospacing="0"/>
              <w:ind w:left="0" w:right="0"/>
              <w:rPr>
                <w:rFonts w:hint="default"/>
              </w:rPr>
            </w:pPr>
            <w:r>
              <w:rPr>
                <w:rFonts w:hint="eastAsia"/>
                <w:lang w:val="en-US" w:eastAsia="zh-CN"/>
              </w:rPr>
              <w:t>839.4</w:t>
            </w:r>
            <w:r>
              <w:rPr>
                <w:rFonts w:hint="default"/>
              </w:rPr>
              <w:t>3</w:t>
            </w:r>
          </w:p>
        </w:tc>
        <w:tc>
          <w:tcPr>
            <w:tcW w:w="1128"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0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2010</w:t>
            </w:r>
            <w:r>
              <w:rPr>
                <w:rFonts w:hint="eastAsia"/>
                <w:lang w:val="en-US" w:eastAsia="zh-CN"/>
              </w:rPr>
              <w:t>3</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政府办公厅（室）及相关机构事务</w:t>
            </w:r>
          </w:p>
        </w:tc>
        <w:tc>
          <w:tcPr>
            <w:tcW w:w="927"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396.11</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18.25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207</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文化旅游体育与传媒支出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文化与旅游</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70199</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其他文化与旅游支出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208050</w:t>
            </w:r>
            <w:r>
              <w:rPr>
                <w:rFonts w:hint="eastAsia"/>
                <w:lang w:val="en-US" w:eastAsia="zh-CN"/>
              </w:rPr>
              <w:t>5</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机关事业单位基本养老缴费支出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210</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13</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1753"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sz w:val="18"/>
                <w:szCs w:val="18"/>
              </w:rPr>
              <w:t>行政事业单位</w:t>
            </w:r>
            <w:r>
              <w:rPr>
                <w:rFonts w:hint="eastAsia"/>
                <w:sz w:val="18"/>
                <w:szCs w:val="18"/>
                <w:lang w:val="en-US" w:eastAsia="zh-CN"/>
              </w:rPr>
              <w:t>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12.45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15</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2130</w:t>
            </w:r>
            <w:r>
              <w:rPr>
                <w:rFonts w:hint="eastAsia"/>
                <w:lang w:val="en-US" w:eastAsia="zh-CN"/>
              </w:rPr>
              <w:t>5</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巩固脱贫衔接乡村振兴</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2130</w:t>
            </w:r>
            <w:r>
              <w:rPr>
                <w:rFonts w:hint="eastAsia"/>
                <w:lang w:val="en-US" w:eastAsia="zh-CN"/>
              </w:rPr>
              <w:t>504</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19</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2</w:t>
            </w:r>
            <w:r>
              <w:rPr>
                <w:rFonts w:hint="eastAsia"/>
                <w:lang w:val="en-US" w:eastAsia="zh-CN"/>
              </w:rPr>
              <w:t>1</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2603"/>
      <w:r>
        <w:rPr>
          <w:rFonts w:ascii="方正小标宋_GBK" w:hAnsi="方正小标宋_GBK" w:eastAsia="方正小标宋_GBK" w:cs="方正小标宋_GBK"/>
          <w:color w:val="000000"/>
          <w:sz w:val="36"/>
        </w:rPr>
        <w:t>部门预算支出总表</w:t>
      </w:r>
      <w:bookmarkEnd w:id="2"/>
    </w:p>
    <w:tbl>
      <w:tblPr>
        <w:tblStyle w:val="10"/>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722" w:type="dxa"/>
            <w:gridSpan w:val="2"/>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528"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上解上级     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9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92"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370.00</w:t>
            </w: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36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巩固脱贫衔接乡村振兴</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504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19</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20</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r>
              <w:rPr>
                <w:rFonts w:hint="eastAsia"/>
                <w:lang w:val="en-US" w:eastAsia="zh-CN"/>
              </w:rPr>
              <w:t>1</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3211"/>
      <w:r>
        <w:rPr>
          <w:rFonts w:ascii="方正小标宋_GBK" w:hAnsi="方正小标宋_GBK" w:eastAsia="方正小标宋_GBK" w:cs="方正小标宋_GBK"/>
          <w:color w:val="000000"/>
          <w:sz w:val="36"/>
        </w:rPr>
        <w:t>部门预算财政拨款收支总表</w:t>
      </w:r>
      <w:bookmarkEnd w:id="3"/>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3402"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487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9298" w:type="dxa"/>
            <w:gridSpan w:val="5"/>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金额</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一般公共预算财政拨款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政府性基金预算财政    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年初财政拨款结转和结余</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年末财政拨款结转和结余</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36</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20888"/>
      <w:r>
        <w:rPr>
          <w:rFonts w:ascii="方正小标宋_GBK" w:hAnsi="方正小标宋_GBK" w:eastAsia="方正小标宋_GBK" w:cs="方正小标宋_GBK"/>
          <w:color w:val="000000"/>
          <w:sz w:val="36"/>
        </w:rPr>
        <w:t>部门预算一般公共预算财政拨款支出表</w:t>
      </w:r>
      <w:bookmarkEnd w:id="4"/>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1"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巩固脱贫衔接乡村振兴</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504</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20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r>
              <w:rPr>
                <w:rFonts w:hint="eastAsia"/>
                <w:lang w:val="en-US" w:eastAsia="zh-CN"/>
              </w:rPr>
              <w:t>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25307"/>
      <w:r>
        <w:rPr>
          <w:rFonts w:ascii="方正小标宋_GBK" w:hAnsi="方正小标宋_GBK" w:eastAsia="方正小标宋_GBK" w:cs="方正小标宋_GBK"/>
          <w:color w:val="000000"/>
          <w:sz w:val="36"/>
        </w:rPr>
        <w:t>部门预算一般公共预算财政拨款基本支出表</w:t>
      </w:r>
      <w:bookmarkEnd w:id="5"/>
    </w:p>
    <w:tbl>
      <w:tblPr>
        <w:tblStyle w:val="10"/>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支出部门经济分类科目</w:t>
            </w:r>
          </w:p>
        </w:tc>
        <w:tc>
          <w:tcPr>
            <w:tcW w:w="7654" w:type="dxa"/>
            <w:gridSpan w:val="3"/>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人员经费</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1"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395.27</w:t>
            </w:r>
          </w:p>
        </w:tc>
        <w:tc>
          <w:tcPr>
            <w:tcW w:w="255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工资福利支出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390.91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390.91</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基本工资</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189.75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189.75</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津贴补贴</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78.80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78.80</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奖金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6.22</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30107</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绩效工资</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41.18</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41.18</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机关事业单位基本养老保险缴费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30110</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城镇职工基本医疗保险缴费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eastAsia" w:eastAsia="方正书宋_GBK"/>
                <w:lang w:eastAsia="zh-CN"/>
              </w:rPr>
            </w:pPr>
            <w:r>
              <w:rPr>
                <w:rFonts w:hint="eastAsia"/>
                <w:lang w:val="en-US" w:eastAsia="zh-CN"/>
              </w:rPr>
              <w:t>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其他社会保障缴费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1.64</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1.64</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商品和服务支出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74.16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办公费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10.19</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3020</w:t>
            </w:r>
            <w:r>
              <w:rPr>
                <w:rFonts w:hint="eastAsia"/>
                <w:lang w:val="en-US" w:eastAsia="zh-CN"/>
              </w:rPr>
              <w:t>8</w:t>
            </w:r>
          </w:p>
        </w:tc>
        <w:tc>
          <w:tcPr>
            <w:tcW w:w="4535"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取暖费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30211</w:t>
            </w:r>
          </w:p>
        </w:tc>
        <w:tc>
          <w:tcPr>
            <w:tcW w:w="4535" w:type="dxa"/>
            <w:vAlign w:val="center"/>
          </w:tcPr>
          <w:p>
            <w:pPr>
              <w:pStyle w:val="18"/>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差旅费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1.20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302</w:t>
            </w:r>
            <w:r>
              <w:rPr>
                <w:rFonts w:hint="eastAsia"/>
                <w:lang w:val="en-US" w:eastAsia="zh-CN"/>
              </w:rPr>
              <w:t>17</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eastAsia"/>
                <w:lang w:val="en-US" w:eastAsia="zh-CN"/>
              </w:rPr>
              <w:t>公务接待费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30226</w:t>
            </w:r>
          </w:p>
        </w:tc>
        <w:tc>
          <w:tcPr>
            <w:tcW w:w="4535" w:type="dxa"/>
            <w:vAlign w:val="center"/>
          </w:tcPr>
          <w:p>
            <w:pPr>
              <w:pStyle w:val="18"/>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劳务费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25.35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工会经费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3.10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福利费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5.04</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19</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30231</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eastAsia"/>
                <w:lang w:val="en-US" w:eastAsia="zh-CN"/>
              </w:rPr>
              <w:t>公务用车运行维护费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30239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其他交通费用</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11.88</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30299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其他商品和服务支出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0.40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对个人和家庭的补助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30305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生活补助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32514"/>
      <w:r>
        <w:rPr>
          <w:rFonts w:ascii="方正小标宋_GBK" w:hAnsi="方正小标宋_GBK" w:eastAsia="方正小标宋_GBK" w:cs="方正小标宋_GBK"/>
          <w:color w:val="000000"/>
          <w:sz w:val="36"/>
        </w:rPr>
        <w:t>部门预算政府基金预算财政拨款支出表</w:t>
      </w:r>
      <w:bookmarkEnd w:id="6"/>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2022年，我部门</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10028"/>
      <w:r>
        <w:rPr>
          <w:rFonts w:ascii="方正小标宋_GBK" w:hAnsi="方正小标宋_GBK" w:eastAsia="方正小标宋_GBK" w:cs="方正小标宋_GBK"/>
          <w:color w:val="000000"/>
          <w:sz w:val="36"/>
        </w:rPr>
        <w:t>部门预算国有资本经营预算财政拨款支出表</w:t>
      </w:r>
      <w:bookmarkEnd w:id="7"/>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2022年，我部门</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13184"/>
      <w:r>
        <w:rPr>
          <w:rFonts w:ascii="方正小标宋_GBK" w:hAnsi="方正小标宋_GBK" w:eastAsia="方正小标宋_GBK" w:cs="方正小标宋_GBK"/>
          <w:color w:val="000000"/>
          <w:sz w:val="36"/>
        </w:rPr>
        <w:t>部门预算财政拨款“三公”经费支出表</w:t>
      </w:r>
      <w:bookmarkEnd w:id="8"/>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38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3798"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9525" w:type="dxa"/>
            <w:gridSpan w:val="4"/>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798" w:type="dxa"/>
            <w:vMerge w:val="continue"/>
          </w:tcPr>
          <w:p>
            <w:pPr>
              <w:keepNext w:val="0"/>
              <w:keepLines w:val="0"/>
              <w:widowControl/>
              <w:suppressLineNumbers w:val="0"/>
              <w:spacing w:before="0" w:beforeAutospacing="0" w:after="0" w:afterAutospacing="0"/>
              <w:ind w:left="0" w:right="0"/>
              <w:rPr>
                <w:rFonts w:hint="default"/>
              </w:rPr>
            </w:pP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              财政拨款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                  预算拨款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79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798"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38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“三公”经费小计</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其中：教学科研人员因公出国（境）费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其他因公出国（境）费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二、公务用车购置及运维费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其中：公务用车购置费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公务用车运行维护费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三、公务接待费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四、会议费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五、培训费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val="en-US" w:eastAsia="zh-CN"/>
        </w:rPr>
        <w:t>涞水县永阳镇人民政府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永阳镇人民政府</w:t>
      </w:r>
      <w:r>
        <w:rPr>
          <w:rFonts w:eastAsia="方正仿宋_GBK"/>
          <w:color w:val="000000"/>
          <w:sz w:val="28"/>
        </w:rPr>
        <w:t>2022年部门预算公开如下：</w:t>
      </w:r>
    </w:p>
    <w:p>
      <w:pPr>
        <w:spacing w:before="10" w:after="10" w:line="360" w:lineRule="auto"/>
        <w:ind w:firstLine="640"/>
        <w:outlineLvl w:val="2"/>
      </w:pPr>
      <w:bookmarkStart w:id="9" w:name="_Toc17941"/>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单位名称</w:t>
            </w:r>
          </w:p>
        </w:tc>
        <w:tc>
          <w:tcPr>
            <w:tcW w:w="184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单位性质</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单位规格</w:t>
            </w:r>
          </w:p>
        </w:tc>
        <w:tc>
          <w:tcPr>
            <w:tcW w:w="38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涞水县永阳镇人民政府</w:t>
            </w:r>
            <w:r>
              <w:rPr>
                <w:rFonts w:hint="default"/>
              </w:rPr>
              <w:t>（本级）</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行政</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正科级</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eastAsia"/>
                <w:lang w:val="en-US" w:eastAsia="zh-CN"/>
              </w:rPr>
              <w:t>涞水县永阳镇人民政府事业</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行政</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正科级</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bookmarkStart w:id="10" w:name="_Toc32624"/>
      <w:r>
        <w:rPr>
          <w:rFonts w:ascii="黑体" w:hAnsi="黑体" w:eastAsia="黑体" w:cs="黑体"/>
          <w:color w:val="000000"/>
          <w:sz w:val="32"/>
        </w:rPr>
        <w:t>二、部门预算安排的总体情况</w:t>
      </w:r>
      <w:bookmarkEnd w:id="10"/>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pStyle w:val="3"/>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lang w:val="en-US" w:eastAsia="uk-UA" w:bidi="ar-SA"/>
        </w:rPr>
        <w:t>202</w:t>
      </w:r>
      <w:r>
        <w:rPr>
          <w:rFonts w:ascii="Times New Roman" w:hAnsi="Times New Roman" w:eastAsia="方正仿宋_GBK" w:cs="Times New Roman"/>
          <w:color w:val="000000"/>
          <w:sz w:val="28"/>
          <w:szCs w:val="24"/>
          <w:lang w:val="en-US" w:eastAsia="uk-UA" w:bidi="ar-SA"/>
        </w:rPr>
        <w:t>2</w:t>
      </w:r>
      <w:r>
        <w:rPr>
          <w:rFonts w:hint="eastAsia" w:ascii="Times New Roman" w:hAnsi="Times New Roman" w:eastAsia="方正仿宋_GBK" w:cs="Times New Roman"/>
          <w:color w:val="000000"/>
          <w:sz w:val="28"/>
          <w:szCs w:val="24"/>
          <w:lang w:val="en-US" w:eastAsia="uk-UA" w:bidi="ar-SA"/>
        </w:rPr>
        <w:t>年我部门预算总收入</w:t>
      </w:r>
      <w:bookmarkStart w:id="11" w:name="_Hlk96712705"/>
      <w:r>
        <w:rPr>
          <w:rFonts w:ascii="Times New Roman" w:hAnsi="Times New Roman" w:eastAsia="方正仿宋_GBK" w:cs="Times New Roman"/>
          <w:color w:val="000000"/>
          <w:sz w:val="28"/>
          <w:szCs w:val="24"/>
          <w:lang w:val="en-US" w:eastAsia="uk-UA" w:bidi="ar-SA"/>
        </w:rPr>
        <w:t>489.43</w:t>
      </w:r>
      <w:bookmarkEnd w:id="11"/>
      <w:r>
        <w:rPr>
          <w:rFonts w:hint="eastAsia" w:ascii="Times New Roman" w:hAnsi="Times New Roman" w:eastAsia="方正仿宋_GBK" w:cs="Times New Roman"/>
          <w:color w:val="000000"/>
          <w:sz w:val="28"/>
          <w:szCs w:val="24"/>
          <w:lang w:val="en-US" w:eastAsia="uk-UA" w:bidi="ar-SA"/>
        </w:rPr>
        <w:t>万元。其中:一般公共预算拨款收入</w:t>
      </w:r>
      <w:r>
        <w:rPr>
          <w:rFonts w:ascii="Times New Roman" w:hAnsi="Times New Roman" w:eastAsia="方正仿宋_GBK" w:cs="Times New Roman"/>
          <w:color w:val="000000"/>
          <w:sz w:val="28"/>
          <w:szCs w:val="24"/>
          <w:lang w:val="en-US" w:eastAsia="uk-UA" w:bidi="ar-SA"/>
        </w:rPr>
        <w:t>489.43</w:t>
      </w:r>
      <w:r>
        <w:rPr>
          <w:rFonts w:hint="eastAsia" w:ascii="Times New Roman" w:hAnsi="Times New Roman" w:eastAsia="方正仿宋_GBK" w:cs="Times New Roman"/>
          <w:color w:val="000000"/>
          <w:sz w:val="28"/>
          <w:szCs w:val="24"/>
          <w:lang w:val="en-US" w:eastAsia="uk-UA" w:bidi="ar-S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pStyle w:val="3"/>
        <w:spacing w:line="520" w:lineRule="exact"/>
        <w:ind w:firstLine="585"/>
        <w:rPr>
          <w:rFonts w:hAnsi="宋体"/>
          <w:sz w:val="30"/>
          <w:szCs w:val="30"/>
        </w:rPr>
      </w:pPr>
      <w:r>
        <w:rPr>
          <w:rFonts w:hint="eastAsia" w:ascii="Times New Roman" w:hAnsi="Times New Roman" w:eastAsia="方正仿宋_GBK" w:cs="Times New Roman"/>
          <w:color w:val="000000"/>
          <w:sz w:val="28"/>
          <w:szCs w:val="24"/>
          <w:lang w:val="en-US" w:eastAsia="uk-UA" w:bidi="ar-SA"/>
        </w:rPr>
        <w:t>202</w:t>
      </w:r>
      <w:r>
        <w:rPr>
          <w:rFonts w:ascii="Times New Roman" w:hAnsi="Times New Roman" w:eastAsia="方正仿宋_GBK" w:cs="Times New Roman"/>
          <w:color w:val="000000"/>
          <w:sz w:val="28"/>
          <w:szCs w:val="24"/>
          <w:lang w:val="en-US" w:eastAsia="uk-UA" w:bidi="ar-SA"/>
        </w:rPr>
        <w:t>2</w:t>
      </w:r>
      <w:r>
        <w:rPr>
          <w:rFonts w:hint="eastAsia" w:ascii="Times New Roman" w:hAnsi="Times New Roman" w:eastAsia="方正仿宋_GBK" w:cs="Times New Roman"/>
          <w:color w:val="000000"/>
          <w:sz w:val="28"/>
          <w:szCs w:val="24"/>
          <w:lang w:val="en-US" w:eastAsia="uk-UA" w:bidi="ar-SA"/>
        </w:rPr>
        <w:t>年我部门年初预算拨款支出</w:t>
      </w:r>
      <w:r>
        <w:rPr>
          <w:rFonts w:ascii="Times New Roman" w:hAnsi="Times New Roman" w:eastAsia="方正仿宋_GBK" w:cs="Times New Roman"/>
          <w:color w:val="000000"/>
          <w:sz w:val="28"/>
          <w:szCs w:val="24"/>
          <w:lang w:val="en-US" w:eastAsia="uk-UA" w:bidi="ar-SA"/>
        </w:rPr>
        <w:t>489.43</w:t>
      </w:r>
      <w:r>
        <w:rPr>
          <w:rFonts w:hint="eastAsia" w:ascii="Times New Roman" w:hAnsi="Times New Roman" w:eastAsia="方正仿宋_GBK" w:cs="Times New Roman"/>
          <w:color w:val="000000"/>
          <w:sz w:val="28"/>
          <w:szCs w:val="24"/>
          <w:lang w:val="en-US" w:eastAsia="uk-UA" w:bidi="ar-SA"/>
        </w:rPr>
        <w:t>万元。其中：基本支出</w:t>
      </w:r>
      <w:r>
        <w:rPr>
          <w:rFonts w:ascii="Times New Roman" w:hAnsi="Times New Roman" w:eastAsia="方正仿宋_GBK" w:cs="Times New Roman"/>
          <w:color w:val="000000"/>
          <w:sz w:val="28"/>
          <w:szCs w:val="24"/>
          <w:lang w:val="en-US" w:eastAsia="uk-UA" w:bidi="ar-SA"/>
        </w:rPr>
        <w:t>469.43</w:t>
      </w:r>
      <w:r>
        <w:rPr>
          <w:rFonts w:hint="eastAsia" w:ascii="Times New Roman" w:hAnsi="Times New Roman" w:eastAsia="方正仿宋_GBK" w:cs="Times New Roman"/>
          <w:color w:val="000000"/>
          <w:sz w:val="28"/>
          <w:szCs w:val="24"/>
          <w:lang w:val="en-US" w:eastAsia="uk-UA" w:bidi="ar-SA"/>
        </w:rPr>
        <w:t>万元，包含:人员经费预算</w:t>
      </w:r>
      <w:r>
        <w:rPr>
          <w:rFonts w:ascii="Times New Roman" w:hAnsi="Times New Roman" w:eastAsia="方正仿宋_GBK" w:cs="Times New Roman"/>
          <w:color w:val="000000"/>
          <w:sz w:val="28"/>
          <w:szCs w:val="24"/>
          <w:lang w:val="en-US" w:eastAsia="uk-UA" w:bidi="ar-SA"/>
        </w:rPr>
        <w:t>395.27</w:t>
      </w:r>
      <w:r>
        <w:rPr>
          <w:rFonts w:hint="eastAsia" w:ascii="Times New Roman" w:hAnsi="Times New Roman" w:eastAsia="方正仿宋_GBK" w:cs="Times New Roman"/>
          <w:color w:val="000000"/>
          <w:sz w:val="28"/>
          <w:szCs w:val="24"/>
          <w:lang w:val="en-US" w:eastAsia="uk-UA" w:bidi="ar-SA"/>
        </w:rPr>
        <w:t>万元；正常公用经费</w:t>
      </w:r>
      <w:r>
        <w:rPr>
          <w:rFonts w:ascii="Times New Roman" w:hAnsi="Times New Roman" w:eastAsia="方正仿宋_GBK" w:cs="Times New Roman"/>
          <w:color w:val="000000"/>
          <w:sz w:val="28"/>
          <w:szCs w:val="24"/>
          <w:lang w:val="en-US" w:eastAsia="uk-UA" w:bidi="ar-SA"/>
        </w:rPr>
        <w:t>74.16</w:t>
      </w:r>
      <w:r>
        <w:rPr>
          <w:rFonts w:hint="eastAsia" w:ascii="Times New Roman" w:hAnsi="Times New Roman" w:eastAsia="方正仿宋_GBK" w:cs="Times New Roman"/>
          <w:color w:val="000000"/>
          <w:sz w:val="28"/>
          <w:szCs w:val="24"/>
          <w:lang w:val="en-US" w:eastAsia="uk-UA" w:bidi="ar-SA"/>
        </w:rPr>
        <w:t>万元；项目支出</w:t>
      </w:r>
      <w:r>
        <w:rPr>
          <w:rFonts w:ascii="Times New Roman" w:hAnsi="Times New Roman" w:eastAsia="方正仿宋_GBK" w:cs="Times New Roman"/>
          <w:color w:val="000000"/>
          <w:sz w:val="28"/>
          <w:szCs w:val="24"/>
          <w:lang w:val="en-US" w:eastAsia="uk-UA" w:bidi="ar-SA"/>
        </w:rPr>
        <w:t>20</w:t>
      </w:r>
      <w:r>
        <w:rPr>
          <w:rFonts w:hint="eastAsia" w:ascii="Times New Roman" w:hAnsi="Times New Roman" w:eastAsia="方正仿宋_GBK" w:cs="Times New Roman"/>
          <w:color w:val="000000"/>
          <w:sz w:val="28"/>
          <w:szCs w:val="24"/>
          <w:lang w:val="en-US" w:eastAsia="uk-UA" w:bidi="ar-SA"/>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20" w:lineRule="exact"/>
        <w:ind w:firstLine="688" w:firstLineChars="246"/>
        <w:rPr>
          <w:rFonts w:ascii="宋体" w:hAnsi="宋体" w:cs="仿宋_GB2312"/>
          <w:sz w:val="32"/>
          <w:szCs w:val="32"/>
        </w:rPr>
      </w:pPr>
      <w:r>
        <w:rPr>
          <w:rFonts w:hint="eastAsia" w:eastAsia="方正仿宋_GBK"/>
          <w:color w:val="000000"/>
          <w:sz w:val="28"/>
        </w:rPr>
        <w:t>本年度预算收支安排</w:t>
      </w:r>
      <w:r>
        <w:rPr>
          <w:rFonts w:eastAsia="方正仿宋_GBK"/>
          <w:color w:val="000000"/>
          <w:sz w:val="28"/>
        </w:rPr>
        <w:t>489.43</w:t>
      </w:r>
      <w:r>
        <w:rPr>
          <w:rFonts w:hint="eastAsia" w:eastAsia="方正仿宋_GBK"/>
          <w:color w:val="000000"/>
          <w:sz w:val="28"/>
        </w:rPr>
        <w:t>万元，基本支出、正常公用、项目支出增加，较上年增加</w:t>
      </w:r>
      <w:r>
        <w:rPr>
          <w:rFonts w:eastAsia="方正仿宋_GBK"/>
          <w:color w:val="000000"/>
          <w:sz w:val="28"/>
        </w:rPr>
        <w:t>187.96</w:t>
      </w:r>
      <w:r>
        <w:rPr>
          <w:rFonts w:hint="eastAsia" w:eastAsia="方正仿宋_GBK"/>
          <w:color w:val="000000"/>
          <w:sz w:val="28"/>
        </w:rPr>
        <w:t>万元。原因是本年度有人员调入、公务交通补贴、三公经费支出在本年度体现，项目增加，所以支出增加</w:t>
      </w:r>
      <w:r>
        <w:rPr>
          <w:rFonts w:hint="eastAsia" w:ascii="宋体" w:hAnsi="宋体" w:cs="仿宋_GB2312"/>
          <w:sz w:val="32"/>
          <w:szCs w:val="32"/>
        </w:rPr>
        <w:t>。</w:t>
      </w:r>
    </w:p>
    <w:p>
      <w:pPr>
        <w:spacing w:before="10" w:after="10" w:line="360" w:lineRule="auto"/>
        <w:ind w:firstLine="640"/>
        <w:outlineLvl w:val="2"/>
        <w:rPr>
          <w:rFonts w:ascii="黑体" w:hAnsi="黑体" w:eastAsia="黑体" w:cs="黑体"/>
          <w:color w:val="000000"/>
          <w:sz w:val="32"/>
        </w:rPr>
      </w:pPr>
      <w:bookmarkStart w:id="12" w:name="_Toc18732"/>
    </w:p>
    <w:p>
      <w:pPr>
        <w:spacing w:before="10" w:after="10" w:line="360" w:lineRule="auto"/>
        <w:ind w:firstLine="640"/>
        <w:outlineLvl w:val="2"/>
      </w:pPr>
      <w:r>
        <w:rPr>
          <w:rFonts w:ascii="黑体" w:hAnsi="黑体" w:eastAsia="黑体" w:cs="黑体"/>
          <w:color w:val="000000"/>
          <w:sz w:val="32"/>
        </w:rPr>
        <w:t>三、机关运行经费安排情况</w:t>
      </w:r>
      <w:bookmarkEnd w:id="12"/>
    </w:p>
    <w:p>
      <w:pPr>
        <w:keepNext w:val="0"/>
        <w:keepLines w:val="0"/>
        <w:widowControl/>
        <w:suppressLineNumbers w:val="0"/>
        <w:spacing w:before="0" w:beforeAutospacing="0" w:after="0" w:afterAutospacing="0" w:line="500" w:lineRule="exact"/>
        <w:ind w:left="0" w:right="0" w:firstLine="560"/>
        <w:jc w:val="left"/>
        <w:rPr>
          <w:rFonts w:eastAsia="方正仿宋_GBK"/>
          <w:color w:val="000000"/>
          <w:sz w:val="28"/>
          <w:szCs w:val="24"/>
          <w:lang w:val="en-US"/>
        </w:rPr>
      </w:pPr>
      <w:r>
        <w:rPr>
          <w:rFonts w:hint="eastAsia" w:eastAsia="方正仿宋_GBK"/>
          <w:color w:val="000000"/>
          <w:sz w:val="28"/>
        </w:rPr>
        <w:t>2022年</w:t>
      </w:r>
      <w:r>
        <w:rPr>
          <w:rFonts w:hint="eastAsia" w:eastAsia="方正仿宋_GBK"/>
          <w:color w:val="000000"/>
          <w:sz w:val="28"/>
          <w:lang w:val="en-US" w:eastAsia="zh-CN"/>
        </w:rPr>
        <w:t>涞水县永阳镇人民政府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74.16</w:t>
      </w:r>
      <w:r>
        <w:rPr>
          <w:rFonts w:hint="eastAsia" w:eastAsia="方正仿宋_GBK"/>
          <w:color w:val="000000"/>
          <w:sz w:val="28"/>
        </w:rPr>
        <w:t>万元，</w:t>
      </w:r>
      <w:r>
        <w:rPr>
          <w:rFonts w:hint="eastAsia" w:ascii="Times New Roman" w:hAnsi="方正仿宋_GBK" w:eastAsia="方正仿宋_GBK" w:cs="方正仿宋_GBK"/>
          <w:color w:val="000000"/>
          <w:kern w:val="0"/>
          <w:sz w:val="28"/>
          <w:szCs w:val="24"/>
          <w:lang w:val="en-US" w:eastAsia="zh-CN" w:bidi="ar"/>
        </w:rPr>
        <w:t>其中包含办公费</w:t>
      </w:r>
      <w:r>
        <w:rPr>
          <w:rFonts w:hint="eastAsia" w:eastAsia="方正仿宋_GBK" w:cs="Times New Roman"/>
          <w:color w:val="000000"/>
          <w:kern w:val="0"/>
          <w:sz w:val="28"/>
          <w:szCs w:val="24"/>
          <w:lang w:val="en-US" w:eastAsia="zh-CN" w:bidi="ar"/>
        </w:rPr>
        <w:t>10.19</w:t>
      </w:r>
      <w:r>
        <w:rPr>
          <w:rFonts w:hint="eastAsia" w:ascii="Times New Roman" w:hAnsi="方正仿宋_GBK" w:eastAsia="方正仿宋_GBK" w:cs="方正仿宋_GBK"/>
          <w:color w:val="000000"/>
          <w:kern w:val="0"/>
          <w:sz w:val="28"/>
          <w:szCs w:val="24"/>
          <w:lang w:val="en-US" w:eastAsia="zh-CN" w:bidi="ar"/>
        </w:rPr>
        <w:t>万元，取暖费</w:t>
      </w:r>
      <w:r>
        <w:rPr>
          <w:rFonts w:hint="default" w:ascii="Times New Roman" w:hAnsi="Times New Roman" w:eastAsia="方正仿宋_GBK" w:cs="Times New Roman"/>
          <w:color w:val="000000"/>
          <w:kern w:val="0"/>
          <w:sz w:val="28"/>
          <w:szCs w:val="24"/>
          <w:lang w:val="en-US" w:eastAsia="zh-CN" w:bidi="ar"/>
        </w:rPr>
        <w:t>5</w:t>
      </w:r>
      <w:r>
        <w:rPr>
          <w:rFonts w:hint="eastAsia" w:ascii="Times New Roman" w:hAnsi="方正仿宋_GBK" w:eastAsia="方正仿宋_GBK" w:cs="方正仿宋_GBK"/>
          <w:color w:val="000000"/>
          <w:kern w:val="0"/>
          <w:sz w:val="28"/>
          <w:szCs w:val="24"/>
          <w:lang w:val="en-US" w:eastAsia="zh-CN" w:bidi="ar"/>
        </w:rPr>
        <w:t>万元，差旅费</w:t>
      </w:r>
      <w:r>
        <w:rPr>
          <w:rFonts w:hint="default" w:ascii="Times New Roman" w:hAnsi="Times New Roman" w:eastAsia="方正仿宋_GBK" w:cs="Times New Roman"/>
          <w:color w:val="000000"/>
          <w:kern w:val="0"/>
          <w:sz w:val="28"/>
          <w:szCs w:val="24"/>
          <w:lang w:val="en-US" w:eastAsia="zh-CN" w:bidi="ar"/>
        </w:rPr>
        <w:t>1</w:t>
      </w:r>
      <w:r>
        <w:rPr>
          <w:rFonts w:hint="eastAsia" w:eastAsia="方正仿宋_GBK" w:cs="Times New Roman"/>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万元，公务接待费</w:t>
      </w:r>
      <w:r>
        <w:rPr>
          <w:rFonts w:hint="eastAsia" w:eastAsia="方正仿宋_GBK" w:cs="Times New Roman"/>
          <w:color w:val="000000"/>
          <w:kern w:val="0"/>
          <w:sz w:val="28"/>
          <w:szCs w:val="24"/>
          <w:lang w:val="en-US" w:eastAsia="zh-CN" w:bidi="ar"/>
        </w:rPr>
        <w:t>5.5</w:t>
      </w:r>
      <w:r>
        <w:rPr>
          <w:rFonts w:hint="eastAsia" w:ascii="Times New Roman" w:hAnsi="方正仿宋_GBK" w:eastAsia="方正仿宋_GBK" w:cs="方正仿宋_GBK"/>
          <w:color w:val="000000"/>
          <w:kern w:val="0"/>
          <w:sz w:val="28"/>
          <w:szCs w:val="24"/>
          <w:lang w:val="en-US" w:eastAsia="zh-CN" w:bidi="ar"/>
        </w:rPr>
        <w:t>万元，劳务费</w:t>
      </w:r>
      <w:r>
        <w:rPr>
          <w:rFonts w:hint="eastAsia" w:eastAsia="方正仿宋_GBK" w:cs="Times New Roman"/>
          <w:color w:val="000000"/>
          <w:kern w:val="0"/>
          <w:sz w:val="28"/>
          <w:szCs w:val="24"/>
          <w:lang w:val="en-US" w:eastAsia="zh-CN" w:bidi="ar"/>
        </w:rPr>
        <w:t>25.35</w:t>
      </w:r>
      <w:r>
        <w:rPr>
          <w:rFonts w:hint="eastAsia" w:ascii="Times New Roman" w:hAnsi="方正仿宋_GBK" w:eastAsia="方正仿宋_GBK" w:cs="方正仿宋_GBK"/>
          <w:color w:val="000000"/>
          <w:kern w:val="0"/>
          <w:sz w:val="28"/>
          <w:szCs w:val="24"/>
          <w:lang w:val="en-US" w:eastAsia="zh-CN" w:bidi="ar"/>
        </w:rPr>
        <w:t>万元，工会经费</w:t>
      </w:r>
      <w:r>
        <w:rPr>
          <w:rFonts w:hint="eastAsia" w:eastAsia="方正仿宋_GBK" w:cs="Times New Roman"/>
          <w:color w:val="000000"/>
          <w:kern w:val="0"/>
          <w:sz w:val="28"/>
          <w:szCs w:val="24"/>
          <w:lang w:val="en-US" w:eastAsia="zh-CN" w:bidi="ar"/>
        </w:rPr>
        <w:t>3.1</w:t>
      </w:r>
      <w:r>
        <w:rPr>
          <w:rFonts w:hint="eastAsia" w:ascii="Times New Roman" w:hAnsi="方正仿宋_GBK" w:eastAsia="方正仿宋_GBK" w:cs="方正仿宋_GBK"/>
          <w:color w:val="000000"/>
          <w:kern w:val="0"/>
          <w:sz w:val="28"/>
          <w:szCs w:val="24"/>
          <w:lang w:val="en-US" w:eastAsia="zh-CN" w:bidi="ar"/>
        </w:rPr>
        <w:t>万元，福利费</w:t>
      </w:r>
      <w:r>
        <w:rPr>
          <w:rFonts w:hint="eastAsia" w:hAnsi="方正仿宋_GBK" w:eastAsia="方正仿宋_GBK" w:cs="方正仿宋_GBK"/>
          <w:color w:val="000000"/>
          <w:kern w:val="0"/>
          <w:sz w:val="28"/>
          <w:szCs w:val="24"/>
          <w:lang w:val="en-US" w:eastAsia="zh-CN" w:bidi="ar"/>
        </w:rPr>
        <w:t>5.04</w:t>
      </w:r>
      <w:r>
        <w:rPr>
          <w:rFonts w:hint="eastAsia" w:ascii="Times New Roman" w:hAnsi="方正仿宋_GBK" w:eastAsia="方正仿宋_GBK" w:cs="方正仿宋_GBK"/>
          <w:color w:val="000000"/>
          <w:kern w:val="0"/>
          <w:sz w:val="28"/>
          <w:szCs w:val="24"/>
          <w:lang w:val="en-US" w:eastAsia="zh-CN" w:bidi="ar"/>
        </w:rPr>
        <w:t>万元，公务用车运行维护费</w:t>
      </w:r>
      <w:r>
        <w:rPr>
          <w:rFonts w:hint="eastAsia" w:hAnsi="方正仿宋_GBK" w:eastAsia="方正仿宋_GBK" w:cs="方正仿宋_GBK"/>
          <w:color w:val="000000"/>
          <w:kern w:val="0"/>
          <w:sz w:val="28"/>
          <w:szCs w:val="24"/>
          <w:lang w:val="en-US" w:eastAsia="zh-CN" w:bidi="ar"/>
        </w:rPr>
        <w:t>6.5</w:t>
      </w:r>
      <w:r>
        <w:rPr>
          <w:rFonts w:hint="eastAsia" w:ascii="Times New Roman" w:hAnsi="方正仿宋_GBK" w:eastAsia="方正仿宋_GBK" w:cs="方正仿宋_GBK"/>
          <w:color w:val="000000"/>
          <w:kern w:val="0"/>
          <w:sz w:val="28"/>
          <w:szCs w:val="24"/>
          <w:lang w:val="en-US" w:eastAsia="zh-CN" w:bidi="ar"/>
        </w:rPr>
        <w:t>万元，</w:t>
      </w:r>
      <w:r>
        <w:rPr>
          <w:rFonts w:hint="eastAsia" w:hAnsi="方正仿宋_GBK" w:eastAsia="方正仿宋_GBK" w:cs="方正仿宋_GBK"/>
          <w:color w:val="000000"/>
          <w:kern w:val="0"/>
          <w:sz w:val="28"/>
          <w:szCs w:val="24"/>
          <w:lang w:val="en-US" w:eastAsia="zh-CN" w:bidi="ar"/>
        </w:rPr>
        <w:t>其他</w:t>
      </w:r>
      <w:r>
        <w:rPr>
          <w:rFonts w:hint="eastAsia" w:ascii="Times New Roman" w:hAnsi="方正仿宋_GBK" w:eastAsia="方正仿宋_GBK" w:cs="方正仿宋_GBK"/>
          <w:color w:val="000000"/>
          <w:kern w:val="0"/>
          <w:sz w:val="28"/>
          <w:szCs w:val="24"/>
          <w:lang w:val="en-US" w:eastAsia="zh-CN" w:bidi="ar"/>
        </w:rPr>
        <w:t>交通</w:t>
      </w:r>
      <w:r>
        <w:rPr>
          <w:rFonts w:hint="eastAsia" w:hAnsi="方正仿宋_GBK" w:eastAsia="方正仿宋_GBK" w:cs="方正仿宋_GBK"/>
          <w:color w:val="000000"/>
          <w:kern w:val="0"/>
          <w:sz w:val="28"/>
          <w:szCs w:val="24"/>
          <w:lang w:val="en-US" w:eastAsia="zh-CN" w:bidi="ar"/>
        </w:rPr>
        <w:t>费用</w:t>
      </w:r>
      <w:r>
        <w:rPr>
          <w:rFonts w:hint="eastAsia" w:eastAsia="方正仿宋_GBK" w:cs="Times New Roman"/>
          <w:color w:val="000000"/>
          <w:kern w:val="0"/>
          <w:sz w:val="28"/>
          <w:szCs w:val="24"/>
          <w:lang w:val="en-US" w:eastAsia="zh-CN" w:bidi="ar"/>
        </w:rPr>
        <w:t>11.88</w:t>
      </w:r>
      <w:r>
        <w:rPr>
          <w:rFonts w:hint="eastAsia" w:ascii="Times New Roman" w:hAnsi="方正仿宋_GBK" w:eastAsia="方正仿宋_GBK" w:cs="方正仿宋_GBK"/>
          <w:color w:val="000000"/>
          <w:kern w:val="0"/>
          <w:sz w:val="28"/>
          <w:szCs w:val="24"/>
          <w:lang w:val="en-US" w:eastAsia="zh-CN" w:bidi="ar"/>
        </w:rPr>
        <w:t>万元，其他商品服务支出</w:t>
      </w:r>
      <w:r>
        <w:rPr>
          <w:rFonts w:hint="eastAsia" w:hAnsi="方正仿宋_GBK" w:eastAsia="方正仿宋_GBK" w:cs="方正仿宋_GBK"/>
          <w:color w:val="000000"/>
          <w:kern w:val="0"/>
          <w:sz w:val="28"/>
          <w:szCs w:val="24"/>
          <w:lang w:val="en-US" w:eastAsia="zh-CN" w:bidi="ar"/>
        </w:rPr>
        <w:t>0.4</w:t>
      </w:r>
      <w:r>
        <w:rPr>
          <w:rFonts w:hint="eastAsia" w:ascii="Times New Roman" w:hAnsi="方正仿宋_GBK" w:eastAsia="方正仿宋_GBK" w:cs="方正仿宋_GBK"/>
          <w:color w:val="000000"/>
          <w:kern w:val="0"/>
          <w:sz w:val="28"/>
          <w:szCs w:val="24"/>
          <w:lang w:val="en-US" w:eastAsia="zh-CN" w:bidi="ar"/>
        </w:rPr>
        <w:t>万元。</w:t>
      </w:r>
    </w:p>
    <w:p>
      <w:pPr>
        <w:spacing w:line="500" w:lineRule="exact"/>
        <w:ind w:firstLine="560"/>
        <w:rPr>
          <w:rFonts w:eastAsia="方正仿宋_GBK"/>
          <w:color w:val="000000"/>
          <w:sz w:val="28"/>
        </w:rPr>
      </w:pP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3" w:name="_Toc32442"/>
      <w:r>
        <w:rPr>
          <w:rFonts w:ascii="黑体" w:hAnsi="黑体" w:eastAsia="黑体" w:cs="黑体"/>
          <w:color w:val="000000"/>
          <w:sz w:val="32"/>
        </w:rPr>
        <w:t>财政拨款“三公”经费预算情况及增减变化原因</w:t>
      </w:r>
      <w:bookmarkEnd w:id="13"/>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我单位2022年三公经费预算拨款12万元，其中公务车运行维护费6.5万元，公务接待费5.5万元，预计接待210批次，累计1900人次。无因公出国（境）</w:t>
      </w:r>
      <w:r>
        <w:rPr>
          <w:rFonts w:hint="eastAsia" w:hAnsi="方正仿宋_GBK" w:eastAsia="方正仿宋_GBK" w:cs="方正仿宋_GBK"/>
          <w:color w:val="000000"/>
          <w:kern w:val="0"/>
          <w:sz w:val="28"/>
          <w:szCs w:val="24"/>
          <w:lang w:val="en-US" w:eastAsia="zh-CN" w:bidi="ar"/>
        </w:rPr>
        <w:t>经</w:t>
      </w:r>
      <w:r>
        <w:rPr>
          <w:rFonts w:hint="eastAsia" w:ascii="Times New Roman" w:hAnsi="方正仿宋_GBK" w:eastAsia="方正仿宋_GBK" w:cs="方正仿宋_GBK"/>
          <w:color w:val="000000"/>
          <w:kern w:val="0"/>
          <w:sz w:val="28"/>
          <w:szCs w:val="24"/>
          <w:lang w:val="en-US" w:eastAsia="zh-CN" w:bidi="ar"/>
        </w:rPr>
        <w:t>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我单位2021年“三公经费”合计26万元，其中公务用车购置费14万元，公务用车运行维护费6.5万元，公务接待费5.5万元，无因公出国（境）费。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2022年“三公经费”总额与2021年相比减少14万元</w:t>
      </w:r>
      <w:r>
        <w:rPr>
          <w:rFonts w:hint="eastAsia" w:hAnsi="方正仿宋_GBK" w:eastAsia="方正仿宋_GBK" w:cs="方正仿宋_GBK"/>
          <w:color w:val="000000"/>
          <w:kern w:val="0"/>
          <w:sz w:val="28"/>
          <w:szCs w:val="24"/>
          <w:lang w:val="en-US" w:eastAsia="zh-CN" w:bidi="ar"/>
        </w:rPr>
        <w:t>，</w:t>
      </w:r>
      <w:r>
        <w:rPr>
          <w:rFonts w:hint="eastAsia" w:ascii="Times New Roman" w:hAnsi="方正仿宋_GBK" w:eastAsia="方正仿宋_GBK" w:cs="方正仿宋_GBK"/>
          <w:color w:val="000000"/>
          <w:kern w:val="0"/>
          <w:sz w:val="28"/>
          <w:szCs w:val="24"/>
          <w:lang w:val="en-US" w:eastAsia="zh-CN" w:bidi="ar"/>
        </w:rPr>
        <w:t>2022年我单位计划对2021年新增公车加强管理、控制车辆使用，对公车日常养护、加油实行定点专人管理。我单位2022年计划对公务接待的次数和人数进行控制，严格控制公务接待的规模，深入贯彻落实《党政机关厉行节约反对浪费条例》，因此未发生变化。</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p>
    <w:tbl>
      <w:tblPr>
        <w:tblStyle w:val="10"/>
        <w:tblW w:w="12240" w:type="dxa"/>
        <w:jc w:val="center"/>
        <w:tblInd w:w="0" w:type="dxa"/>
        <w:tblLayout w:type="fixed"/>
        <w:tblCellMar>
          <w:top w:w="0" w:type="dxa"/>
          <w:left w:w="108" w:type="dxa"/>
          <w:bottom w:w="0" w:type="dxa"/>
          <w:right w:w="108" w:type="dxa"/>
        </w:tblCellMar>
      </w:tblPr>
      <w:tblGrid>
        <w:gridCol w:w="2653"/>
        <w:gridCol w:w="2132"/>
        <w:gridCol w:w="2133"/>
        <w:gridCol w:w="1462"/>
        <w:gridCol w:w="3860"/>
      </w:tblGrid>
      <w:tr>
        <w:tblPrEx>
          <w:tblLayout w:type="fixed"/>
          <w:tblCellMar>
            <w:top w:w="0" w:type="dxa"/>
            <w:left w:w="108" w:type="dxa"/>
            <w:bottom w:w="0" w:type="dxa"/>
            <w:right w:w="108" w:type="dxa"/>
          </w:tblCellMar>
        </w:tblPrEx>
        <w:trPr>
          <w:trHeight w:val="434" w:hRule="atLeast"/>
          <w:jc w:val="center"/>
        </w:trPr>
        <w:tc>
          <w:tcPr>
            <w:tcW w:w="265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146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3860"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446" w:hRule="atLeast"/>
          <w:jc w:val="center"/>
        </w:trPr>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项目名称</w:t>
            </w:r>
          </w:p>
        </w:tc>
        <w:tc>
          <w:tcPr>
            <w:tcW w:w="21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增减金额</w:t>
            </w:r>
          </w:p>
        </w:tc>
        <w:tc>
          <w:tcPr>
            <w:tcW w:w="38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因公出国经费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公务用车购置经费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lang w:val="en-US" w:eastAsia="zh-CN"/>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rPr>
            </w:pPr>
            <w:r>
              <w:rPr>
                <w:rFonts w:hint="eastAsia" w:ascii="仿宋_GB2312" w:hAnsi="宋体" w:eastAsia="仿宋_GB2312"/>
                <w:lang w:val="en-US" w:eastAsia="zh-CN"/>
              </w:rPr>
              <w:t>-14</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val="en-US" w:eastAsia="zh-CN"/>
              </w:rPr>
            </w:pPr>
            <w:r>
              <w:rPr>
                <w:rFonts w:hint="eastAsia" w:ascii="仿宋_GB2312" w:hAnsi="宋体" w:eastAsia="仿宋_GB2312" w:cs="宋体"/>
                <w:lang w:val="en-US" w:eastAsia="zh-CN"/>
              </w:rPr>
              <w:t>无购置公务用车需求</w:t>
            </w:r>
          </w:p>
        </w:tc>
      </w:tr>
      <w:tr>
        <w:tblPrEx>
          <w:tblLayout w:type="fixed"/>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公务用车运行经费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公务接待费支出</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eastAsia="zh-CN"/>
              </w:rPr>
            </w:pPr>
            <w:r>
              <w:rPr>
                <w:rFonts w:hint="eastAsia" w:ascii="仿宋_GB2312" w:hAnsi="宋体" w:eastAsia="仿宋_GB2312"/>
                <w:lang w:val="en-US" w:eastAsia="zh-CN"/>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457"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合计</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26</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12</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cs="宋体"/>
                <w:lang w:val="en-US" w:eastAsia="zh-CN"/>
              </w:rPr>
              <w:t>无购置公务用车需求</w:t>
            </w:r>
          </w:p>
        </w:tc>
      </w:tr>
    </w:tbl>
    <w:p>
      <w:pPr>
        <w:pStyle w:val="26"/>
      </w:pPr>
    </w:p>
    <w:p>
      <w:pPr>
        <w:spacing w:before="10" w:after="10" w:line="360" w:lineRule="auto"/>
        <w:ind w:firstLine="640"/>
        <w:outlineLvl w:val="2"/>
        <w:rPr>
          <w:rFonts w:ascii="黑体" w:hAnsi="黑体" w:eastAsia="黑体" w:cs="黑体"/>
          <w:color w:val="000000"/>
          <w:sz w:val="32"/>
        </w:rPr>
      </w:pPr>
      <w:bookmarkStart w:id="14" w:name="_Toc236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7"/>
      </w:pPr>
      <w:r>
        <w:t>以党的十九大会议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pStyle w:val="28"/>
      </w:pPr>
      <w:r>
        <w:rPr>
          <w:rFonts w:hint="eastAsia"/>
          <w:lang w:eastAsia="zh-CN"/>
        </w:rPr>
        <w:t>1、</w:t>
      </w:r>
      <w:r>
        <w:t>党的基层组织建设</w:t>
      </w:r>
    </w:p>
    <w:p>
      <w:pPr>
        <w:pStyle w:val="28"/>
      </w:pPr>
      <w:r>
        <w:t>绩效目标：党的基层组织建设、党的纪律检查工作；机关日常党务、政务协调管理；人大、群团、武装等相关工作。</w:t>
      </w:r>
    </w:p>
    <w:p>
      <w:pPr>
        <w:pStyle w:val="28"/>
      </w:pPr>
      <w:r>
        <w:t>绩效指标：落实村级补助专项资金，确保农村党的基层组织正常运转。</w:t>
      </w:r>
    </w:p>
    <w:p>
      <w:pPr>
        <w:pStyle w:val="28"/>
      </w:pPr>
      <w:r>
        <w:rPr>
          <w:rFonts w:hint="eastAsia"/>
          <w:lang w:eastAsia="zh-CN"/>
        </w:rPr>
        <w:t>2、</w:t>
      </w:r>
      <w:r>
        <w:t>食品安全工作</w:t>
      </w:r>
    </w:p>
    <w:p>
      <w:pPr>
        <w:pStyle w:val="28"/>
      </w:pPr>
      <w:r>
        <w:t>绩效目标：落实食品生产经营者主体责任，严格监管食品生产经营活动，严厉惩处涉及食品安全的违法犯罪行为。</w:t>
      </w:r>
    </w:p>
    <w:p>
      <w:pPr>
        <w:pStyle w:val="28"/>
      </w:pPr>
      <w:r>
        <w:t>绩效指标：组织宣传活动次数不少于5次，抽查对象的数量占全部对象的比率大于等于</w:t>
      </w:r>
      <w:r>
        <w:rPr>
          <w:rFonts w:hint="eastAsia"/>
          <w:lang w:val="en-US" w:eastAsia="zh-CN"/>
        </w:rPr>
        <w:t>90</w:t>
      </w:r>
      <w:r>
        <w:t>%，通过对食品安全的监管，确保本地区食品安全，接受食品安全监管的人群对食品安全监管工作的满意程度大于等于</w:t>
      </w:r>
      <w:r>
        <w:rPr>
          <w:rFonts w:hint="eastAsia"/>
          <w:lang w:val="en-US" w:eastAsia="zh-CN"/>
        </w:rPr>
        <w:t>90</w:t>
      </w:r>
      <w:r>
        <w:t>%。</w:t>
      </w:r>
    </w:p>
    <w:p>
      <w:pPr>
        <w:pStyle w:val="28"/>
      </w:pPr>
      <w:r>
        <w:rPr>
          <w:rFonts w:hint="eastAsia"/>
          <w:lang w:val="en-US" w:eastAsia="zh-CN"/>
        </w:rPr>
        <w:t>3、</w:t>
      </w:r>
      <w:r>
        <w:t>农村文化建设</w:t>
      </w:r>
    </w:p>
    <w:p>
      <w:pPr>
        <w:pStyle w:val="28"/>
      </w:pPr>
      <w:r>
        <w:t>绩效目标：坚持先进文化前进方向，全面广泛地开展群众文化活动，繁荣农民群众精神文化生活，规范管理文化活动专项资金确保专款专用，最大限度发挥和提高资金的使用效益。</w:t>
      </w:r>
    </w:p>
    <w:p>
      <w:pPr>
        <w:pStyle w:val="28"/>
      </w:pPr>
      <w:r>
        <w:t>绩效指标：各类公共文化服务活动组织开展的数量不少于10次，文化设施达标率大于等于</w:t>
      </w:r>
      <w:r>
        <w:rPr>
          <w:rFonts w:hint="eastAsia"/>
          <w:lang w:val="en-US" w:eastAsia="zh-CN"/>
        </w:rPr>
        <w:t>90</w:t>
      </w:r>
      <w:r>
        <w:t>%，文化设施建设进度大于等于</w:t>
      </w:r>
      <w:r>
        <w:rPr>
          <w:rFonts w:hint="eastAsia"/>
          <w:lang w:val="en-US" w:eastAsia="zh-CN"/>
        </w:rPr>
        <w:t>90</w:t>
      </w:r>
      <w:r>
        <w:t>%，收藏及保管物品完好率大于等于</w:t>
      </w:r>
      <w:r>
        <w:rPr>
          <w:rFonts w:hint="eastAsia"/>
          <w:lang w:val="en-US" w:eastAsia="zh-CN"/>
        </w:rPr>
        <w:t>90</w:t>
      </w:r>
      <w:r>
        <w:t>%，通过支持重点宣传文化项目建设，带动全县宣传文化事业发展，群众对当年农村文化活动开展整体满意度大于等于</w:t>
      </w:r>
      <w:r>
        <w:rPr>
          <w:rFonts w:hint="eastAsia"/>
          <w:lang w:val="en-US" w:eastAsia="zh-CN"/>
        </w:rPr>
        <w:t>90</w:t>
      </w:r>
      <w:r>
        <w:t>%。</w:t>
      </w:r>
    </w:p>
    <w:p>
      <w:pPr>
        <w:pStyle w:val="28"/>
      </w:pPr>
      <w:r>
        <w:rPr>
          <w:rFonts w:hint="eastAsia"/>
          <w:lang w:val="en-US" w:eastAsia="zh-CN"/>
        </w:rPr>
        <w:t>4、</w:t>
      </w:r>
      <w:r>
        <w:t>乡镇纪律检查</w:t>
      </w:r>
    </w:p>
    <w:p>
      <w:pPr>
        <w:pStyle w:val="28"/>
      </w:pPr>
      <w:r>
        <w:t>绩效目标：认真落实纪检部门各项任务，加强监督检查，促进党风廉政建设。</w:t>
      </w:r>
    </w:p>
    <w:p>
      <w:pPr>
        <w:pStyle w:val="28"/>
      </w:pPr>
      <w:r>
        <w:t>绩效指标：组织召开监督检查会议的次数不少于5次，办结案件数量占立案案件总数的比率大于</w:t>
      </w:r>
      <w:r>
        <w:rPr>
          <w:rFonts w:hint="eastAsia"/>
          <w:lang w:val="en-US" w:eastAsia="zh-CN"/>
        </w:rPr>
        <w:t>90</w:t>
      </w:r>
      <w:r>
        <w:t>%，问题整改率大于等于</w:t>
      </w:r>
      <w:r>
        <w:rPr>
          <w:rFonts w:hint="eastAsia"/>
          <w:lang w:val="en-US" w:eastAsia="zh-CN"/>
        </w:rPr>
        <w:t>90</w:t>
      </w:r>
      <w:r>
        <w:t>%，通过实施纪检监督政策促进社会稳定水平逐步提高，群众对当年纪检监督工作的整体满意度大于</w:t>
      </w:r>
      <w:r>
        <w:rPr>
          <w:rFonts w:hint="eastAsia"/>
          <w:lang w:val="en-US" w:eastAsia="zh-CN"/>
        </w:rPr>
        <w:t>90</w:t>
      </w:r>
      <w:r>
        <w:t>%。</w:t>
      </w:r>
    </w:p>
    <w:p>
      <w:pPr>
        <w:pStyle w:val="28"/>
      </w:pPr>
      <w:r>
        <w:rPr>
          <w:rFonts w:hint="eastAsia"/>
          <w:lang w:val="en-US" w:eastAsia="zh-CN"/>
        </w:rPr>
        <w:t>5、</w:t>
      </w:r>
      <w:r>
        <w:t>综合治理及信访稳定</w:t>
      </w:r>
    </w:p>
    <w:p>
      <w:pPr>
        <w:pStyle w:val="28"/>
      </w:pPr>
      <w:r>
        <w:t>绩效目标：加强综合治理，妥善处理突发性、群体性事件，调节和处理好各种利益矛盾和纠纷；落实各项管理措施，维护农村社会稳定；负责本乡镇的普法宣传教育及法律服务；负责信访稳定工作。</w:t>
      </w:r>
    </w:p>
    <w:p>
      <w:pPr>
        <w:pStyle w:val="28"/>
      </w:pPr>
      <w:r>
        <w:t>绩效指标：重点人员稳控率大于等于</w:t>
      </w:r>
      <w:r>
        <w:rPr>
          <w:rFonts w:hint="eastAsia"/>
          <w:lang w:val="en-US" w:eastAsia="zh-CN"/>
        </w:rPr>
        <w:t>90</w:t>
      </w:r>
      <w:r>
        <w:t>%，重大安保任务完成率大于等于85%，退役安置满意度大于等于</w:t>
      </w:r>
      <w:r>
        <w:rPr>
          <w:rFonts w:hint="eastAsia"/>
          <w:lang w:val="en-US" w:eastAsia="zh-CN"/>
        </w:rPr>
        <w:t>90</w:t>
      </w:r>
      <w:r>
        <w:t>%，应对突发事件的反应能力与及时性大于等于</w:t>
      </w:r>
      <w:r>
        <w:rPr>
          <w:rFonts w:hint="eastAsia"/>
          <w:lang w:val="en-US" w:eastAsia="zh-CN"/>
        </w:rPr>
        <w:t>90</w:t>
      </w:r>
      <w:r>
        <w:t>%，通过维稳工作开展，促进社会稳定水平逐步提高，群众满意度大于</w:t>
      </w:r>
      <w:r>
        <w:rPr>
          <w:rFonts w:hint="eastAsia"/>
          <w:lang w:val="en-US" w:eastAsia="zh-CN"/>
        </w:rPr>
        <w:t>90</w:t>
      </w:r>
      <w:r>
        <w:t>%。</w:t>
      </w:r>
    </w:p>
    <w:p>
      <w:pPr>
        <w:pStyle w:val="28"/>
      </w:pPr>
      <w:r>
        <w:rPr>
          <w:rFonts w:hint="eastAsia"/>
          <w:lang w:val="en-US" w:eastAsia="zh-CN"/>
        </w:rPr>
        <w:t>6、</w:t>
      </w:r>
      <w:r>
        <w:t>乡镇办公用房修缮</w:t>
      </w:r>
    </w:p>
    <w:p>
      <w:pPr>
        <w:pStyle w:val="28"/>
      </w:pPr>
      <w:r>
        <w:t>绩效目标：按照乡镇办公需求实施办公用房修缮工作，改善乡镇职工办公条件，提供安全、必要的办公条件。</w:t>
      </w:r>
    </w:p>
    <w:p>
      <w:pPr>
        <w:pStyle w:val="28"/>
      </w:pPr>
      <w:r>
        <w:t>绩效指标：修缮项目完成率大于等于</w:t>
      </w:r>
      <w:r>
        <w:rPr>
          <w:rFonts w:hint="eastAsia"/>
          <w:lang w:val="en-US" w:eastAsia="zh-CN"/>
        </w:rPr>
        <w:t>90</w:t>
      </w:r>
      <w:r>
        <w:t>%，修缮项目验收合格率大于等于</w:t>
      </w:r>
      <w:r>
        <w:rPr>
          <w:rFonts w:hint="eastAsia"/>
          <w:lang w:val="en-US" w:eastAsia="zh-CN"/>
        </w:rPr>
        <w:t>90</w:t>
      </w:r>
      <w:r>
        <w:t>%，公共服务水平提升情况大于</w:t>
      </w:r>
      <w:r>
        <w:rPr>
          <w:rFonts w:hint="eastAsia"/>
          <w:lang w:val="en-US" w:eastAsia="zh-CN"/>
        </w:rPr>
        <w:t>90</w:t>
      </w:r>
      <w:r>
        <w:t>%，修缮后办公设施改善情况大于等于</w:t>
      </w:r>
      <w:r>
        <w:rPr>
          <w:rFonts w:hint="eastAsia"/>
          <w:lang w:val="en-US" w:eastAsia="zh-CN"/>
        </w:rPr>
        <w:t>85</w:t>
      </w:r>
      <w:r>
        <w:t>%。乡镇工作人员对修缮后的办公设备器材的满意度大于等于</w:t>
      </w:r>
      <w:r>
        <w:rPr>
          <w:rFonts w:hint="eastAsia"/>
          <w:lang w:val="en-US" w:eastAsia="zh-CN"/>
        </w:rPr>
        <w:t>85</w:t>
      </w:r>
      <w:r>
        <w:t>%。</w:t>
      </w:r>
    </w:p>
    <w:p>
      <w:pPr>
        <w:pStyle w:val="28"/>
      </w:pPr>
      <w:r>
        <w:rPr>
          <w:rFonts w:hint="eastAsia"/>
          <w:lang w:val="en-US" w:eastAsia="zh-CN"/>
        </w:rPr>
        <w:t>7、</w:t>
      </w:r>
      <w:r>
        <w:t>财政事务工作</w:t>
      </w:r>
    </w:p>
    <w:p>
      <w:pPr>
        <w:pStyle w:val="28"/>
      </w:pPr>
      <w:r>
        <w:t>绩效目标：配合乡镇完成各项上级财政拨款，落实到位，保障惠民政策落实到位，做好财政国库支付电子化工作。</w:t>
      </w:r>
    </w:p>
    <w:p>
      <w:pPr>
        <w:pStyle w:val="28"/>
      </w:pPr>
      <w:r>
        <w:t>绩效指标：项目资金有效使用率大于等于</w:t>
      </w:r>
      <w:r>
        <w:rPr>
          <w:rFonts w:hint="eastAsia"/>
          <w:lang w:val="en-US" w:eastAsia="zh-CN"/>
        </w:rPr>
        <w:t>90</w:t>
      </w:r>
      <w:r>
        <w:t>%，财政所工作开展完成率大于</w:t>
      </w:r>
      <w:r>
        <w:rPr>
          <w:rFonts w:hint="eastAsia"/>
          <w:lang w:val="en-US" w:eastAsia="zh-CN"/>
        </w:rPr>
        <w:t>90</w:t>
      </w:r>
      <w:r>
        <w:t>%，通过开展乡镇财政工作促进乡镇经济逐步提高，接受财政所服务的人群对财政所提供服务的满意程度大于等于</w:t>
      </w:r>
      <w:r>
        <w:rPr>
          <w:rFonts w:hint="eastAsia"/>
          <w:lang w:val="en-US" w:eastAsia="zh-CN"/>
        </w:rPr>
        <w:t>90</w:t>
      </w:r>
      <w:r>
        <w:t>%</w:t>
      </w:r>
      <w:r>
        <w:tab/>
      </w:r>
      <w:r>
        <w:t>。</w:t>
      </w:r>
    </w:p>
    <w:p>
      <w:pPr>
        <w:pStyle w:val="28"/>
      </w:pPr>
      <w:r>
        <w:rPr>
          <w:rFonts w:hint="eastAsia"/>
          <w:lang w:val="en-US" w:eastAsia="zh-CN"/>
        </w:rPr>
        <w:t>8、</w:t>
      </w:r>
      <w:r>
        <w:t>团委工作</w:t>
      </w:r>
    </w:p>
    <w:p>
      <w:pPr>
        <w:pStyle w:val="28"/>
      </w:pPr>
      <w:r>
        <w:t>绩效目标：科学地继承和发扬共青团的优良传统，创新团的工作，找准新时代的中心定位，把各项改革措施不折不扣落实到位。</w:t>
      </w:r>
      <w:r>
        <w:tab/>
      </w:r>
      <w:r>
        <w:tab/>
      </w:r>
      <w:r>
        <w:tab/>
      </w:r>
      <w:r>
        <w:tab/>
      </w:r>
    </w:p>
    <w:p>
      <w:pPr>
        <w:pStyle w:val="28"/>
      </w:pPr>
      <w:r>
        <w:t>绩效指标：在新闻媒体开办宣传专栏的数量不少于5个，制作宣传品的数量不少于</w:t>
      </w:r>
      <w:r>
        <w:rPr>
          <w:rFonts w:hint="eastAsia"/>
          <w:lang w:val="en-US" w:eastAsia="zh-CN"/>
        </w:rPr>
        <w:t>1</w:t>
      </w:r>
      <w:r>
        <w:t>000份，参与决策咨询活动次数不少于5次，在本地区产生的重要影响，得到广大受众的充分认可，群众对团委工作的整体满意度大于等于</w:t>
      </w:r>
      <w:r>
        <w:rPr>
          <w:rFonts w:hint="eastAsia"/>
          <w:lang w:val="en-US" w:eastAsia="zh-CN"/>
        </w:rPr>
        <w:t>90</w:t>
      </w:r>
      <w:r>
        <w:t>%。</w:t>
      </w:r>
      <w:r>
        <w:tab/>
      </w:r>
    </w:p>
    <w:p>
      <w:pPr>
        <w:pStyle w:val="28"/>
      </w:pPr>
      <w:r>
        <w:rPr>
          <w:rFonts w:hint="eastAsia"/>
          <w:lang w:val="en-US" w:eastAsia="zh-CN"/>
        </w:rPr>
        <w:t>9、</w:t>
      </w:r>
      <w:r>
        <w:t>人大主席团活动</w:t>
      </w:r>
    </w:p>
    <w:p>
      <w:pPr>
        <w:pStyle w:val="28"/>
      </w:pPr>
      <w:r>
        <w:t>绩效目标：为了更好落实中央2015（18）号文件精神和省委市委落实中央18号文件的意见，切实加强基层人大建设，保障乡人大主席团的正常运转。</w:t>
      </w:r>
    </w:p>
    <w:p>
      <w:pPr>
        <w:pStyle w:val="28"/>
      </w:pPr>
      <w:r>
        <w:t>绩效指标：工作经费使用率大于等于</w:t>
      </w:r>
      <w:r>
        <w:rPr>
          <w:rFonts w:hint="eastAsia"/>
          <w:lang w:val="en-US" w:eastAsia="zh-CN"/>
        </w:rPr>
        <w:t>90</w:t>
      </w:r>
      <w:r>
        <w:t>%，工作经费拨付率大于等于</w:t>
      </w:r>
      <w:r>
        <w:rPr>
          <w:rFonts w:hint="eastAsia"/>
          <w:lang w:val="en-US" w:eastAsia="zh-CN"/>
        </w:rPr>
        <w:t>90</w:t>
      </w:r>
      <w:r>
        <w:t>%，活动完成进度大于等于</w:t>
      </w:r>
      <w:r>
        <w:rPr>
          <w:rFonts w:hint="eastAsia"/>
          <w:lang w:val="en-US" w:eastAsia="zh-CN"/>
        </w:rPr>
        <w:t>90</w:t>
      </w:r>
      <w:r>
        <w:t>%，参与决策咨询活动次数不少于5次，在本地区产生的重要影响，得到广大受众的充分认可，群众对当年人大主席团工作的整体满意度大于等于</w:t>
      </w:r>
      <w:r>
        <w:rPr>
          <w:rFonts w:hint="eastAsia"/>
          <w:lang w:val="en-US" w:eastAsia="zh-CN"/>
        </w:rPr>
        <w:t>90</w:t>
      </w:r>
      <w:r>
        <w:t>%。</w:t>
      </w:r>
    </w:p>
    <w:p>
      <w:pPr>
        <w:pStyle w:val="28"/>
      </w:pPr>
      <w:r>
        <w:rPr>
          <w:rFonts w:hint="eastAsia"/>
          <w:lang w:val="en-US" w:eastAsia="zh-CN"/>
        </w:rPr>
        <w:t>10、</w:t>
      </w:r>
      <w:r>
        <w:t>乡镇其他相关工作</w:t>
      </w:r>
    </w:p>
    <w:p>
      <w:pPr>
        <w:pStyle w:val="28"/>
      </w:pPr>
      <w:r>
        <w:t>绩效目标：按照县委、县政府统一部署，圆满完成上级交办的乡镇其他相关工作。</w:t>
      </w:r>
    </w:p>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widowControl/>
        <w:suppressLineNumbers w:val="0"/>
        <w:spacing w:before="0" w:beforeAutospacing="0" w:after="0" w:afterAutospacing="0"/>
        <w:ind w:right="0"/>
        <w:jc w:val="left"/>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bCs w:val="0"/>
          <w:color w:val="000000"/>
          <w:kern w:val="0"/>
          <w:sz w:val="28"/>
          <w:szCs w:val="24"/>
          <w:lang w:val="en-US" w:eastAsia="zh-CN" w:bidi="ar"/>
        </w:rPr>
        <w:t>财政事务工作经费（年初）绩效目标表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1."配合乡镇完成各项上级财政拨款，落实到位，保障惠民政策落实到位，做好财政国库支付电子化工作。</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工作实际开展占计划工作的比率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资金实际使用金额占拨付金额的比率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能够保障人员日常工作效率。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能够保障人员日常工作效率。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bCs w:val="0"/>
          <w:color w:val="000000"/>
          <w:kern w:val="0"/>
          <w:sz w:val="28"/>
          <w:szCs w:val="24"/>
          <w:lang w:val="en-US" w:eastAsia="zh-CN" w:bidi="ar"/>
        </w:rPr>
        <w:t>纪检经费（年初）绩效目标表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1.认真落实纪检部门各项任务，加强监督检查，促进党风廉政。发挥乡纪检监督职能，做到有案必查，有腐必惩，深化廉政教育学习。</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案件办结率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办结案件数量占立案案件总数的比率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问题整改率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已整改问题数量占发现问题总数的比率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通过实施纪检监督政策促进社会稳定水平逐步提高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群众对当年纪检监督工作的整体满意度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bCs w:val="0"/>
          <w:color w:val="000000"/>
          <w:kern w:val="0"/>
          <w:sz w:val="28"/>
          <w:szCs w:val="24"/>
          <w:lang w:val="en-US" w:eastAsia="zh-CN" w:bidi="ar"/>
        </w:rPr>
        <w:t>农村文化建设资金（年初）绩效目标表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bCs w:val="0"/>
          <w:color w:val="000000"/>
          <w:kern w:val="0"/>
          <w:sz w:val="28"/>
          <w:szCs w:val="24"/>
          <w:lang w:val="en-US" w:eastAsia="zh-CN" w:bidi="ar"/>
        </w:rPr>
        <w:t>人大主席团活动经费（年初）绩效目标表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1.为了更好落实中央2015（18）号文件精神和省委市委落实中央18号文件的意见，切实加强基层人大建设，保障乡人大主席团的正常运转。</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bCs w:val="0"/>
          <w:color w:val="000000"/>
          <w:kern w:val="0"/>
          <w:sz w:val="28"/>
          <w:szCs w:val="24"/>
          <w:lang w:val="en-US" w:eastAsia="zh-CN" w:bidi="ar"/>
        </w:rPr>
        <w:t>食安经费（年初）绩效目标表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1.组织开展食品安全调查及专项统计调查工作，了解基层情况和动态提供统计信息和咨询建议，确保食品安全调查和专项统计调查工作顺利完成。</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≤0.66万元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6、团委经费（年初）绩效目标表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1.科学地继承和发扬共青团的优良传统，创新团的工作，找准新时代的中心定位，把各项改革措施不折不扣落实到位。</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在新闻媒体开办宣传专栏的数量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群众对团委工作的整体满意度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7、维稳经费（年初）绩效目标表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1.做好信访稳控工作，减少越级访、群访等恶性事件，有效的遏制非法上访；处理人民群众来信、来访，接待和处理人民群众反映的情况和问题。</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8、小型修缮经费（年初）绩效目标表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1.修复墙体裂缝，修复墙面脱落，修复楼梯踏板，修复房顶风化和削落，修复屋顶渗，修复电线老化</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通过验收的工程量占建设、改造、修缮总量的比率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实际完成工程量占计划完成工程量的比率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≥3.56万元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购置对公共服务水平的提升情况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反映修缮后办公设施改善情况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乡镇工作人员对修缮后的办公设备器材的满意度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ind w:firstLine="560"/>
        <w:outlineLvl w:val="3"/>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9、2021年第一批以工代赈示范工程中央基建投资预算（拨款）的通知（冀财建【2021】106号）绩效目标表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eastAsia="宋体"/>
                <w:lang w:val="en-US" w:eastAsia="zh-CN"/>
              </w:rPr>
              <w:t>1.</w:t>
            </w:r>
            <w:r>
              <w:rPr>
                <w:rFonts w:hint="default"/>
              </w:rPr>
              <w:t>在北七山村修建作业路5800米，通过以工代赈的形式，提高周边群众的收入。</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作业路完成米数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作业路完成米数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5800米</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作业路质量合格情况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作业路质量合格情况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项目完成进度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项目完成进度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100百</w:t>
            </w:r>
            <w:r>
              <w:rPr>
                <w:rFonts w:hint="eastAsia"/>
                <w:lang w:val="en-US" w:eastAsia="zh-CN"/>
              </w:rPr>
              <w:t>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作业路所需成本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作业路所需成本</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≤350</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作业路投入使用情况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作业路投入使用情况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cs="方正书宋_GBK"/>
                <w:kern w:val="0"/>
                <w:sz w:val="21"/>
                <w:szCs w:val="24"/>
                <w:lang w:val="en-US" w:eastAsia="zh-CN" w:bidi="ar"/>
              </w:rPr>
              <w:t>刚刚</w:t>
            </w:r>
            <w:r>
              <w:rPr>
                <w:rFonts w:hint="eastAsia" w:ascii="方正书宋_GBK" w:hAnsi="方正书宋_GBK" w:eastAsia="方正书宋_GBK" w:cs="方正书宋_GBK"/>
                <w:kern w:val="0"/>
                <w:sz w:val="21"/>
                <w:szCs w:val="24"/>
                <w:lang w:val="en-US" w:eastAsia="zh-CN" w:bidi="ar"/>
              </w:rPr>
              <w:t>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反映修缮后办公设施改善情况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rPr>
              <w:t>社会公众满意度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rPr>
              <w:t>社会公众满意度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bl>
    <w:p>
      <w:pPr>
        <w:keepNext w:val="0"/>
        <w:keepLines w:val="0"/>
        <w:widowControl/>
        <w:suppressLineNumbers w:val="0"/>
        <w:spacing w:before="0" w:beforeAutospacing="0" w:after="0" w:afterAutospacing="0"/>
        <w:ind w:left="0" w:right="0"/>
        <w:jc w:val="left"/>
        <w:rPr>
          <w:lang w:val="en-US"/>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5" w:name="_Toc3223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w:t>
      </w:r>
      <w:r>
        <w:rPr>
          <w:rFonts w:hint="eastAsia" w:eastAsia="方正仿宋_GBK"/>
          <w:color w:val="000000"/>
          <w:sz w:val="28"/>
          <w:lang w:val="en-US" w:eastAsia="zh-CN"/>
        </w:rPr>
        <w:t>涞水县永阳镇人民政府未</w:t>
      </w:r>
      <w:r>
        <w:rPr>
          <w:rFonts w:eastAsia="方正仿宋_GBK"/>
          <w:color w:val="000000"/>
          <w:sz w:val="28"/>
        </w:rPr>
        <w:t>安排政府采购预算。具体内容见下表。</w:t>
      </w:r>
    </w:p>
    <w:p>
      <w:pPr>
        <w:jc w:val="center"/>
      </w:pPr>
      <w:r>
        <w:rPr>
          <w:rFonts w:ascii="方正小标宋_GBK" w:hAnsi="方正小标宋_GBK" w:eastAsia="方正小标宋_GBK" w:cs="方正小标宋_GBK"/>
          <w:color w:val="000000"/>
          <w:sz w:val="36"/>
        </w:rPr>
        <w:t>部门政府采购预算</w:t>
      </w:r>
    </w:p>
    <w:tbl>
      <w:tblPr>
        <w:tblStyle w:val="10"/>
        <w:tblW w:w="14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892"/>
        <w:gridCol w:w="1049"/>
        <w:gridCol w:w="1049"/>
        <w:gridCol w:w="656"/>
        <w:gridCol w:w="786"/>
        <w:gridCol w:w="787"/>
        <w:gridCol w:w="892"/>
        <w:gridCol w:w="892"/>
        <w:gridCol w:w="891"/>
        <w:gridCol w:w="892"/>
        <w:gridCol w:w="892"/>
        <w:gridCol w:w="892"/>
        <w:gridCol w:w="892"/>
        <w:gridCol w:w="893"/>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atLeast"/>
          <w:tblHeader/>
          <w:jc w:val="center"/>
        </w:trPr>
        <w:tc>
          <w:tcPr>
            <w:tcW w:w="6793" w:type="dxa"/>
            <w:gridSpan w:val="7"/>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eastAsia="方正小标宋_GBK"/>
                <w:lang w:val="en-US" w:eastAsia="zh-CN"/>
              </w:rPr>
            </w:pPr>
            <w:r>
              <w:rPr>
                <w:rFonts w:hint="eastAsia"/>
                <w:lang w:val="en-US" w:eastAsia="zh-CN"/>
              </w:rPr>
              <w:t>804  涞水县永阳镇人民政府</w:t>
            </w:r>
          </w:p>
        </w:tc>
        <w:tc>
          <w:tcPr>
            <w:tcW w:w="8027" w:type="dxa"/>
            <w:gridSpan w:val="9"/>
            <w:tcBorders>
              <w:top w:val="single" w:color="FFFFFF" w:sz="6" w:space="0"/>
              <w:left w:val="single" w:color="FFFFFF" w:sz="6" w:space="0"/>
              <w:right w:val="single" w:color="FFFFFF" w:sz="6" w:space="0"/>
            </w:tcBorders>
            <w:vAlign w:val="center"/>
          </w:tcPr>
          <w:p>
            <w:pPr>
              <w:pStyle w:val="30"/>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3" w:hRule="atLeast"/>
          <w:tblHeader/>
          <w:jc w:val="center"/>
        </w:trPr>
        <w:tc>
          <w:tcPr>
            <w:tcW w:w="246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政府采购项目来源</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采购物品名称</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政府采购目录序号</w:t>
            </w:r>
          </w:p>
        </w:tc>
        <w:tc>
          <w:tcPr>
            <w:tcW w:w="65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计量  单位</w:t>
            </w:r>
          </w:p>
        </w:tc>
        <w:tc>
          <w:tcPr>
            <w:tcW w:w="78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数量</w:t>
            </w:r>
          </w:p>
        </w:tc>
        <w:tc>
          <w:tcPr>
            <w:tcW w:w="78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单价</w:t>
            </w:r>
          </w:p>
        </w:tc>
        <w:tc>
          <w:tcPr>
            <w:tcW w:w="7136" w:type="dxa"/>
            <w:gridSpan w:val="8"/>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政府采购金额（当年部门预算安排资金）</w:t>
            </w:r>
          </w:p>
        </w:tc>
        <w:tc>
          <w:tcPr>
            <w:tcW w:w="89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9" w:hRule="atLeast"/>
          <w:tblHeader/>
          <w:jc w:val="center"/>
        </w:trPr>
        <w:tc>
          <w:tcPr>
            <w:tcW w:w="15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项目名称</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    资金</w:t>
            </w: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656" w:type="dxa"/>
            <w:vMerge w:val="continue"/>
          </w:tcPr>
          <w:p>
            <w:pPr>
              <w:keepNext w:val="0"/>
              <w:keepLines w:val="0"/>
              <w:widowControl/>
              <w:suppressLineNumbers w:val="0"/>
              <w:spacing w:before="0" w:beforeAutospacing="0" w:after="0" w:afterAutospacing="0"/>
              <w:ind w:left="0" w:right="0"/>
              <w:rPr>
                <w:rFonts w:hint="default"/>
              </w:rPr>
            </w:pPr>
          </w:p>
        </w:tc>
        <w:tc>
          <w:tcPr>
            <w:tcW w:w="786" w:type="dxa"/>
            <w:vMerge w:val="continue"/>
          </w:tcPr>
          <w:p>
            <w:pPr>
              <w:keepNext w:val="0"/>
              <w:keepLines w:val="0"/>
              <w:widowControl/>
              <w:suppressLineNumbers w:val="0"/>
              <w:spacing w:before="0" w:beforeAutospacing="0" w:after="0" w:afterAutospacing="0"/>
              <w:ind w:left="0" w:right="0"/>
              <w:rPr>
                <w:rFonts w:hint="default"/>
              </w:rPr>
            </w:pPr>
          </w:p>
        </w:tc>
        <w:tc>
          <w:tcPr>
            <w:tcW w:w="787" w:type="dxa"/>
            <w:vMerge w:val="continue"/>
          </w:tcPr>
          <w:p>
            <w:pPr>
              <w:keepNext w:val="0"/>
              <w:keepLines w:val="0"/>
              <w:widowControl/>
              <w:suppressLineNumbers w:val="0"/>
              <w:spacing w:before="0" w:beforeAutospacing="0" w:after="0" w:afterAutospacing="0"/>
              <w:ind w:left="0" w:right="0"/>
              <w:rPr>
                <w:rFonts w:hint="default"/>
              </w:rPr>
            </w:pP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一般公共预算拨款</w:t>
            </w:r>
          </w:p>
        </w:tc>
        <w:tc>
          <w:tcPr>
            <w:tcW w:w="8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基金预算拨款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财政专户核拨</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    资金</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    款结转</w:t>
            </w:r>
          </w:p>
        </w:tc>
        <w:tc>
          <w:tcPr>
            <w:tcW w:w="89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非财政    拨款结    转结余</w:t>
            </w:r>
          </w:p>
        </w:tc>
        <w:tc>
          <w:tcPr>
            <w:tcW w:w="89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  计</w:t>
            </w: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574" w:type="dxa"/>
            <w:vAlign w:val="center"/>
          </w:tcPr>
          <w:p>
            <w:pPr>
              <w:pStyle w:val="18"/>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656" w:type="dxa"/>
            <w:vAlign w:val="center"/>
          </w:tcPr>
          <w:p>
            <w:pPr>
              <w:pStyle w:val="19"/>
              <w:keepNext w:val="0"/>
              <w:keepLines w:val="0"/>
              <w:widowControl/>
              <w:suppressLineNumbers w:val="0"/>
              <w:spacing w:before="0" w:beforeAutospacing="0" w:after="0" w:afterAutospacing="0"/>
              <w:ind w:left="0" w:right="0"/>
              <w:rPr>
                <w:rFonts w:hint="default"/>
              </w:rPr>
            </w:pPr>
          </w:p>
        </w:tc>
        <w:tc>
          <w:tcPr>
            <w:tcW w:w="786" w:type="dxa"/>
            <w:vAlign w:val="center"/>
          </w:tcPr>
          <w:p>
            <w:pPr>
              <w:pStyle w:val="17"/>
              <w:keepNext w:val="0"/>
              <w:keepLines w:val="0"/>
              <w:widowControl/>
              <w:suppressLineNumbers w:val="0"/>
              <w:spacing w:before="0" w:beforeAutospacing="0" w:after="0" w:afterAutospacing="0"/>
              <w:ind w:left="0" w:right="0"/>
              <w:rPr>
                <w:rFonts w:hint="default"/>
              </w:rPr>
            </w:pPr>
          </w:p>
        </w:tc>
        <w:tc>
          <w:tcPr>
            <w:tcW w:w="787"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3"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eastAsia="方正书宋_GBK"/>
          <w:lang w:eastAsia="zh-CN"/>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部门政府采购</w:t>
      </w:r>
      <w:r>
        <w:rPr>
          <w:rFonts w:ascii="方正书宋_GBK" w:hAnsi="方正书宋_GBK" w:eastAsia="方正书宋_GBK" w:cs="方正书宋_GBK"/>
          <w:color w:val="000000"/>
          <w:sz w:val="21"/>
        </w:rPr>
        <w:t>预算财政拨款预算，空表列示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2"/>
      </w:pPr>
      <w:bookmarkStart w:id="16" w:name="_Toc25139"/>
      <w:r>
        <w:rPr>
          <w:rFonts w:ascii="黑体" w:hAnsi="黑体" w:eastAsia="黑体" w:cs="黑体"/>
          <w:color w:val="000000"/>
          <w:sz w:val="32"/>
        </w:rPr>
        <w:t>七、国有资产信息</w:t>
      </w:r>
      <w:bookmarkEnd w:id="16"/>
    </w:p>
    <w:p>
      <w:pPr>
        <w:spacing w:line="500" w:lineRule="exact"/>
        <w:ind w:firstLine="560"/>
        <w:rPr>
          <w:rFonts w:hint="eastAsia" w:eastAsia="方正仿宋_GBK"/>
          <w:lang w:val="en-US" w:eastAsia="zh-CN"/>
        </w:rPr>
      </w:pPr>
      <w:r>
        <w:rPr>
          <w:rFonts w:hint="eastAsia" w:eastAsia="方正仿宋_GBK"/>
          <w:color w:val="000000"/>
          <w:sz w:val="28"/>
          <w:lang w:val="en-US" w:eastAsia="zh-CN"/>
        </w:rPr>
        <w:t>涞水县永阳镇人民政府</w:t>
      </w:r>
      <w:r>
        <w:rPr>
          <w:rFonts w:eastAsia="方正仿宋_GBK"/>
          <w:color w:val="000000"/>
          <w:sz w:val="28"/>
        </w:rPr>
        <w:t>（含所属单位）上年末固定资产金额为</w:t>
      </w:r>
      <w:r>
        <w:rPr>
          <w:rFonts w:hint="eastAsia" w:eastAsia="方正仿宋_GBK"/>
          <w:color w:val="000000"/>
          <w:sz w:val="28"/>
          <w:lang w:val="en-US" w:eastAsia="zh-CN"/>
        </w:rPr>
        <w:t>263.84</w:t>
      </w:r>
      <w:r>
        <w:rPr>
          <w:rFonts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jc w:val="center"/>
        <w:rPr>
          <w:rFonts w:hint="eastAsia" w:ascii="方正小标宋_GBK" w:hAnsi="方正小标宋_GBK" w:eastAsia="方正小标宋_GBK" w:cs="方正小标宋_GBK"/>
          <w:color w:val="000000"/>
          <w:sz w:val="28"/>
          <w:szCs w:val="28"/>
          <w:lang w:val="en-US"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28"/>
          <w:szCs w:val="28"/>
          <w:lang w:val="en-US" w:eastAsia="zh-CN"/>
        </w:rPr>
        <w:t xml:space="preserve">           截止时间：2021年12月31日</w:t>
      </w:r>
    </w:p>
    <w:tbl>
      <w:tblPr>
        <w:tblStyle w:val="10"/>
        <w:tblW w:w="12840" w:type="dxa"/>
        <w:tblInd w:w="1101" w:type="dxa"/>
        <w:tblLayout w:type="fixed"/>
        <w:tblCellMar>
          <w:top w:w="0" w:type="dxa"/>
          <w:left w:w="108" w:type="dxa"/>
          <w:bottom w:w="0" w:type="dxa"/>
          <w:right w:w="108" w:type="dxa"/>
        </w:tblCellMar>
      </w:tblPr>
      <w:tblGrid>
        <w:gridCol w:w="6098"/>
        <w:gridCol w:w="3057"/>
        <w:gridCol w:w="3685"/>
      </w:tblGrid>
      <w:tr>
        <w:tblPrEx>
          <w:tblLayout w:type="fixed"/>
          <w:tblCellMar>
            <w:top w:w="0" w:type="dxa"/>
            <w:left w:w="108" w:type="dxa"/>
            <w:bottom w:w="0" w:type="dxa"/>
            <w:right w:w="108" w:type="dxa"/>
          </w:tblCellMar>
        </w:tblPrEx>
        <w:trPr>
          <w:trHeight w:val="101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项  目</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数量</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价值（单位：万元）</w:t>
            </w:r>
          </w:p>
        </w:tc>
      </w:tr>
      <w:tr>
        <w:tblPrEx>
          <w:tblLayout w:type="fixed"/>
          <w:tblCellMar>
            <w:top w:w="0" w:type="dxa"/>
            <w:left w:w="108" w:type="dxa"/>
            <w:bottom w:w="0" w:type="dxa"/>
            <w:right w:w="108" w:type="dxa"/>
          </w:tblCellMar>
        </w:tblPrEx>
        <w:trPr>
          <w:trHeight w:val="70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固定资产总额</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eastAsia"/>
              </w:rPr>
            </w:pPr>
            <w:r>
              <w:rPr>
                <w:rFonts w:hint="eastAsia" w:ascii="宋体" w:hAnsi="宋体" w:cs="仿宋_GB2312"/>
                <w:color w:val="000000"/>
                <w:kern w:val="0"/>
                <w:sz w:val="32"/>
                <w:szCs w:val="32"/>
              </w:rPr>
              <w:t>—</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263.84</w:t>
            </w:r>
          </w:p>
        </w:tc>
      </w:tr>
      <w:tr>
        <w:tblPrEx>
          <w:tblLayout w:type="fixed"/>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default" w:eastAsia="方正仿宋_GBK"/>
                <w:color w:val="000000"/>
                <w:sz w:val="28"/>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3057"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lang w:val="en-US" w:eastAsia="zh-CN"/>
              </w:rPr>
            </w:pPr>
            <w:r>
              <w:rPr>
                <w:rFonts w:hint="eastAsia" w:eastAsia="方正仿宋_GBK"/>
                <w:color w:val="000000"/>
                <w:sz w:val="28"/>
              </w:rPr>
              <w:t>1941</w:t>
            </w:r>
          </w:p>
        </w:tc>
        <w:tc>
          <w:tcPr>
            <w:tcW w:w="3685"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Layout w:type="fixed"/>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default" w:eastAsia="方正仿宋_GBK"/>
                <w:color w:val="000000"/>
                <w:sz w:val="28"/>
                <w:lang w:val="en-US" w:eastAsia="zh-CN"/>
              </w:rPr>
            </w:pPr>
            <w:r>
              <w:rPr>
                <w:rFonts w:hint="eastAsia" w:eastAsia="方正仿宋_GBK"/>
                <w:color w:val="000000"/>
                <w:sz w:val="28"/>
              </w:rPr>
              <w:t xml:space="preserve"> 其中：办公用房（平方米）</w:t>
            </w:r>
          </w:p>
        </w:tc>
        <w:tc>
          <w:tcPr>
            <w:tcW w:w="3057"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eastAsia" w:eastAsia="方正仿宋_GBK"/>
                <w:color w:val="000000"/>
                <w:sz w:val="28"/>
                <w:lang w:val="en-US" w:eastAsia="zh-CN"/>
              </w:rPr>
            </w:pPr>
            <w:r>
              <w:rPr>
                <w:rFonts w:hint="eastAsia" w:eastAsia="方正仿宋_GBK"/>
                <w:color w:val="000000"/>
                <w:sz w:val="28"/>
              </w:rPr>
              <w:t>1941</w:t>
            </w:r>
          </w:p>
        </w:tc>
        <w:tc>
          <w:tcPr>
            <w:tcW w:w="3685"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Layout w:type="fixed"/>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default" w:eastAsia="方正仿宋_GBK"/>
                <w:color w:val="000000"/>
                <w:sz w:val="28"/>
              </w:rPr>
            </w:pPr>
            <w:r>
              <w:rPr>
                <w:rFonts w:hint="eastAsia" w:eastAsia="方正仿宋_GBK"/>
                <w:color w:val="000000"/>
                <w:sz w:val="28"/>
              </w:rPr>
              <w:t>2、车辆（台、辆）</w:t>
            </w:r>
          </w:p>
        </w:tc>
        <w:tc>
          <w:tcPr>
            <w:tcW w:w="3057"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lang w:eastAsia="zh-CN"/>
              </w:rPr>
            </w:pPr>
            <w:r>
              <w:rPr>
                <w:rFonts w:hint="eastAsia" w:eastAsia="方正仿宋_GBK"/>
                <w:color w:val="000000"/>
                <w:sz w:val="28"/>
              </w:rPr>
              <w:t>1</w:t>
            </w:r>
          </w:p>
        </w:tc>
        <w:tc>
          <w:tcPr>
            <w:tcW w:w="3685"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lang w:val="en-US" w:eastAsia="zh-CN"/>
              </w:rPr>
            </w:pPr>
            <w:r>
              <w:rPr>
                <w:rFonts w:eastAsia="方正仿宋_GBK"/>
                <w:color w:val="000000"/>
                <w:sz w:val="28"/>
              </w:rPr>
              <w:t>14</w:t>
            </w:r>
          </w:p>
        </w:tc>
      </w:tr>
      <w:tr>
        <w:tblPrEx>
          <w:tblLayout w:type="fixed"/>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8"/>
              </w:rPr>
            </w:pPr>
            <w:r>
              <w:rPr>
                <w:rFonts w:hint="eastAsia" w:eastAsia="方正仿宋_GBK"/>
                <w:color w:val="000000"/>
                <w:sz w:val="28"/>
              </w:rPr>
              <w:t>3、单价在20万元以上的设备</w:t>
            </w:r>
          </w:p>
        </w:tc>
        <w:tc>
          <w:tcPr>
            <w:tcW w:w="3057"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eastAsia" w:eastAsia="方正仿宋_GBK"/>
                <w:color w:val="000000"/>
                <w:sz w:val="28"/>
                <w:lang w:eastAsia="zh-CN"/>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lang w:val="en-US" w:eastAsia="zh-CN"/>
              </w:rPr>
            </w:pPr>
            <w:r>
              <w:rPr>
                <w:rFonts w:hint="eastAsia" w:eastAsia="方正仿宋_GBK"/>
                <w:color w:val="000000"/>
                <w:sz w:val="28"/>
                <w:lang w:val="en-US" w:eastAsia="zh-CN"/>
              </w:rPr>
              <w:t>0.00</w:t>
            </w:r>
          </w:p>
        </w:tc>
      </w:tr>
      <w:tr>
        <w:tblPrEx>
          <w:tblLayout w:type="fixed"/>
          <w:tblCellMar>
            <w:top w:w="0" w:type="dxa"/>
            <w:left w:w="108" w:type="dxa"/>
            <w:bottom w:w="0" w:type="dxa"/>
            <w:right w:w="108" w:type="dxa"/>
          </w:tblCellMar>
        </w:tblPrEx>
        <w:trPr>
          <w:trHeight w:val="465" w:hRule="atLeast"/>
        </w:trPr>
        <w:tc>
          <w:tcPr>
            <w:tcW w:w="609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default" w:eastAsia="方正仿宋_GBK"/>
                <w:color w:val="000000"/>
                <w:sz w:val="28"/>
              </w:rPr>
            </w:pPr>
            <w:r>
              <w:rPr>
                <w:rFonts w:hint="eastAsia" w:eastAsia="方正仿宋_GBK"/>
                <w:color w:val="000000"/>
                <w:sz w:val="28"/>
              </w:rPr>
              <w:t>4、其他固定资产</w:t>
            </w:r>
          </w:p>
        </w:tc>
        <w:tc>
          <w:tcPr>
            <w:tcW w:w="3057"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spacing w:line="500" w:lineRule="exact"/>
              <w:ind w:firstLine="560"/>
              <w:jc w:val="center"/>
              <w:rPr>
                <w:rFonts w:hint="default" w:eastAsia="方正仿宋_GBK"/>
                <w:color w:val="000000"/>
                <w:sz w:val="28"/>
                <w:lang w:val="en-US" w:eastAsia="zh-CN"/>
              </w:rPr>
            </w:pPr>
            <w:r>
              <w:rPr>
                <w:rFonts w:eastAsia="方正仿宋_GBK"/>
                <w:color w:val="000000"/>
                <w:sz w:val="28"/>
              </w:rPr>
              <w:t>123.34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bookmarkStart w:id="17" w:name="_Toc12678"/>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17788"/>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156B1"/>
    <w:multiLevelType w:val="singleLevel"/>
    <w:tmpl w:val="9E9156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720"/>
  <w:evenAndOddHeaders w:val="1"/>
  <w:displayHorizontalDrawingGridEvery w:val="0"/>
  <w:displayVerticalDrawingGridEvery w:val="2"/>
  <w:characterSpacingControl w:val="doNotCompress"/>
  <w:hdrShapeDefaults>
    <o:shapelayout v:ext="edit">
      <o:idmap v:ext="edit" data="3,4"/>
    </o:shapelayout>
  </w:hdrShapeDefault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1A60A6"/>
    <w:rsid w:val="054B4674"/>
    <w:rsid w:val="064F2365"/>
    <w:rsid w:val="0C987E74"/>
    <w:rsid w:val="0E063B0C"/>
    <w:rsid w:val="1DFB7FBE"/>
    <w:rsid w:val="1F001077"/>
    <w:rsid w:val="231457E7"/>
    <w:rsid w:val="277D6B61"/>
    <w:rsid w:val="2A0277F5"/>
    <w:rsid w:val="2B9A3A5F"/>
    <w:rsid w:val="31CD39E5"/>
    <w:rsid w:val="37CF26CA"/>
    <w:rsid w:val="40E368F9"/>
    <w:rsid w:val="449F17EE"/>
    <w:rsid w:val="48BA73C9"/>
    <w:rsid w:val="4A6E08DD"/>
    <w:rsid w:val="4C4960F2"/>
    <w:rsid w:val="50D458F2"/>
    <w:rsid w:val="52656B7C"/>
    <w:rsid w:val="553F30BD"/>
    <w:rsid w:val="55865147"/>
    <w:rsid w:val="58672A01"/>
    <w:rsid w:val="5AC94301"/>
    <w:rsid w:val="5B01542B"/>
    <w:rsid w:val="60AD59F0"/>
    <w:rsid w:val="618868A7"/>
    <w:rsid w:val="66ED66EB"/>
    <w:rsid w:val="723750D8"/>
    <w:rsid w:val="72DA2843"/>
    <w:rsid w:val="732222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semiHidden/>
    <w:unhideWhenUsed/>
    <w:qFormat/>
    <w:uiPriority w:val="99"/>
    <w:rPr>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2"/>
    <w:link w:val="5"/>
    <w:qFormat/>
    <w:uiPriority w:val="99"/>
    <w:rPr>
      <w:rFonts w:eastAsia="Times New Roman"/>
      <w:sz w:val="18"/>
      <w:szCs w:val="18"/>
      <w:lang w:eastAsia="uk-UA"/>
    </w:rPr>
  </w:style>
  <w:style w:type="character" w:customStyle="1" w:styleId="36">
    <w:name w:val="页脚 Char"/>
    <w:basedOn w:val="12"/>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4</TotalTime>
  <ScaleCrop>false</ScaleCrop>
  <LinksUpToDate>false</LinksUpToDate>
  <CharactersWithSpaces>15140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2022-06-22T02:20:00Z</cp:lastPrinted>
  <dcterms:modified xsi:type="dcterms:W3CDTF">2022-06-24T07:59:19Z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C9D1610CB8F1478783DEAA371825E57F</vt:lpwstr>
  </property>
</Properties>
</file>