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4212"/>
      <w:r>
        <w:rPr>
          <w:rFonts w:ascii="黑体" w:hAnsi="黑体" w:eastAsia="黑体" w:cs="黑体"/>
          <w:b/>
          <w:color w:val="000000"/>
          <w:sz w:val="44"/>
        </w:rPr>
        <w:t>2022年</w:t>
      </w:r>
      <w:r>
        <w:rPr>
          <w:rFonts w:hint="eastAsia" w:ascii="黑体" w:hAnsi="黑体" w:eastAsia="黑体" w:cs="黑体"/>
          <w:b/>
          <w:color w:val="000000"/>
          <w:sz w:val="44"/>
          <w:lang w:eastAsia="zh-CN"/>
        </w:rPr>
        <w:t>涞水县人民法院</w:t>
      </w:r>
      <w:r>
        <w:rPr>
          <w:rFonts w:ascii="黑体" w:hAnsi="黑体" w:eastAsia="黑体" w:cs="黑体"/>
          <w:b/>
          <w:color w:val="000000"/>
          <w:sz w:val="44"/>
        </w:rPr>
        <w:t>部门预算信息公开目录</w:t>
      </w:r>
      <w:bookmarkEnd w:id="0"/>
    </w:p>
    <w:p>
      <w:pPr>
        <w:jc w:val="center"/>
      </w:pPr>
      <w:r>
        <w:rPr>
          <w:rFonts w:ascii="黑体" w:hAnsi="黑体" w:eastAsia="黑体" w:cs="黑体"/>
          <w:b/>
          <w:color w:val="000000"/>
          <w:sz w:val="30"/>
        </w:rPr>
        <w:t xml:space="preserve"> </w:t>
      </w:r>
    </w:p>
    <w:p>
      <w:r>
        <w:rPr>
          <w:rFonts w:ascii="方正新楷体_GBK" w:hAnsi="方正新楷体_GBK" w:eastAsia="方正新楷体_GBK" w:cs="方正新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方正书宋_GBK" w:hAnsi="方正书宋_GBK" w:eastAsia="方正书宋_GBK" w:cs="方正书宋_GBK"/>
        </w:rPr>
      </w:pPr>
      <w:r>
        <w:rPr>
          <w:rFonts w:ascii="方正新楷体_GBK" w:hAnsi="方正新楷体_GBK" w:eastAsia="方正新楷体_GBK" w:cs="方正新楷体_GBK"/>
          <w:b/>
          <w:color w:val="000000"/>
          <w:sz w:val="28"/>
        </w:rPr>
        <w:t>部门预算信息公开情况说明</w:t>
      </w:r>
    </w:p>
    <w:sdt>
      <w:sdtPr>
        <w:rPr>
          <w:rFonts w:ascii="宋体" w:hAnsi="宋体" w:eastAsia="宋体" w:cs="Times New Roman"/>
          <w:sz w:val="21"/>
          <w:szCs w:val="24"/>
          <w:lang w:val="en-US" w:eastAsia="uk-UA" w:bidi="ar-SA"/>
        </w:rPr>
        <w:id w:val="147453152"/>
        <w15:color w:val="DBDBDB"/>
        <w:docPartObj>
          <w:docPartGallery w:val="Table of Contents"/>
          <w:docPartUnique/>
        </w:docPartObj>
      </w:sdtPr>
      <w:sdtEndPr>
        <w:rPr>
          <w:rFonts w:ascii="方正新楷体_GBK" w:hAnsi="方正新楷体_GBK" w:eastAsia="方正新楷体_GBK" w:cs="方正新楷体_GBK"/>
          <w:b w:val="0"/>
          <w:bCs w:val="0"/>
          <w:color w:val="000000"/>
          <w:sz w:val="32"/>
          <w:szCs w:val="32"/>
          <w:lang w:val="en-US" w:eastAsia="zh-CN" w:bidi="ar-SA"/>
        </w:rPr>
      </w:sdtEndPr>
      <w:sdtContent>
        <w:p>
          <w:pPr>
            <w:keepNext w:val="0"/>
            <w:keepLines w:val="0"/>
            <w:pageBreakBefore w:val="0"/>
            <w:widowControl/>
            <w:kinsoku/>
            <w:wordWrap/>
            <w:overflowPunct/>
            <w:topLinePunct w:val="0"/>
            <w:autoSpaceDE/>
            <w:autoSpaceDN/>
            <w:bidi w:val="0"/>
            <w:adjustRightInd/>
            <w:snapToGrid/>
            <w:spacing w:line="520" w:lineRule="exact"/>
            <w:textAlignment w:val="auto"/>
            <w:rPr>
              <w:b w:val="0"/>
              <w:bCs w:val="0"/>
              <w:sz w:val="32"/>
              <w:szCs w:val="32"/>
            </w:rPr>
          </w:pPr>
          <w:r>
            <w:rPr>
              <w:rFonts w:ascii="方正新楷体_GBK" w:hAnsi="方正新楷体_GBK" w:eastAsia="方正新楷体_GBK" w:cs="方正新楷体_GBK"/>
              <w:b w:val="0"/>
              <w:bCs w:val="0"/>
              <w:color w:val="000000"/>
              <w:sz w:val="32"/>
              <w:szCs w:val="32"/>
              <w:lang w:eastAsia="zh-CN"/>
            </w:rPr>
            <w:fldChar w:fldCharType="begin"/>
          </w:r>
          <w:r>
            <w:rPr>
              <w:rFonts w:ascii="方正新楷体_GBK" w:hAnsi="方正新楷体_GBK" w:eastAsia="方正新楷体_GBK" w:cs="方正新楷体_GBK"/>
              <w:b w:val="0"/>
              <w:bCs w:val="0"/>
              <w:color w:val="000000"/>
              <w:sz w:val="32"/>
              <w:szCs w:val="32"/>
              <w:lang w:eastAsia="zh-CN"/>
            </w:rPr>
            <w:instrText xml:space="preserve">TOC \o "1-1" \h \u </w:instrText>
          </w:r>
          <w:r>
            <w:rPr>
              <w:rFonts w:ascii="方正新楷体_GBK" w:hAnsi="方正新楷体_GBK" w:eastAsia="方正新楷体_GBK" w:cs="方正新楷体_GBK"/>
              <w:b w:val="0"/>
              <w:bCs w:val="0"/>
              <w:color w:val="000000"/>
              <w:sz w:val="32"/>
              <w:szCs w:val="32"/>
              <w:lang w:eastAsia="zh-CN"/>
            </w:rPr>
            <w:fldChar w:fldCharType="separate"/>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_Toc1825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rPr>
            <w:t>一、部门职责及机构设置情况</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_Toc1825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15</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_Toc20741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lang w:val="en-US" w:eastAsia="zh-CN"/>
            </w:rPr>
            <w:t>二、</w:t>
          </w:r>
          <w:r>
            <w:rPr>
              <w:rFonts w:hint="eastAsia" w:ascii="仿宋_GB2312" w:hAnsi="仿宋_GB2312" w:eastAsia="仿宋_GB2312" w:cs="仿宋_GB2312"/>
              <w:b w:val="0"/>
              <w:bCs w:val="0"/>
              <w:sz w:val="28"/>
              <w:szCs w:val="28"/>
            </w:rPr>
            <w:t>部门预算安排的总体情况</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_Toc20741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18</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_Toc29633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rPr>
            <w:t>三、机关运行经费安排情况</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_Toc29633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18</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_Toc2176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lang w:val="en-US" w:eastAsia="zh-CN"/>
            </w:rPr>
            <w:t>四、</w:t>
          </w:r>
          <w:r>
            <w:rPr>
              <w:rFonts w:hint="eastAsia" w:ascii="仿宋_GB2312" w:hAnsi="仿宋_GB2312" w:eastAsia="仿宋_GB2312" w:cs="仿宋_GB2312"/>
              <w:b w:val="0"/>
              <w:bCs w:val="0"/>
              <w:sz w:val="28"/>
              <w:szCs w:val="28"/>
            </w:rPr>
            <w:t>财政拨款“三公”经费预算情况及增减变化原因</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_Toc2176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_Toc6364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rPr>
            <w:t>五、预算绩效信息</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_Toc6364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20</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_Toc27566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rPr>
            <w:t>六、政府采购预算情况</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_Toc27566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26</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_Toc20395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rPr>
            <w:t>七、国有资产信息</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_Toc20395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27</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_Toc12851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rPr>
            <w:t>八、名词解释</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_Toc12851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28</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pStyle w:val="36"/>
            <w:keepNext w:val="0"/>
            <w:keepLines w:val="0"/>
            <w:pageBreakBefore w:val="0"/>
            <w:widowControl/>
            <w:tabs>
              <w:tab w:val="right" w:leader="dot" w:pos="14800"/>
            </w:tabs>
            <w:kinsoku/>
            <w:wordWrap/>
            <w:overflowPunct/>
            <w:topLinePunct w:val="0"/>
            <w:autoSpaceDE/>
            <w:autoSpaceDN/>
            <w:bidi w:val="0"/>
            <w:adjustRightInd/>
            <w:snapToGrid/>
            <w:spacing w:line="520" w:lineRule="exact"/>
            <w:ind w:firstLine="560" w:firstLineChars="200"/>
            <w:textAlignment w:val="auto"/>
            <w:rPr>
              <w:b w:val="0"/>
              <w:bCs w:val="0"/>
              <w:sz w:val="32"/>
              <w:szCs w:val="32"/>
            </w:rPr>
          </w:pPr>
          <w:r>
            <w:rPr>
              <w:rFonts w:hint="eastAsia" w:ascii="仿宋_GB2312" w:hAnsi="仿宋_GB2312" w:eastAsia="仿宋_GB2312" w:cs="仿宋_GB2312"/>
              <w:b w:val="0"/>
              <w:bCs w:val="0"/>
              <w:color w:val="00000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\l _Toc4159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rPr>
            <w:t>九、其他需要说明的事项</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_Toc4159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z w:val="28"/>
              <w:szCs w:val="28"/>
              <w:lang w:eastAsia="zh-CN"/>
            </w:rPr>
            <w:fldChar w:fldCharType="end"/>
          </w:r>
        </w:p>
        <w:p>
          <w:pPr>
            <w:keepNext w:val="0"/>
            <w:keepLines w:val="0"/>
            <w:pageBreakBefore w:val="0"/>
            <w:widowControl/>
            <w:kinsoku/>
            <w:wordWrap/>
            <w:overflowPunct/>
            <w:topLinePunct w:val="0"/>
            <w:autoSpaceDE/>
            <w:autoSpaceDN/>
            <w:bidi w:val="0"/>
            <w:adjustRightInd/>
            <w:snapToGrid/>
            <w:spacing w:line="520" w:lineRule="exact"/>
            <w:textAlignment w:val="auto"/>
            <w:rPr>
              <w:rFonts w:ascii="方正新楷体_GBK" w:hAnsi="方正新楷体_GBK" w:eastAsia="方正新楷体_GBK" w:cs="方正新楷体_GBK"/>
              <w:b w:val="0"/>
              <w:bCs w:val="0"/>
              <w:color w:val="000000"/>
              <w:sz w:val="32"/>
              <w:szCs w:val="32"/>
              <w:lang w:eastAsia="zh-CN"/>
            </w:rPr>
          </w:pPr>
          <w:r>
            <w:rPr>
              <w:rFonts w:ascii="方正新楷体_GBK" w:hAnsi="方正新楷体_GBK" w:eastAsia="方正新楷体_GBK" w:cs="方正新楷体_GBK"/>
              <w:b w:val="0"/>
              <w:bCs w:val="0"/>
              <w:color w:val="000000"/>
              <w:sz w:val="32"/>
              <w:szCs w:val="32"/>
              <w:lang w:eastAsia="zh-CN"/>
            </w:rPr>
            <w:fldChar w:fldCharType="end"/>
          </w:r>
        </w:p>
      </w:sdtContent>
    </w:sdt>
    <w:p>
      <w:pPr>
        <w:jc w:val="center"/>
        <w:outlineLvl w:val="9"/>
        <w:rPr>
          <w:rFonts w:ascii="方正小标宋_GBK" w:hAnsi="方正小标宋_GBK" w:eastAsia="方正小标宋_GBK" w:cs="方正小标宋_GBK"/>
          <w:color w:val="000000"/>
          <w:sz w:val="36"/>
        </w:rPr>
      </w:pPr>
    </w:p>
    <w:p>
      <w:pPr>
        <w:jc w:val="center"/>
        <w:outlineLvl w:val="9"/>
        <w:rPr>
          <w:rFonts w:ascii="方正小标宋_GBK" w:hAnsi="方正小标宋_GBK" w:eastAsia="方正小标宋_GBK" w:cs="方正小标宋_GBK"/>
          <w:color w:val="000000"/>
          <w:sz w:val="36"/>
        </w:rPr>
      </w:pPr>
    </w:p>
    <w:p>
      <w:pPr>
        <w:jc w:val="center"/>
        <w:outlineLvl w:val="9"/>
        <w:rPr>
          <w:rFonts w:ascii="方正小标宋_GBK" w:hAnsi="方正小标宋_GBK" w:eastAsia="方正小标宋_GBK" w:cs="方正小标宋_GBK"/>
          <w:color w:val="000000"/>
          <w:sz w:val="36"/>
        </w:rPr>
      </w:pPr>
    </w:p>
    <w:p>
      <w:pPr>
        <w:jc w:val="center"/>
        <w:outlineLvl w:val="9"/>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161涞水县人民法院</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1842.11</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rPr>
                <w:rFonts w:hint="default" w:eastAsia="方正书宋_GBK"/>
                <w:lang w:val="en-US" w:eastAsia="zh-CN"/>
              </w:rPr>
            </w:pPr>
            <w:r>
              <w:rPr>
                <w:rFonts w:hint="eastAsia"/>
                <w:lang w:val="en-US" w:eastAsia="zh-CN"/>
              </w:rPr>
              <w:t>1842.11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79.58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33.47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522.00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52.52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1842..11</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1842.11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1842.11</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1842.11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161涞水县人民法院</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eastAsia="方正书宋_GBK"/>
                <w:lang w:val="en-US" w:eastAsia="zh-CN"/>
              </w:rPr>
            </w:pPr>
            <w:r>
              <w:rPr>
                <w:rFonts w:hint="eastAsia"/>
                <w:lang w:val="en-US" w:eastAsia="zh-CN"/>
              </w:rPr>
              <w:t>1842.11</w:t>
            </w:r>
          </w:p>
        </w:tc>
        <w:tc>
          <w:tcPr>
            <w:tcW w:w="1134" w:type="dxa"/>
            <w:vAlign w:val="center"/>
          </w:tcPr>
          <w:p>
            <w:pPr>
              <w:pStyle w:val="20"/>
            </w:pPr>
            <w:r>
              <w:rPr>
                <w:rFonts w:hint="eastAsia"/>
                <w:lang w:val="en-US" w:eastAsia="zh-CN"/>
              </w:rPr>
              <w:t>1842.11</w:t>
            </w:r>
          </w:p>
        </w:tc>
        <w:tc>
          <w:tcPr>
            <w:tcW w:w="1134" w:type="dxa"/>
            <w:vAlign w:val="center"/>
          </w:tcPr>
          <w:p>
            <w:pPr>
              <w:pStyle w:val="20"/>
            </w:pPr>
            <w:r>
              <w:rPr>
                <w:rFonts w:hint="eastAsia"/>
                <w:lang w:val="en-US" w:eastAsia="zh-CN"/>
              </w:rPr>
              <w:t>1842.11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rPr>
                <w:rFonts w:hint="default" w:eastAsia="方正书宋_GBK"/>
                <w:lang w:val="en-US" w:eastAsia="zh-CN"/>
              </w:rPr>
            </w:pPr>
            <w:r>
              <w:rPr>
                <w:rFonts w:hint="eastAsia"/>
                <w:lang w:val="en-US" w:eastAsia="zh-CN"/>
              </w:rPr>
              <w:t>204</w:t>
            </w:r>
          </w:p>
        </w:tc>
        <w:tc>
          <w:tcPr>
            <w:tcW w:w="1559" w:type="dxa"/>
            <w:vAlign w:val="center"/>
          </w:tcPr>
          <w:p>
            <w:pPr>
              <w:pStyle w:val="17"/>
            </w:pPr>
            <w:r>
              <w:t>公共</w:t>
            </w:r>
            <w:r>
              <w:rPr>
                <w:rFonts w:hint="eastAsia"/>
                <w:lang w:val="en-US" w:eastAsia="zh-CN"/>
              </w:rPr>
              <w:t>安全</w:t>
            </w:r>
            <w:r>
              <w:t>支出</w:t>
            </w:r>
          </w:p>
        </w:tc>
        <w:tc>
          <w:tcPr>
            <w:tcW w:w="1134" w:type="dxa"/>
            <w:vAlign w:val="center"/>
          </w:tcPr>
          <w:p>
            <w:pPr>
              <w:pStyle w:val="16"/>
              <w:rPr>
                <w:rFonts w:hint="default" w:eastAsia="方正书宋_GBK"/>
                <w:lang w:val="en-US" w:eastAsia="zh-CN"/>
              </w:rPr>
            </w:pPr>
            <w:r>
              <w:rPr>
                <w:rFonts w:hint="eastAsia"/>
                <w:lang w:val="en-US" w:eastAsia="zh-CN"/>
              </w:rPr>
              <w:t>1676.54</w:t>
            </w:r>
          </w:p>
        </w:tc>
        <w:tc>
          <w:tcPr>
            <w:tcW w:w="1134" w:type="dxa"/>
            <w:vAlign w:val="center"/>
          </w:tcPr>
          <w:p>
            <w:pPr>
              <w:pStyle w:val="16"/>
            </w:pPr>
            <w:r>
              <w:rPr>
                <w:rFonts w:hint="eastAsia"/>
                <w:lang w:val="en-US" w:eastAsia="zh-CN"/>
              </w:rPr>
              <w:t>1676.54</w:t>
            </w:r>
          </w:p>
        </w:tc>
        <w:tc>
          <w:tcPr>
            <w:tcW w:w="1134" w:type="dxa"/>
            <w:vAlign w:val="center"/>
          </w:tcPr>
          <w:p>
            <w:pPr>
              <w:pStyle w:val="16"/>
            </w:pPr>
            <w:r>
              <w:rPr>
                <w:rFonts w:hint="eastAsia"/>
                <w:lang w:val="en-US" w:eastAsia="zh-CN"/>
              </w:rPr>
              <w:t>1676.54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rPr>
                <w:rFonts w:hint="default" w:eastAsia="方正书宋_GBK"/>
                <w:lang w:val="en-US" w:eastAsia="zh-CN"/>
              </w:rPr>
            </w:pPr>
            <w:r>
              <w:rPr>
                <w:rFonts w:hint="eastAsia"/>
                <w:lang w:val="en-US" w:eastAsia="zh-CN"/>
              </w:rPr>
              <w:t>20405</w:t>
            </w:r>
          </w:p>
        </w:tc>
        <w:tc>
          <w:tcPr>
            <w:tcW w:w="1559" w:type="dxa"/>
            <w:vAlign w:val="center"/>
          </w:tcPr>
          <w:p>
            <w:pPr>
              <w:pStyle w:val="17"/>
              <w:rPr>
                <w:rFonts w:hint="eastAsia" w:eastAsia="方正书宋_GBK"/>
                <w:lang w:eastAsia="zh-CN"/>
              </w:rPr>
            </w:pPr>
            <w:r>
              <w:rPr>
                <w:rFonts w:hint="eastAsia"/>
                <w:lang w:val="en-US" w:eastAsia="zh-CN"/>
              </w:rPr>
              <w:t>法院</w:t>
            </w:r>
          </w:p>
        </w:tc>
        <w:tc>
          <w:tcPr>
            <w:tcW w:w="1134" w:type="dxa"/>
            <w:vAlign w:val="center"/>
          </w:tcPr>
          <w:p>
            <w:pPr>
              <w:pStyle w:val="16"/>
              <w:rPr>
                <w:rFonts w:hint="default" w:eastAsia="方正书宋_GBK"/>
                <w:lang w:val="en-US" w:eastAsia="zh-CN"/>
              </w:rPr>
            </w:pPr>
            <w:r>
              <w:rPr>
                <w:rFonts w:hint="eastAsia"/>
                <w:lang w:val="en-US" w:eastAsia="zh-CN"/>
              </w:rPr>
              <w:t>1676.54</w:t>
            </w:r>
          </w:p>
        </w:tc>
        <w:tc>
          <w:tcPr>
            <w:tcW w:w="1134" w:type="dxa"/>
            <w:vAlign w:val="center"/>
          </w:tcPr>
          <w:p>
            <w:pPr>
              <w:pStyle w:val="16"/>
            </w:pPr>
            <w:r>
              <w:rPr>
                <w:rFonts w:hint="eastAsia"/>
                <w:lang w:val="en-US" w:eastAsia="zh-CN"/>
              </w:rPr>
              <w:t>1676.54</w:t>
            </w:r>
          </w:p>
        </w:tc>
        <w:tc>
          <w:tcPr>
            <w:tcW w:w="1134" w:type="dxa"/>
            <w:vAlign w:val="center"/>
          </w:tcPr>
          <w:p>
            <w:pPr>
              <w:pStyle w:val="16"/>
            </w:pPr>
            <w:r>
              <w:rPr>
                <w:rFonts w:hint="eastAsia"/>
                <w:lang w:val="en-US" w:eastAsia="zh-CN"/>
              </w:rPr>
              <w:t>1676.54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rPr>
                <w:rFonts w:hint="default" w:eastAsia="方正书宋_GBK"/>
                <w:lang w:val="en-US" w:eastAsia="zh-CN"/>
              </w:rPr>
            </w:pPr>
            <w:r>
              <w:rPr>
                <w:rFonts w:hint="eastAsia"/>
                <w:lang w:val="en-US" w:eastAsia="zh-CN"/>
              </w:rPr>
              <w:t>2040501</w:t>
            </w:r>
          </w:p>
        </w:tc>
        <w:tc>
          <w:tcPr>
            <w:tcW w:w="1559" w:type="dxa"/>
            <w:vAlign w:val="center"/>
          </w:tcPr>
          <w:p>
            <w:pPr>
              <w:pStyle w:val="17"/>
            </w:pPr>
            <w:r>
              <w:t>行政运行</w:t>
            </w:r>
          </w:p>
        </w:tc>
        <w:tc>
          <w:tcPr>
            <w:tcW w:w="1134" w:type="dxa"/>
            <w:vAlign w:val="center"/>
          </w:tcPr>
          <w:p>
            <w:pPr>
              <w:pStyle w:val="16"/>
              <w:rPr>
                <w:rFonts w:hint="default" w:eastAsia="方正书宋_GBK"/>
                <w:lang w:val="en-US" w:eastAsia="zh-CN"/>
              </w:rPr>
            </w:pPr>
            <w:r>
              <w:rPr>
                <w:rFonts w:hint="eastAsia"/>
                <w:lang w:val="en-US" w:eastAsia="zh-CN"/>
              </w:rPr>
              <w:t>1052.54</w:t>
            </w:r>
          </w:p>
        </w:tc>
        <w:tc>
          <w:tcPr>
            <w:tcW w:w="1134" w:type="dxa"/>
            <w:vAlign w:val="center"/>
          </w:tcPr>
          <w:p>
            <w:pPr>
              <w:pStyle w:val="16"/>
            </w:pPr>
            <w:r>
              <w:rPr>
                <w:rFonts w:hint="eastAsia"/>
                <w:lang w:val="en-US" w:eastAsia="zh-CN"/>
              </w:rPr>
              <w:t>1052.54</w:t>
            </w:r>
          </w:p>
        </w:tc>
        <w:tc>
          <w:tcPr>
            <w:tcW w:w="1134" w:type="dxa"/>
            <w:vAlign w:val="center"/>
          </w:tcPr>
          <w:p>
            <w:pPr>
              <w:pStyle w:val="16"/>
            </w:pPr>
            <w:r>
              <w:rPr>
                <w:rFonts w:hint="eastAsia"/>
                <w:lang w:val="en-US" w:eastAsia="zh-CN"/>
              </w:rPr>
              <w:t>1052.54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rPr>
                <w:rFonts w:hint="default" w:eastAsia="方正书宋_GBK"/>
                <w:lang w:val="en-US" w:eastAsia="zh-CN"/>
              </w:rPr>
            </w:pPr>
            <w:r>
              <w:rPr>
                <w:rFonts w:hint="eastAsia"/>
                <w:lang w:val="en-US" w:eastAsia="zh-CN"/>
              </w:rPr>
              <w:t>2040502</w:t>
            </w:r>
          </w:p>
        </w:tc>
        <w:tc>
          <w:tcPr>
            <w:tcW w:w="1559" w:type="dxa"/>
            <w:vAlign w:val="center"/>
          </w:tcPr>
          <w:p>
            <w:pPr>
              <w:pStyle w:val="17"/>
            </w:pPr>
            <w:r>
              <w:t>一般行政管理事务</w:t>
            </w:r>
          </w:p>
        </w:tc>
        <w:tc>
          <w:tcPr>
            <w:tcW w:w="1134" w:type="dxa"/>
            <w:vAlign w:val="center"/>
          </w:tcPr>
          <w:p>
            <w:pPr>
              <w:pStyle w:val="16"/>
              <w:rPr>
                <w:rFonts w:hint="default" w:eastAsia="方正书宋_GBK"/>
                <w:lang w:val="en-US" w:eastAsia="zh-CN"/>
              </w:rPr>
            </w:pPr>
            <w:r>
              <w:rPr>
                <w:rFonts w:hint="eastAsia"/>
                <w:lang w:val="en-US" w:eastAsia="zh-CN"/>
              </w:rPr>
              <w:t>624.00</w:t>
            </w:r>
          </w:p>
        </w:tc>
        <w:tc>
          <w:tcPr>
            <w:tcW w:w="1134" w:type="dxa"/>
            <w:vAlign w:val="center"/>
          </w:tcPr>
          <w:p>
            <w:pPr>
              <w:pStyle w:val="16"/>
            </w:pPr>
            <w:r>
              <w:rPr>
                <w:rFonts w:hint="eastAsia"/>
                <w:lang w:val="en-US" w:eastAsia="zh-CN"/>
              </w:rPr>
              <w:t>624.00</w:t>
            </w:r>
          </w:p>
        </w:tc>
        <w:tc>
          <w:tcPr>
            <w:tcW w:w="1134" w:type="dxa"/>
            <w:vAlign w:val="center"/>
          </w:tcPr>
          <w:p>
            <w:pPr>
              <w:pStyle w:val="16"/>
            </w:pPr>
            <w:r>
              <w:rPr>
                <w:rFonts w:hint="eastAsia"/>
                <w:lang w:val="en-US" w:eastAsia="zh-CN"/>
              </w:rPr>
              <w:t>624.00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rPr>
                <w:rFonts w:hint="default" w:eastAsia="方正书宋_GBK"/>
                <w:lang w:val="en-US" w:eastAsia="zh-CN"/>
              </w:rPr>
            </w:pPr>
            <w:r>
              <w:rPr>
                <w:rFonts w:hint="eastAsia"/>
                <w:lang w:val="en-US" w:eastAsia="zh-CN"/>
              </w:rPr>
              <w:t>208</w:t>
            </w:r>
          </w:p>
        </w:tc>
        <w:tc>
          <w:tcPr>
            <w:tcW w:w="1559" w:type="dxa"/>
            <w:vAlign w:val="center"/>
          </w:tcPr>
          <w:p>
            <w:pPr>
              <w:pStyle w:val="17"/>
            </w:pPr>
            <w:r>
              <w:t>社会保障和就业支出</w:t>
            </w:r>
          </w:p>
        </w:tc>
        <w:tc>
          <w:tcPr>
            <w:tcW w:w="1134" w:type="dxa"/>
            <w:vAlign w:val="center"/>
          </w:tcPr>
          <w:p>
            <w:pPr>
              <w:pStyle w:val="16"/>
              <w:rPr>
                <w:rFonts w:hint="default" w:eastAsia="方正书宋_GBK"/>
                <w:lang w:val="en-US" w:eastAsia="zh-CN"/>
              </w:rPr>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rPr>
                <w:rFonts w:hint="default" w:eastAsia="方正书宋_GBK"/>
                <w:lang w:val="en-US" w:eastAsia="zh-CN"/>
              </w:rPr>
            </w:pPr>
            <w:r>
              <w:rPr>
                <w:rFonts w:hint="eastAsia"/>
                <w:lang w:val="en-US" w:eastAsia="zh-CN"/>
              </w:rPr>
              <w:t>20805</w:t>
            </w:r>
          </w:p>
        </w:tc>
        <w:tc>
          <w:tcPr>
            <w:tcW w:w="1559" w:type="dxa"/>
            <w:vAlign w:val="center"/>
          </w:tcPr>
          <w:p>
            <w:pPr>
              <w:pStyle w:val="17"/>
            </w:pPr>
            <w:r>
              <w:t>行政事业单位养老支出</w:t>
            </w:r>
          </w:p>
        </w:tc>
        <w:tc>
          <w:tcPr>
            <w:tcW w:w="1134" w:type="dxa"/>
            <w:vAlign w:val="center"/>
          </w:tcPr>
          <w:p>
            <w:pPr>
              <w:pStyle w:val="16"/>
              <w:rPr>
                <w:rFonts w:hint="default" w:eastAsia="方正书宋_GBK"/>
                <w:lang w:val="en-US" w:eastAsia="zh-CN"/>
              </w:rPr>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rPr>
                <w:rFonts w:hint="default" w:eastAsia="方正书宋_GBK"/>
                <w:lang w:val="en-US" w:eastAsia="zh-CN"/>
              </w:rPr>
            </w:pPr>
            <w:r>
              <w:rPr>
                <w:rFonts w:hint="eastAsia"/>
                <w:lang w:val="en-US" w:eastAsia="zh-CN"/>
              </w:rPr>
              <w:t>2080505</w:t>
            </w:r>
          </w:p>
        </w:tc>
        <w:tc>
          <w:tcPr>
            <w:tcW w:w="1559"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134" w:type="dxa"/>
            <w:vAlign w:val="center"/>
          </w:tcPr>
          <w:p>
            <w:pPr>
              <w:pStyle w:val="16"/>
              <w:rPr>
                <w:rFonts w:hint="default" w:eastAsia="方正书宋_GBK"/>
                <w:lang w:val="en-US" w:eastAsia="zh-CN"/>
              </w:rPr>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rPr>
                <w:rFonts w:hint="default" w:eastAsia="方正书宋_GBK"/>
                <w:lang w:val="en-US" w:eastAsia="zh-CN"/>
              </w:rPr>
            </w:pPr>
            <w:r>
              <w:rPr>
                <w:rFonts w:hint="eastAsia"/>
                <w:lang w:val="en-US" w:eastAsia="zh-CN"/>
              </w:rPr>
              <w:t>210</w:t>
            </w:r>
          </w:p>
        </w:tc>
        <w:tc>
          <w:tcPr>
            <w:tcW w:w="1559" w:type="dxa"/>
            <w:vAlign w:val="center"/>
          </w:tcPr>
          <w:p>
            <w:pPr>
              <w:pStyle w:val="17"/>
              <w:rPr>
                <w:rFonts w:hint="default" w:eastAsia="方正书宋_GBK"/>
                <w:lang w:val="en-US" w:eastAsia="zh-CN"/>
              </w:rPr>
            </w:pPr>
            <w:r>
              <w:rPr>
                <w:rFonts w:hint="eastAsia"/>
                <w:lang w:val="en-US" w:eastAsia="zh-CN"/>
              </w:rPr>
              <w:t>卫生健康支出</w:t>
            </w:r>
          </w:p>
        </w:tc>
        <w:tc>
          <w:tcPr>
            <w:tcW w:w="1134" w:type="dxa"/>
            <w:vAlign w:val="center"/>
          </w:tcPr>
          <w:p>
            <w:pPr>
              <w:pStyle w:val="16"/>
              <w:rPr>
                <w:rFonts w:hint="default" w:eastAsia="方正书宋_GBK"/>
                <w:lang w:val="en-US" w:eastAsia="zh-CN"/>
              </w:rPr>
            </w:pPr>
            <w:r>
              <w:rPr>
                <w:rFonts w:hint="eastAsia"/>
                <w:lang w:eastAsia="zh-CN"/>
              </w:rPr>
              <w:t>3</w:t>
            </w:r>
            <w:r>
              <w:rPr>
                <w:rFonts w:hint="eastAsia"/>
                <w:lang w:val="en-US" w:eastAsia="zh-CN"/>
              </w:rPr>
              <w:t>3.47</w:t>
            </w:r>
          </w:p>
        </w:tc>
        <w:tc>
          <w:tcPr>
            <w:tcW w:w="1134" w:type="dxa"/>
            <w:vAlign w:val="center"/>
          </w:tcPr>
          <w:p>
            <w:pPr>
              <w:pStyle w:val="16"/>
            </w:pPr>
            <w:r>
              <w:rPr>
                <w:rFonts w:hint="eastAsia"/>
                <w:lang w:eastAsia="zh-CN"/>
              </w:rPr>
              <w:t>3</w:t>
            </w:r>
            <w:r>
              <w:rPr>
                <w:rFonts w:hint="eastAsia"/>
                <w:lang w:val="en-US" w:eastAsia="zh-CN"/>
              </w:rPr>
              <w:t>3.47</w:t>
            </w:r>
          </w:p>
        </w:tc>
        <w:tc>
          <w:tcPr>
            <w:tcW w:w="1134" w:type="dxa"/>
            <w:vAlign w:val="center"/>
          </w:tcPr>
          <w:p>
            <w:pPr>
              <w:pStyle w:val="16"/>
            </w:pPr>
            <w:r>
              <w:rPr>
                <w:rFonts w:hint="eastAsia"/>
                <w:lang w:eastAsia="zh-CN"/>
              </w:rPr>
              <w:t>3</w:t>
            </w:r>
            <w:r>
              <w:rPr>
                <w:rFonts w:hint="eastAsia"/>
                <w:lang w:val="en-US" w:eastAsia="zh-CN"/>
              </w:rPr>
              <w:t>3.47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rPr>
                <w:rFonts w:hint="default" w:eastAsia="方正书宋_GBK"/>
                <w:lang w:val="en-US" w:eastAsia="zh-CN"/>
              </w:rPr>
            </w:pPr>
            <w:r>
              <w:rPr>
                <w:rFonts w:hint="eastAsia"/>
                <w:lang w:val="en-US" w:eastAsia="zh-CN"/>
              </w:rPr>
              <w:t>21011</w:t>
            </w:r>
          </w:p>
        </w:tc>
        <w:tc>
          <w:tcPr>
            <w:tcW w:w="1559" w:type="dxa"/>
            <w:vAlign w:val="center"/>
          </w:tcPr>
          <w:p>
            <w:pPr>
              <w:pStyle w:val="17"/>
              <w:rPr>
                <w:rFonts w:hint="default" w:eastAsia="方正书宋_GBK"/>
                <w:lang w:val="en-US" w:eastAsia="zh-CN"/>
              </w:rPr>
            </w:pPr>
            <w:r>
              <w:rPr>
                <w:rFonts w:hint="eastAsia"/>
                <w:lang w:val="en-US" w:eastAsia="zh-CN"/>
              </w:rPr>
              <w:t>行政事业单位医疗</w:t>
            </w:r>
          </w:p>
        </w:tc>
        <w:tc>
          <w:tcPr>
            <w:tcW w:w="1134" w:type="dxa"/>
            <w:vAlign w:val="center"/>
          </w:tcPr>
          <w:p>
            <w:pPr>
              <w:pStyle w:val="16"/>
              <w:rPr>
                <w:rFonts w:hint="default" w:eastAsia="方正书宋_GBK"/>
                <w:lang w:val="en-US" w:eastAsia="zh-CN"/>
              </w:rPr>
            </w:pPr>
            <w:r>
              <w:rPr>
                <w:rFonts w:hint="eastAsia"/>
                <w:lang w:val="en-US" w:eastAsia="zh-CN"/>
              </w:rPr>
              <w:t>33.47</w:t>
            </w:r>
          </w:p>
        </w:tc>
        <w:tc>
          <w:tcPr>
            <w:tcW w:w="1134" w:type="dxa"/>
            <w:vAlign w:val="center"/>
          </w:tcPr>
          <w:p>
            <w:pPr>
              <w:pStyle w:val="16"/>
            </w:pPr>
            <w:r>
              <w:rPr>
                <w:rFonts w:hint="eastAsia"/>
                <w:lang w:val="en-US" w:eastAsia="zh-CN"/>
              </w:rPr>
              <w:t>33.47</w:t>
            </w:r>
          </w:p>
        </w:tc>
        <w:tc>
          <w:tcPr>
            <w:tcW w:w="1134" w:type="dxa"/>
            <w:vAlign w:val="center"/>
          </w:tcPr>
          <w:p>
            <w:pPr>
              <w:pStyle w:val="16"/>
            </w:pPr>
            <w:r>
              <w:rPr>
                <w:rFonts w:hint="eastAsia"/>
                <w:lang w:val="en-US" w:eastAsia="zh-CN"/>
              </w:rPr>
              <w:t>33.47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rPr>
                <w:rFonts w:hint="default" w:eastAsia="方正书宋_GBK"/>
                <w:lang w:val="en-US" w:eastAsia="zh-CN"/>
              </w:rPr>
            </w:pPr>
            <w:r>
              <w:rPr>
                <w:rFonts w:hint="eastAsia"/>
                <w:lang w:val="en-US" w:eastAsia="zh-CN"/>
              </w:rPr>
              <w:t>2101101</w:t>
            </w:r>
          </w:p>
        </w:tc>
        <w:tc>
          <w:tcPr>
            <w:tcW w:w="1559" w:type="dxa"/>
            <w:vAlign w:val="center"/>
          </w:tcPr>
          <w:p>
            <w:pPr>
              <w:pStyle w:val="17"/>
              <w:rPr>
                <w:rFonts w:hint="eastAsia" w:eastAsia="方正书宋_GBK"/>
                <w:lang w:eastAsia="zh-CN"/>
              </w:rPr>
            </w:pPr>
            <w:r>
              <w:t>行政单位</w:t>
            </w:r>
            <w:r>
              <w:rPr>
                <w:rFonts w:hint="eastAsia"/>
                <w:lang w:val="en-US" w:eastAsia="zh-CN"/>
              </w:rPr>
              <w:t>医疗</w:t>
            </w:r>
          </w:p>
        </w:tc>
        <w:tc>
          <w:tcPr>
            <w:tcW w:w="1134" w:type="dxa"/>
            <w:vAlign w:val="center"/>
          </w:tcPr>
          <w:p>
            <w:pPr>
              <w:pStyle w:val="16"/>
              <w:rPr>
                <w:rFonts w:hint="default" w:eastAsia="方正书宋_GBK"/>
                <w:lang w:val="en-US" w:eastAsia="zh-CN"/>
              </w:rPr>
            </w:pPr>
            <w:r>
              <w:rPr>
                <w:rFonts w:hint="eastAsia"/>
                <w:lang w:val="en-US" w:eastAsia="zh-CN"/>
              </w:rPr>
              <w:t>33.47</w:t>
            </w:r>
          </w:p>
        </w:tc>
        <w:tc>
          <w:tcPr>
            <w:tcW w:w="1134" w:type="dxa"/>
            <w:vAlign w:val="center"/>
          </w:tcPr>
          <w:p>
            <w:pPr>
              <w:pStyle w:val="16"/>
            </w:pPr>
            <w:r>
              <w:rPr>
                <w:rFonts w:hint="eastAsia"/>
                <w:lang w:val="en-US" w:eastAsia="zh-CN"/>
              </w:rPr>
              <w:t>33.47</w:t>
            </w:r>
          </w:p>
        </w:tc>
        <w:tc>
          <w:tcPr>
            <w:tcW w:w="1134" w:type="dxa"/>
            <w:vAlign w:val="center"/>
          </w:tcPr>
          <w:p>
            <w:pPr>
              <w:pStyle w:val="16"/>
            </w:pPr>
            <w:r>
              <w:rPr>
                <w:rFonts w:hint="eastAsia"/>
                <w:lang w:val="en-US" w:eastAsia="zh-CN"/>
              </w:rPr>
              <w:t>33.47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rPr>
                <w:rFonts w:hint="default" w:eastAsia="方正书宋_GBK"/>
                <w:lang w:val="en-US" w:eastAsia="zh-CN"/>
              </w:rPr>
            </w:pPr>
            <w:r>
              <w:rPr>
                <w:rFonts w:hint="eastAsia"/>
                <w:lang w:val="en-US" w:eastAsia="zh-CN"/>
              </w:rPr>
              <w:t>221</w:t>
            </w:r>
          </w:p>
        </w:tc>
        <w:tc>
          <w:tcPr>
            <w:tcW w:w="1559" w:type="dxa"/>
            <w:vAlign w:val="center"/>
          </w:tcPr>
          <w:p>
            <w:pPr>
              <w:pStyle w:val="17"/>
              <w:rPr>
                <w:rFonts w:hint="default" w:eastAsia="方正书宋_GBK"/>
                <w:lang w:val="en-US" w:eastAsia="zh-CN"/>
              </w:rPr>
            </w:pPr>
            <w:r>
              <w:rPr>
                <w:rFonts w:hint="eastAsia"/>
                <w:lang w:val="en-US" w:eastAsia="zh-CN"/>
              </w:rPr>
              <w:t>住房保障支出</w:t>
            </w:r>
          </w:p>
        </w:tc>
        <w:tc>
          <w:tcPr>
            <w:tcW w:w="1134" w:type="dxa"/>
            <w:vAlign w:val="center"/>
          </w:tcPr>
          <w:p>
            <w:pPr>
              <w:pStyle w:val="16"/>
              <w:rPr>
                <w:rFonts w:hint="default" w:eastAsia="方正书宋_GBK"/>
                <w:lang w:val="en-US" w:eastAsia="zh-CN"/>
              </w:rPr>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rPr>
                <w:rFonts w:hint="default" w:eastAsia="方正书宋_GBK"/>
                <w:lang w:val="en-US" w:eastAsia="zh-CN"/>
              </w:rPr>
            </w:pPr>
            <w:r>
              <w:rPr>
                <w:rFonts w:hint="eastAsia"/>
                <w:lang w:val="en-US" w:eastAsia="zh-CN"/>
              </w:rPr>
              <w:t>22102</w:t>
            </w:r>
          </w:p>
        </w:tc>
        <w:tc>
          <w:tcPr>
            <w:tcW w:w="1559" w:type="dxa"/>
            <w:vAlign w:val="center"/>
          </w:tcPr>
          <w:p>
            <w:pPr>
              <w:pStyle w:val="17"/>
              <w:rPr>
                <w:rFonts w:hint="default" w:eastAsia="方正书宋_GBK"/>
                <w:lang w:val="en-US" w:eastAsia="zh-CN"/>
              </w:rPr>
            </w:pPr>
            <w:r>
              <w:rPr>
                <w:rFonts w:hint="eastAsia"/>
                <w:lang w:val="en-US" w:eastAsia="zh-CN"/>
              </w:rPr>
              <w:t>住房改革支出</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rPr>
                <w:rFonts w:hint="default" w:eastAsia="方正书宋_GBK"/>
                <w:lang w:val="en-US" w:eastAsia="zh-CN"/>
              </w:rPr>
            </w:pPr>
            <w:r>
              <w:rPr>
                <w:rFonts w:hint="eastAsia"/>
                <w:lang w:val="en-US" w:eastAsia="zh-CN"/>
              </w:rPr>
              <w:t>2210201</w:t>
            </w:r>
          </w:p>
        </w:tc>
        <w:tc>
          <w:tcPr>
            <w:tcW w:w="1559" w:type="dxa"/>
            <w:vAlign w:val="center"/>
          </w:tcPr>
          <w:p>
            <w:pPr>
              <w:pStyle w:val="17"/>
              <w:rPr>
                <w:rFonts w:hint="eastAsia" w:eastAsia="方正书宋_GBK"/>
                <w:lang w:eastAsia="zh-CN"/>
              </w:rPr>
            </w:pPr>
            <w:r>
              <w:rPr>
                <w:rFonts w:hint="eastAsia"/>
                <w:lang w:val="en-US" w:eastAsia="zh-CN"/>
              </w:rPr>
              <w:t>住房公积金</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jc w:val="center"/>
        <w:outlineLvl w:val="9"/>
        <w:rPr>
          <w:rFonts w:ascii="方正小标宋_GBK" w:hAnsi="方正小标宋_GBK" w:eastAsia="方正小标宋_GBK" w:cs="方正小标宋_GBK"/>
          <w:color w:val="000000"/>
          <w:sz w:val="36"/>
        </w:rPr>
      </w:pPr>
      <w:bookmarkStart w:id="2" w:name="_Toc_2_2_0000000003"/>
    </w:p>
    <w:p>
      <w:pPr>
        <w:jc w:val="center"/>
        <w:outlineLvl w:val="1"/>
      </w:pPr>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161涞水县人民法院</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rPr>
                <w:rFonts w:hint="eastAsia"/>
                <w:lang w:val="en-US" w:eastAsia="zh-CN"/>
              </w:rPr>
              <w:t>1842.11</w:t>
            </w:r>
          </w:p>
        </w:tc>
        <w:tc>
          <w:tcPr>
            <w:tcW w:w="1361" w:type="dxa"/>
            <w:vAlign w:val="center"/>
          </w:tcPr>
          <w:p>
            <w:pPr>
              <w:pStyle w:val="20"/>
              <w:rPr>
                <w:rFonts w:hint="default"/>
                <w:lang w:val="en-US"/>
              </w:rPr>
            </w:pPr>
            <w:r>
              <w:rPr>
                <w:rFonts w:hint="eastAsia"/>
                <w:lang w:val="en-US" w:eastAsia="zh-CN"/>
              </w:rPr>
              <w:t>1218.11</w:t>
            </w:r>
          </w:p>
        </w:tc>
        <w:tc>
          <w:tcPr>
            <w:tcW w:w="1361" w:type="dxa"/>
            <w:vAlign w:val="center"/>
          </w:tcPr>
          <w:p>
            <w:pPr>
              <w:pStyle w:val="20"/>
            </w:pPr>
            <w:r>
              <w:rPr>
                <w:rFonts w:hint="eastAsia"/>
                <w:lang w:val="en-US" w:eastAsia="zh-CN"/>
              </w:rPr>
              <w:t>624.00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rPr>
                <w:rFonts w:hint="eastAsia" w:eastAsia="方正书宋_GBK"/>
                <w:lang w:eastAsia="zh-CN"/>
              </w:rPr>
            </w:pPr>
            <w:r>
              <w:t>20</w:t>
            </w:r>
            <w:r>
              <w:rPr>
                <w:rFonts w:hint="eastAsia"/>
                <w:lang w:val="en-US" w:eastAsia="zh-CN"/>
              </w:rPr>
              <w:t>4</w:t>
            </w:r>
          </w:p>
        </w:tc>
        <w:tc>
          <w:tcPr>
            <w:tcW w:w="4536" w:type="dxa"/>
            <w:vAlign w:val="center"/>
          </w:tcPr>
          <w:p>
            <w:pPr>
              <w:pStyle w:val="17"/>
            </w:pPr>
            <w:r>
              <w:t>公共</w:t>
            </w:r>
            <w:r>
              <w:rPr>
                <w:rFonts w:hint="eastAsia"/>
                <w:lang w:val="en-US" w:eastAsia="zh-CN"/>
              </w:rPr>
              <w:t>安全</w:t>
            </w:r>
            <w:r>
              <w:t>支出</w:t>
            </w:r>
          </w:p>
        </w:tc>
        <w:tc>
          <w:tcPr>
            <w:tcW w:w="1361" w:type="dxa"/>
            <w:vAlign w:val="center"/>
          </w:tcPr>
          <w:p>
            <w:pPr>
              <w:pStyle w:val="16"/>
            </w:pPr>
            <w:r>
              <w:rPr>
                <w:rFonts w:hint="eastAsia"/>
                <w:lang w:val="en-US" w:eastAsia="zh-CN"/>
              </w:rPr>
              <w:t>1676.54</w:t>
            </w:r>
          </w:p>
        </w:tc>
        <w:tc>
          <w:tcPr>
            <w:tcW w:w="1361" w:type="dxa"/>
            <w:vAlign w:val="center"/>
          </w:tcPr>
          <w:p>
            <w:pPr>
              <w:pStyle w:val="16"/>
            </w:pPr>
            <w:r>
              <w:rPr>
                <w:rFonts w:hint="eastAsia"/>
                <w:lang w:val="en-US" w:eastAsia="zh-CN"/>
              </w:rPr>
              <w:t>1676.54</w:t>
            </w:r>
          </w:p>
        </w:tc>
        <w:tc>
          <w:tcPr>
            <w:tcW w:w="1361" w:type="dxa"/>
            <w:vAlign w:val="center"/>
          </w:tcPr>
          <w:p>
            <w:pPr>
              <w:pStyle w:val="16"/>
            </w:pPr>
            <w:r>
              <w:rPr>
                <w:rFonts w:hint="eastAsia"/>
                <w:lang w:val="en-US" w:eastAsia="zh-CN"/>
              </w:rPr>
              <w:t>624.00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rPr>
                <w:rFonts w:hint="default" w:eastAsia="方正书宋_GBK"/>
                <w:lang w:val="en-US" w:eastAsia="zh-CN"/>
              </w:rPr>
            </w:pPr>
            <w:r>
              <w:t>20</w:t>
            </w:r>
            <w:r>
              <w:rPr>
                <w:rFonts w:hint="eastAsia"/>
                <w:lang w:val="en-US" w:eastAsia="zh-CN"/>
              </w:rPr>
              <w:t>405</w:t>
            </w:r>
          </w:p>
        </w:tc>
        <w:tc>
          <w:tcPr>
            <w:tcW w:w="4536" w:type="dxa"/>
            <w:vAlign w:val="center"/>
          </w:tcPr>
          <w:p>
            <w:pPr>
              <w:pStyle w:val="17"/>
            </w:pPr>
            <w:r>
              <w:rPr>
                <w:rFonts w:hint="eastAsia"/>
                <w:lang w:val="en-US" w:eastAsia="zh-CN"/>
              </w:rPr>
              <w:t>法院</w:t>
            </w:r>
          </w:p>
        </w:tc>
        <w:tc>
          <w:tcPr>
            <w:tcW w:w="1361" w:type="dxa"/>
            <w:vAlign w:val="center"/>
          </w:tcPr>
          <w:p>
            <w:pPr>
              <w:pStyle w:val="16"/>
            </w:pPr>
            <w:r>
              <w:rPr>
                <w:rFonts w:hint="eastAsia"/>
                <w:lang w:val="en-US" w:eastAsia="zh-CN"/>
              </w:rPr>
              <w:t>1676.54</w:t>
            </w:r>
          </w:p>
        </w:tc>
        <w:tc>
          <w:tcPr>
            <w:tcW w:w="1361" w:type="dxa"/>
            <w:vAlign w:val="center"/>
          </w:tcPr>
          <w:p>
            <w:pPr>
              <w:pStyle w:val="16"/>
            </w:pPr>
            <w:r>
              <w:rPr>
                <w:rFonts w:hint="eastAsia"/>
                <w:lang w:val="en-US" w:eastAsia="zh-CN"/>
              </w:rPr>
              <w:t>1676.54</w:t>
            </w:r>
          </w:p>
        </w:tc>
        <w:tc>
          <w:tcPr>
            <w:tcW w:w="1361" w:type="dxa"/>
            <w:vAlign w:val="center"/>
          </w:tcPr>
          <w:p>
            <w:pPr>
              <w:pStyle w:val="16"/>
            </w:pPr>
            <w:r>
              <w:rPr>
                <w:rFonts w:hint="eastAsia"/>
                <w:lang w:val="en-US" w:eastAsia="zh-CN"/>
              </w:rPr>
              <w:t>624.00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rPr>
                <w:rFonts w:hint="eastAsia"/>
                <w:lang w:val="en-US" w:eastAsia="zh-CN"/>
              </w:rPr>
              <w:t>20405</w:t>
            </w:r>
            <w:r>
              <w:t>01</w:t>
            </w:r>
          </w:p>
        </w:tc>
        <w:tc>
          <w:tcPr>
            <w:tcW w:w="4536" w:type="dxa"/>
            <w:vAlign w:val="center"/>
          </w:tcPr>
          <w:p>
            <w:pPr>
              <w:pStyle w:val="17"/>
            </w:pPr>
            <w:r>
              <w:t>行政运行</w:t>
            </w:r>
          </w:p>
        </w:tc>
        <w:tc>
          <w:tcPr>
            <w:tcW w:w="1361" w:type="dxa"/>
            <w:vAlign w:val="center"/>
          </w:tcPr>
          <w:p>
            <w:pPr>
              <w:pStyle w:val="16"/>
            </w:pPr>
            <w:r>
              <w:rPr>
                <w:rFonts w:hint="eastAsia"/>
                <w:lang w:val="en-US" w:eastAsia="zh-CN"/>
              </w:rPr>
              <w:t>1052.54</w:t>
            </w:r>
          </w:p>
        </w:tc>
        <w:tc>
          <w:tcPr>
            <w:tcW w:w="1361" w:type="dxa"/>
            <w:vAlign w:val="center"/>
          </w:tcPr>
          <w:p>
            <w:pPr>
              <w:pStyle w:val="16"/>
            </w:pPr>
            <w:r>
              <w:rPr>
                <w:rFonts w:hint="eastAsia"/>
                <w:lang w:val="en-US" w:eastAsia="zh-CN"/>
              </w:rPr>
              <w:t>1052.54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rPr>
                <w:rFonts w:hint="eastAsia"/>
                <w:lang w:val="en-US" w:eastAsia="zh-CN"/>
              </w:rPr>
              <w:t>20405</w:t>
            </w:r>
            <w:r>
              <w:t>02</w:t>
            </w:r>
          </w:p>
        </w:tc>
        <w:tc>
          <w:tcPr>
            <w:tcW w:w="4536" w:type="dxa"/>
            <w:vAlign w:val="center"/>
          </w:tcPr>
          <w:p>
            <w:pPr>
              <w:pStyle w:val="17"/>
            </w:pPr>
            <w:r>
              <w:t>一般行政管理事务</w:t>
            </w:r>
          </w:p>
        </w:tc>
        <w:tc>
          <w:tcPr>
            <w:tcW w:w="1361" w:type="dxa"/>
            <w:vAlign w:val="center"/>
          </w:tcPr>
          <w:p>
            <w:pPr>
              <w:pStyle w:val="16"/>
            </w:pPr>
            <w:r>
              <w:rPr>
                <w:rFonts w:hint="eastAsia"/>
                <w:lang w:val="en-US" w:eastAsia="zh-CN"/>
              </w:rPr>
              <w:t>624.00</w:t>
            </w:r>
          </w:p>
        </w:tc>
        <w:tc>
          <w:tcPr>
            <w:tcW w:w="1361" w:type="dxa"/>
            <w:vAlign w:val="center"/>
          </w:tcPr>
          <w:p>
            <w:pPr>
              <w:pStyle w:val="16"/>
            </w:pPr>
          </w:p>
        </w:tc>
        <w:tc>
          <w:tcPr>
            <w:tcW w:w="1361" w:type="dxa"/>
            <w:vAlign w:val="center"/>
          </w:tcPr>
          <w:p>
            <w:pPr>
              <w:pStyle w:val="16"/>
            </w:pPr>
            <w:r>
              <w:rPr>
                <w:rFonts w:hint="eastAsia"/>
                <w:lang w:val="en-US" w:eastAsia="zh-CN"/>
              </w:rPr>
              <w:t>624.00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rFonts w:hint="default" w:eastAsia="方正书宋_GBK"/>
                <w:lang w:val="en-US" w:eastAsia="zh-CN"/>
              </w:rPr>
            </w:pPr>
            <w:r>
              <w:rPr>
                <w:rFonts w:hint="eastAsia"/>
                <w:lang w:val="en-US" w:eastAsia="zh-CN"/>
              </w:rPr>
              <w:t>208</w:t>
            </w:r>
          </w:p>
        </w:tc>
        <w:tc>
          <w:tcPr>
            <w:tcW w:w="4536" w:type="dxa"/>
            <w:vAlign w:val="center"/>
          </w:tcPr>
          <w:p>
            <w:pPr>
              <w:pStyle w:val="17"/>
            </w:pPr>
            <w:r>
              <w:t>社会保障和就业支出</w:t>
            </w:r>
          </w:p>
        </w:tc>
        <w:tc>
          <w:tcPr>
            <w:tcW w:w="1361" w:type="dxa"/>
            <w:vAlign w:val="center"/>
          </w:tcPr>
          <w:p>
            <w:pPr>
              <w:pStyle w:val="16"/>
            </w:pPr>
            <w:r>
              <w:rPr>
                <w:rFonts w:hint="eastAsia"/>
                <w:lang w:val="en-US" w:eastAsia="zh-CN"/>
              </w:rPr>
              <w:t>79.58</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79.58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rFonts w:hint="default" w:eastAsia="方正书宋_GBK"/>
                <w:lang w:val="en-US" w:eastAsia="zh-CN"/>
              </w:rPr>
            </w:pPr>
            <w:r>
              <w:rPr>
                <w:rFonts w:hint="eastAsia"/>
                <w:lang w:val="en-US" w:eastAsia="zh-CN"/>
              </w:rPr>
              <w:t>20805</w:t>
            </w:r>
          </w:p>
        </w:tc>
        <w:tc>
          <w:tcPr>
            <w:tcW w:w="4536" w:type="dxa"/>
            <w:vAlign w:val="center"/>
          </w:tcPr>
          <w:p>
            <w:pPr>
              <w:pStyle w:val="17"/>
            </w:pPr>
            <w:r>
              <w:t>行政事业单位养老支出</w:t>
            </w:r>
          </w:p>
        </w:tc>
        <w:tc>
          <w:tcPr>
            <w:tcW w:w="1361" w:type="dxa"/>
            <w:vAlign w:val="center"/>
          </w:tcPr>
          <w:p>
            <w:pPr>
              <w:pStyle w:val="16"/>
            </w:pPr>
            <w:r>
              <w:rPr>
                <w:rFonts w:hint="eastAsia"/>
                <w:lang w:val="en-US" w:eastAsia="zh-CN"/>
              </w:rPr>
              <w:t>79.58</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79.58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rPr>
                <w:rFonts w:hint="default" w:eastAsia="方正书宋_GBK"/>
                <w:lang w:val="en-US" w:eastAsia="zh-CN"/>
              </w:rPr>
            </w:pPr>
            <w:r>
              <w:rPr>
                <w:rFonts w:hint="eastAsia"/>
                <w:lang w:val="en-US" w:eastAsia="zh-CN"/>
              </w:rPr>
              <w:t>2080505</w:t>
            </w:r>
          </w:p>
        </w:tc>
        <w:tc>
          <w:tcPr>
            <w:tcW w:w="4536" w:type="dxa"/>
            <w:vAlign w:val="center"/>
          </w:tcPr>
          <w:p>
            <w:pPr>
              <w:pStyle w:val="17"/>
            </w:pPr>
            <w:r>
              <w:t>机关事业单位基本养老保险缴费支出</w:t>
            </w:r>
          </w:p>
        </w:tc>
        <w:tc>
          <w:tcPr>
            <w:tcW w:w="1361" w:type="dxa"/>
            <w:vAlign w:val="center"/>
          </w:tcPr>
          <w:p>
            <w:pPr>
              <w:pStyle w:val="16"/>
            </w:pPr>
            <w:r>
              <w:rPr>
                <w:rFonts w:hint="eastAsia"/>
                <w:lang w:val="en-US" w:eastAsia="zh-CN"/>
              </w:rPr>
              <w:t>79.58</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79.58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rPr>
                <w:rFonts w:hint="default" w:eastAsia="方正书宋_GBK"/>
                <w:lang w:val="en-US" w:eastAsia="zh-CN"/>
              </w:rPr>
            </w:pPr>
            <w:r>
              <w:rPr>
                <w:rFonts w:hint="eastAsia"/>
                <w:lang w:val="en-US" w:eastAsia="zh-CN"/>
              </w:rPr>
              <w:t>210</w:t>
            </w:r>
          </w:p>
        </w:tc>
        <w:tc>
          <w:tcPr>
            <w:tcW w:w="4536" w:type="dxa"/>
            <w:vAlign w:val="center"/>
          </w:tcPr>
          <w:p>
            <w:pPr>
              <w:pStyle w:val="17"/>
            </w:pPr>
            <w:r>
              <w:rPr>
                <w:rFonts w:hint="eastAsia"/>
                <w:lang w:val="en-US" w:eastAsia="zh-CN"/>
              </w:rPr>
              <w:t>卫生健康支出</w:t>
            </w:r>
          </w:p>
        </w:tc>
        <w:tc>
          <w:tcPr>
            <w:tcW w:w="1361" w:type="dxa"/>
            <w:vAlign w:val="center"/>
          </w:tcPr>
          <w:p>
            <w:pPr>
              <w:pStyle w:val="16"/>
            </w:pPr>
            <w:r>
              <w:rPr>
                <w:rFonts w:hint="eastAsia"/>
                <w:lang w:eastAsia="zh-CN"/>
              </w:rPr>
              <w:t>3</w:t>
            </w:r>
            <w:r>
              <w:rPr>
                <w:rFonts w:hint="eastAsia"/>
                <w:lang w:val="en-US" w:eastAsia="zh-CN"/>
              </w:rPr>
              <w:t>3.47</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eastAsia="zh-CN"/>
              </w:rPr>
              <w:t>3</w:t>
            </w:r>
            <w:r>
              <w:rPr>
                <w:rFonts w:hint="eastAsia"/>
                <w:lang w:val="en-US" w:eastAsia="zh-CN"/>
              </w:rPr>
              <w:t>3.47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rPr>
                <w:rFonts w:hint="default" w:eastAsia="方正书宋_GBK"/>
                <w:lang w:val="en-US" w:eastAsia="zh-CN"/>
              </w:rPr>
            </w:pPr>
            <w:r>
              <w:rPr>
                <w:rFonts w:hint="eastAsia"/>
                <w:lang w:val="en-US" w:eastAsia="zh-CN"/>
              </w:rPr>
              <w:t>21011</w:t>
            </w:r>
          </w:p>
        </w:tc>
        <w:tc>
          <w:tcPr>
            <w:tcW w:w="4536" w:type="dxa"/>
            <w:vAlign w:val="center"/>
          </w:tcPr>
          <w:p>
            <w:pPr>
              <w:pStyle w:val="17"/>
            </w:pPr>
            <w:r>
              <w:rPr>
                <w:rFonts w:hint="eastAsia"/>
                <w:lang w:val="en-US" w:eastAsia="zh-CN"/>
              </w:rPr>
              <w:t>行政事业单位医疗</w:t>
            </w:r>
          </w:p>
        </w:tc>
        <w:tc>
          <w:tcPr>
            <w:tcW w:w="1361" w:type="dxa"/>
            <w:vAlign w:val="center"/>
          </w:tcPr>
          <w:p>
            <w:pPr>
              <w:pStyle w:val="16"/>
            </w:pPr>
            <w:r>
              <w:rPr>
                <w:rFonts w:hint="eastAsia"/>
                <w:lang w:val="en-US" w:eastAsia="zh-CN"/>
              </w:rPr>
              <w:t>33.47</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33.47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rPr>
                <w:rFonts w:hint="default" w:eastAsia="方正书宋_GBK"/>
                <w:lang w:val="en-US" w:eastAsia="zh-CN"/>
              </w:rPr>
            </w:pPr>
            <w:r>
              <w:rPr>
                <w:rFonts w:hint="eastAsia"/>
                <w:lang w:val="en-US" w:eastAsia="zh-CN"/>
              </w:rPr>
              <w:t>2101101</w:t>
            </w:r>
          </w:p>
        </w:tc>
        <w:tc>
          <w:tcPr>
            <w:tcW w:w="4536" w:type="dxa"/>
            <w:vAlign w:val="center"/>
          </w:tcPr>
          <w:p>
            <w:pPr>
              <w:pStyle w:val="17"/>
            </w:pPr>
            <w:r>
              <w:t>行政单位</w:t>
            </w:r>
            <w:r>
              <w:rPr>
                <w:rFonts w:hint="eastAsia"/>
                <w:lang w:val="en-US" w:eastAsia="zh-CN"/>
              </w:rPr>
              <w:t>医疗</w:t>
            </w:r>
          </w:p>
        </w:tc>
        <w:tc>
          <w:tcPr>
            <w:tcW w:w="1361" w:type="dxa"/>
            <w:vAlign w:val="center"/>
          </w:tcPr>
          <w:p>
            <w:pPr>
              <w:pStyle w:val="16"/>
            </w:pPr>
            <w:r>
              <w:rPr>
                <w:rFonts w:hint="eastAsia"/>
                <w:lang w:val="en-US" w:eastAsia="zh-CN"/>
              </w:rPr>
              <w:t>33.47</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33.47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rPr>
                <w:rFonts w:hint="default" w:eastAsia="方正书宋_GBK"/>
                <w:lang w:val="en-US" w:eastAsia="zh-CN"/>
              </w:rPr>
            </w:pPr>
            <w:r>
              <w:rPr>
                <w:rFonts w:hint="eastAsia"/>
                <w:lang w:val="en-US" w:eastAsia="zh-CN"/>
              </w:rPr>
              <w:t>221</w:t>
            </w:r>
          </w:p>
        </w:tc>
        <w:tc>
          <w:tcPr>
            <w:tcW w:w="4536" w:type="dxa"/>
            <w:vAlign w:val="center"/>
          </w:tcPr>
          <w:p>
            <w:pPr>
              <w:pStyle w:val="17"/>
            </w:pPr>
            <w:r>
              <w:rPr>
                <w:rFonts w:hint="eastAsia"/>
                <w:lang w:val="en-US" w:eastAsia="zh-CN"/>
              </w:rPr>
              <w:t>住房保障支出</w:t>
            </w:r>
          </w:p>
        </w:tc>
        <w:tc>
          <w:tcPr>
            <w:tcW w:w="1361" w:type="dxa"/>
            <w:vAlign w:val="center"/>
          </w:tcPr>
          <w:p>
            <w:pPr>
              <w:pStyle w:val="16"/>
            </w:pPr>
            <w:r>
              <w:rPr>
                <w:rFonts w:hint="eastAsia"/>
                <w:lang w:val="en-US" w:eastAsia="zh-CN"/>
              </w:rPr>
              <w:t>52.52</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52.52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rPr>
                <w:rFonts w:hint="default" w:eastAsia="方正书宋_GBK"/>
                <w:lang w:val="en-US" w:eastAsia="zh-CN"/>
              </w:rPr>
            </w:pPr>
            <w:r>
              <w:rPr>
                <w:rFonts w:hint="eastAsia"/>
                <w:lang w:val="en-US" w:eastAsia="zh-CN"/>
              </w:rPr>
              <w:t>22102</w:t>
            </w:r>
          </w:p>
        </w:tc>
        <w:tc>
          <w:tcPr>
            <w:tcW w:w="4536" w:type="dxa"/>
            <w:vAlign w:val="center"/>
          </w:tcPr>
          <w:p>
            <w:pPr>
              <w:pStyle w:val="17"/>
            </w:pPr>
            <w:r>
              <w:rPr>
                <w:rFonts w:hint="eastAsia"/>
                <w:lang w:val="en-US" w:eastAsia="zh-CN"/>
              </w:rPr>
              <w:t>住房改革支出</w:t>
            </w:r>
          </w:p>
        </w:tc>
        <w:tc>
          <w:tcPr>
            <w:tcW w:w="1361" w:type="dxa"/>
            <w:vAlign w:val="center"/>
          </w:tcPr>
          <w:p>
            <w:pPr>
              <w:pStyle w:val="16"/>
            </w:pPr>
            <w:r>
              <w:rPr>
                <w:rFonts w:hint="eastAsia"/>
                <w:lang w:val="en-US" w:eastAsia="zh-CN"/>
              </w:rPr>
              <w:t>52.52</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52.52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rPr>
                <w:rFonts w:hint="default" w:eastAsia="方正书宋_GBK"/>
                <w:lang w:val="en-US" w:eastAsia="zh-CN"/>
              </w:rPr>
            </w:pPr>
            <w:r>
              <w:rPr>
                <w:rFonts w:hint="eastAsia"/>
                <w:lang w:val="en-US" w:eastAsia="zh-CN"/>
              </w:rPr>
              <w:t>2210201</w:t>
            </w:r>
          </w:p>
        </w:tc>
        <w:tc>
          <w:tcPr>
            <w:tcW w:w="4536" w:type="dxa"/>
            <w:vAlign w:val="center"/>
          </w:tcPr>
          <w:p>
            <w:pPr>
              <w:pStyle w:val="17"/>
            </w:pPr>
            <w:r>
              <w:rPr>
                <w:rFonts w:hint="eastAsia"/>
                <w:lang w:val="en-US" w:eastAsia="zh-CN"/>
              </w:rPr>
              <w:t>住房公积金</w:t>
            </w:r>
          </w:p>
        </w:tc>
        <w:tc>
          <w:tcPr>
            <w:tcW w:w="1361" w:type="dxa"/>
            <w:vAlign w:val="center"/>
          </w:tcPr>
          <w:p>
            <w:pPr>
              <w:pStyle w:val="16"/>
            </w:pPr>
            <w:r>
              <w:rPr>
                <w:rFonts w:hint="eastAsia"/>
                <w:lang w:val="en-US" w:eastAsia="zh-CN"/>
              </w:rPr>
              <w:t>52.52</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52.52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161涞水县人民法院</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1842.11</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rPr>
                <w:rFonts w:hint="default" w:eastAsia="方正书宋_GBK"/>
                <w:lang w:val="en-US" w:eastAsia="zh-CN"/>
              </w:rPr>
            </w:pPr>
            <w:r>
              <w:rPr>
                <w:rFonts w:hint="eastAsia"/>
                <w:lang w:val="en-US" w:eastAsia="zh-CN"/>
              </w:rPr>
              <w:t>1676.54</w:t>
            </w:r>
          </w:p>
        </w:tc>
        <w:tc>
          <w:tcPr>
            <w:tcW w:w="1474" w:type="dxa"/>
            <w:vAlign w:val="center"/>
          </w:tcPr>
          <w:p>
            <w:pPr>
              <w:pStyle w:val="16"/>
              <w:rPr>
                <w:rFonts w:hint="default" w:eastAsia="方正书宋_GBK"/>
                <w:lang w:val="en-US" w:eastAsia="zh-CN"/>
              </w:rPr>
            </w:pPr>
            <w:r>
              <w:rPr>
                <w:rFonts w:hint="eastAsia"/>
                <w:lang w:val="en-US" w:eastAsia="zh-CN"/>
              </w:rPr>
              <w:t>1676.54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79.58</w:t>
            </w:r>
          </w:p>
        </w:tc>
        <w:tc>
          <w:tcPr>
            <w:tcW w:w="1474" w:type="dxa"/>
            <w:vAlign w:val="center"/>
          </w:tcPr>
          <w:p>
            <w:pPr>
              <w:pStyle w:val="16"/>
              <w:rPr>
                <w:rFonts w:hint="default" w:eastAsia="方正书宋_GBK"/>
                <w:lang w:val="en-US" w:eastAsia="zh-CN"/>
              </w:rPr>
            </w:pPr>
            <w:r>
              <w:rPr>
                <w:rFonts w:hint="eastAsia"/>
                <w:lang w:val="en-US" w:eastAsia="zh-CN"/>
              </w:rPr>
              <w:t>79.58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33.47</w:t>
            </w:r>
          </w:p>
        </w:tc>
        <w:tc>
          <w:tcPr>
            <w:tcW w:w="1474" w:type="dxa"/>
            <w:vAlign w:val="center"/>
          </w:tcPr>
          <w:p>
            <w:pPr>
              <w:pStyle w:val="16"/>
              <w:rPr>
                <w:rFonts w:hint="default" w:eastAsia="方正书宋_GBK"/>
                <w:lang w:val="en-US" w:eastAsia="zh-CN"/>
              </w:rPr>
            </w:pPr>
            <w:r>
              <w:rPr>
                <w:rFonts w:hint="eastAsia"/>
                <w:lang w:val="en-US" w:eastAsia="zh-CN"/>
              </w:rPr>
              <w:t>33.47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52.52</w:t>
            </w:r>
          </w:p>
        </w:tc>
        <w:tc>
          <w:tcPr>
            <w:tcW w:w="1474" w:type="dxa"/>
            <w:vAlign w:val="center"/>
          </w:tcPr>
          <w:p>
            <w:pPr>
              <w:pStyle w:val="16"/>
              <w:rPr>
                <w:rFonts w:hint="default" w:eastAsia="方正书宋_GBK"/>
                <w:lang w:val="en-US" w:eastAsia="zh-CN"/>
              </w:rPr>
            </w:pPr>
            <w:r>
              <w:rPr>
                <w:rFonts w:hint="eastAsia"/>
                <w:lang w:val="en-US" w:eastAsia="zh-CN"/>
              </w:rPr>
              <w:t>52.52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161涞水县人民法院</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rPr>
                <w:rFonts w:hint="eastAsia"/>
                <w:lang w:val="en-US" w:eastAsia="zh-CN"/>
              </w:rPr>
              <w:t>1842.11</w:t>
            </w:r>
          </w:p>
        </w:tc>
        <w:tc>
          <w:tcPr>
            <w:tcW w:w="2551" w:type="dxa"/>
            <w:vAlign w:val="center"/>
          </w:tcPr>
          <w:p>
            <w:pPr>
              <w:pStyle w:val="20"/>
              <w:rPr>
                <w:rFonts w:hint="default"/>
                <w:lang w:val="en-US"/>
              </w:rPr>
            </w:pPr>
            <w:r>
              <w:rPr>
                <w:rFonts w:hint="eastAsia"/>
                <w:lang w:val="en-US" w:eastAsia="zh-CN"/>
              </w:rPr>
              <w:t>1218.11</w:t>
            </w:r>
          </w:p>
        </w:tc>
        <w:tc>
          <w:tcPr>
            <w:tcW w:w="2551" w:type="dxa"/>
            <w:vAlign w:val="center"/>
          </w:tcPr>
          <w:p>
            <w:pPr>
              <w:pStyle w:val="20"/>
            </w:pPr>
            <w:r>
              <w:rPr>
                <w:rFonts w:hint="eastAsia"/>
                <w:lang w:val="en-US" w:eastAsia="zh-CN"/>
              </w:rPr>
              <w:t>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w:t>
            </w:r>
            <w:r>
              <w:rPr>
                <w:rFonts w:hint="eastAsia"/>
                <w:lang w:val="en-US" w:eastAsia="zh-CN"/>
              </w:rPr>
              <w:t>4</w:t>
            </w:r>
          </w:p>
        </w:tc>
        <w:tc>
          <w:tcPr>
            <w:tcW w:w="4535" w:type="dxa"/>
            <w:vAlign w:val="center"/>
          </w:tcPr>
          <w:p>
            <w:pPr>
              <w:pStyle w:val="17"/>
            </w:pPr>
            <w:r>
              <w:t>公共</w:t>
            </w:r>
            <w:r>
              <w:rPr>
                <w:rFonts w:hint="eastAsia"/>
                <w:lang w:val="en-US" w:eastAsia="zh-CN"/>
              </w:rPr>
              <w:t>安全</w:t>
            </w:r>
            <w:r>
              <w:t>支出</w:t>
            </w:r>
          </w:p>
        </w:tc>
        <w:tc>
          <w:tcPr>
            <w:tcW w:w="2551" w:type="dxa"/>
            <w:vAlign w:val="center"/>
          </w:tcPr>
          <w:p>
            <w:pPr>
              <w:pStyle w:val="16"/>
            </w:pPr>
            <w:r>
              <w:rPr>
                <w:rFonts w:hint="eastAsia"/>
                <w:lang w:val="en-US" w:eastAsia="zh-CN"/>
              </w:rPr>
              <w:t>1676.54</w:t>
            </w:r>
          </w:p>
        </w:tc>
        <w:tc>
          <w:tcPr>
            <w:tcW w:w="2551" w:type="dxa"/>
            <w:vAlign w:val="center"/>
          </w:tcPr>
          <w:p>
            <w:pPr>
              <w:pStyle w:val="16"/>
            </w:pPr>
            <w:r>
              <w:rPr>
                <w:rFonts w:hint="eastAsia"/>
                <w:lang w:val="en-US" w:eastAsia="zh-CN"/>
              </w:rPr>
              <w:t>1676.54</w:t>
            </w:r>
          </w:p>
        </w:tc>
        <w:tc>
          <w:tcPr>
            <w:tcW w:w="2551" w:type="dxa"/>
            <w:vAlign w:val="center"/>
          </w:tcPr>
          <w:p>
            <w:pPr>
              <w:pStyle w:val="16"/>
            </w:pPr>
            <w:r>
              <w:rPr>
                <w:rFonts w:hint="eastAsia"/>
                <w:lang w:val="en-US" w:eastAsia="zh-CN"/>
              </w:rPr>
              <w:t>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w:t>
            </w:r>
            <w:r>
              <w:rPr>
                <w:rFonts w:hint="eastAsia"/>
                <w:lang w:val="en-US" w:eastAsia="zh-CN"/>
              </w:rPr>
              <w:t>405</w:t>
            </w:r>
          </w:p>
        </w:tc>
        <w:tc>
          <w:tcPr>
            <w:tcW w:w="4535" w:type="dxa"/>
            <w:vAlign w:val="center"/>
          </w:tcPr>
          <w:p>
            <w:pPr>
              <w:pStyle w:val="17"/>
            </w:pPr>
            <w:r>
              <w:rPr>
                <w:rFonts w:hint="eastAsia"/>
                <w:lang w:val="en-US" w:eastAsia="zh-CN"/>
              </w:rPr>
              <w:t>法院</w:t>
            </w:r>
          </w:p>
        </w:tc>
        <w:tc>
          <w:tcPr>
            <w:tcW w:w="2551" w:type="dxa"/>
            <w:vAlign w:val="center"/>
          </w:tcPr>
          <w:p>
            <w:pPr>
              <w:pStyle w:val="16"/>
            </w:pPr>
            <w:r>
              <w:rPr>
                <w:rFonts w:hint="eastAsia"/>
                <w:lang w:val="en-US" w:eastAsia="zh-CN"/>
              </w:rPr>
              <w:t>1676.54</w:t>
            </w:r>
          </w:p>
        </w:tc>
        <w:tc>
          <w:tcPr>
            <w:tcW w:w="2551" w:type="dxa"/>
            <w:vAlign w:val="center"/>
          </w:tcPr>
          <w:p>
            <w:pPr>
              <w:pStyle w:val="16"/>
            </w:pPr>
            <w:r>
              <w:rPr>
                <w:rFonts w:hint="eastAsia"/>
                <w:lang w:val="en-US" w:eastAsia="zh-CN"/>
              </w:rPr>
              <w:t>1676.54</w:t>
            </w:r>
          </w:p>
        </w:tc>
        <w:tc>
          <w:tcPr>
            <w:tcW w:w="2551" w:type="dxa"/>
            <w:vAlign w:val="center"/>
          </w:tcPr>
          <w:p>
            <w:pPr>
              <w:pStyle w:val="16"/>
            </w:pPr>
            <w:r>
              <w:rPr>
                <w:rFonts w:hint="eastAsia"/>
                <w:lang w:val="en-US" w:eastAsia="zh-CN"/>
              </w:rPr>
              <w:t>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rPr>
                <w:rFonts w:hint="eastAsia"/>
                <w:lang w:val="en-US" w:eastAsia="zh-CN"/>
              </w:rPr>
              <w:t>20405</w:t>
            </w:r>
            <w:r>
              <w:t>01</w:t>
            </w:r>
          </w:p>
        </w:tc>
        <w:tc>
          <w:tcPr>
            <w:tcW w:w="4535" w:type="dxa"/>
            <w:vAlign w:val="center"/>
          </w:tcPr>
          <w:p>
            <w:pPr>
              <w:pStyle w:val="17"/>
            </w:pPr>
            <w:r>
              <w:t>行政运行</w:t>
            </w:r>
          </w:p>
        </w:tc>
        <w:tc>
          <w:tcPr>
            <w:tcW w:w="2551" w:type="dxa"/>
            <w:vAlign w:val="center"/>
          </w:tcPr>
          <w:p>
            <w:pPr>
              <w:pStyle w:val="16"/>
            </w:pPr>
            <w:r>
              <w:rPr>
                <w:rFonts w:hint="eastAsia"/>
                <w:lang w:val="en-US" w:eastAsia="zh-CN"/>
              </w:rPr>
              <w:t>1052.54</w:t>
            </w:r>
          </w:p>
        </w:tc>
        <w:tc>
          <w:tcPr>
            <w:tcW w:w="2551" w:type="dxa"/>
            <w:vAlign w:val="center"/>
          </w:tcPr>
          <w:p>
            <w:pPr>
              <w:pStyle w:val="16"/>
            </w:pPr>
            <w:r>
              <w:rPr>
                <w:rFonts w:hint="eastAsia"/>
                <w:lang w:val="en-US" w:eastAsia="zh-CN"/>
              </w:rPr>
              <w:t>1052.54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rPr>
                <w:rFonts w:hint="eastAsia"/>
                <w:lang w:val="en-US" w:eastAsia="zh-CN"/>
              </w:rPr>
              <w:t>20405</w:t>
            </w:r>
            <w:r>
              <w:t>02</w:t>
            </w:r>
          </w:p>
        </w:tc>
        <w:tc>
          <w:tcPr>
            <w:tcW w:w="4535" w:type="dxa"/>
            <w:vAlign w:val="center"/>
          </w:tcPr>
          <w:p>
            <w:pPr>
              <w:pStyle w:val="17"/>
            </w:pPr>
            <w:r>
              <w:t>一般行政管理事务</w:t>
            </w:r>
          </w:p>
        </w:tc>
        <w:tc>
          <w:tcPr>
            <w:tcW w:w="2551" w:type="dxa"/>
            <w:vAlign w:val="center"/>
          </w:tcPr>
          <w:p>
            <w:pPr>
              <w:pStyle w:val="16"/>
            </w:pPr>
            <w:r>
              <w:rPr>
                <w:rFonts w:hint="eastAsia"/>
                <w:lang w:val="en-US" w:eastAsia="zh-CN"/>
              </w:rPr>
              <w:t>624.00</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rPr>
                <w:rFonts w:hint="eastAsia"/>
                <w:lang w:val="en-US" w:eastAsia="zh-CN"/>
              </w:rPr>
              <w:t>208</w:t>
            </w:r>
          </w:p>
        </w:tc>
        <w:tc>
          <w:tcPr>
            <w:tcW w:w="4535" w:type="dxa"/>
            <w:vAlign w:val="center"/>
          </w:tcPr>
          <w:p>
            <w:pPr>
              <w:pStyle w:val="17"/>
            </w:pPr>
            <w:r>
              <w:t>社会保障和就业支出</w:t>
            </w:r>
          </w:p>
        </w:tc>
        <w:tc>
          <w:tcPr>
            <w:tcW w:w="2551" w:type="dxa"/>
            <w:vAlign w:val="center"/>
          </w:tcPr>
          <w:p>
            <w:pPr>
              <w:pStyle w:val="16"/>
            </w:pPr>
            <w:r>
              <w:rPr>
                <w:rFonts w:hint="eastAsia"/>
                <w:lang w:val="en-US" w:eastAsia="zh-CN"/>
              </w:rPr>
              <w:t>79.58</w:t>
            </w:r>
          </w:p>
        </w:tc>
        <w:tc>
          <w:tcPr>
            <w:tcW w:w="2551" w:type="dxa"/>
            <w:vAlign w:val="center"/>
          </w:tcPr>
          <w:p>
            <w:pPr>
              <w:pStyle w:val="16"/>
            </w:pPr>
            <w:r>
              <w:rPr>
                <w:rFonts w:hint="eastAsia"/>
                <w:lang w:val="en-US" w:eastAsia="zh-CN"/>
              </w:rPr>
              <w:t>79.58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rPr>
                <w:rFonts w:hint="eastAsia"/>
                <w:lang w:val="en-US" w:eastAsia="zh-CN"/>
              </w:rPr>
              <w:t>20805</w:t>
            </w:r>
          </w:p>
        </w:tc>
        <w:tc>
          <w:tcPr>
            <w:tcW w:w="4535" w:type="dxa"/>
            <w:vAlign w:val="center"/>
          </w:tcPr>
          <w:p>
            <w:pPr>
              <w:pStyle w:val="17"/>
            </w:pPr>
            <w:r>
              <w:t>行政事业单位养老支出</w:t>
            </w:r>
          </w:p>
        </w:tc>
        <w:tc>
          <w:tcPr>
            <w:tcW w:w="2551" w:type="dxa"/>
            <w:vAlign w:val="center"/>
          </w:tcPr>
          <w:p>
            <w:pPr>
              <w:pStyle w:val="16"/>
            </w:pPr>
            <w:r>
              <w:rPr>
                <w:rFonts w:hint="eastAsia"/>
                <w:lang w:val="en-US" w:eastAsia="zh-CN"/>
              </w:rPr>
              <w:t>79.58</w:t>
            </w:r>
          </w:p>
        </w:tc>
        <w:tc>
          <w:tcPr>
            <w:tcW w:w="2551" w:type="dxa"/>
            <w:vAlign w:val="center"/>
          </w:tcPr>
          <w:p>
            <w:pPr>
              <w:pStyle w:val="16"/>
            </w:pPr>
            <w:r>
              <w:rPr>
                <w:rFonts w:hint="eastAsia"/>
                <w:lang w:val="en-US" w:eastAsia="zh-CN"/>
              </w:rPr>
              <w:t>79.58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rPr>
                <w:rFonts w:hint="eastAsia"/>
                <w:lang w:val="en-US" w:eastAsia="zh-CN"/>
              </w:rPr>
              <w:t>2080505</w:t>
            </w:r>
          </w:p>
        </w:tc>
        <w:tc>
          <w:tcPr>
            <w:tcW w:w="4535" w:type="dxa"/>
            <w:vAlign w:val="center"/>
          </w:tcPr>
          <w:p>
            <w:pPr>
              <w:pStyle w:val="17"/>
            </w:pPr>
            <w:r>
              <w:t>机关事业单位基本养老保险缴费支出</w:t>
            </w:r>
          </w:p>
        </w:tc>
        <w:tc>
          <w:tcPr>
            <w:tcW w:w="2551" w:type="dxa"/>
            <w:vAlign w:val="center"/>
          </w:tcPr>
          <w:p>
            <w:pPr>
              <w:pStyle w:val="16"/>
            </w:pPr>
            <w:r>
              <w:rPr>
                <w:rFonts w:hint="eastAsia"/>
                <w:lang w:val="en-US" w:eastAsia="zh-CN"/>
              </w:rPr>
              <w:t>79.58</w:t>
            </w:r>
          </w:p>
        </w:tc>
        <w:tc>
          <w:tcPr>
            <w:tcW w:w="2551" w:type="dxa"/>
            <w:vAlign w:val="center"/>
          </w:tcPr>
          <w:p>
            <w:pPr>
              <w:pStyle w:val="16"/>
            </w:pPr>
            <w:r>
              <w:rPr>
                <w:rFonts w:hint="eastAsia"/>
                <w:lang w:val="en-US" w:eastAsia="zh-CN"/>
              </w:rPr>
              <w:t>79.58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rPr>
                <w:rFonts w:hint="eastAsia"/>
                <w:lang w:val="en-US" w:eastAsia="zh-CN"/>
              </w:rPr>
              <w:t>210</w:t>
            </w:r>
          </w:p>
        </w:tc>
        <w:tc>
          <w:tcPr>
            <w:tcW w:w="4535" w:type="dxa"/>
            <w:vAlign w:val="center"/>
          </w:tcPr>
          <w:p>
            <w:pPr>
              <w:pStyle w:val="17"/>
            </w:pPr>
            <w:r>
              <w:rPr>
                <w:rFonts w:hint="eastAsia"/>
                <w:lang w:val="en-US" w:eastAsia="zh-CN"/>
              </w:rPr>
              <w:t>卫生健康支出</w:t>
            </w:r>
          </w:p>
        </w:tc>
        <w:tc>
          <w:tcPr>
            <w:tcW w:w="2551" w:type="dxa"/>
            <w:vAlign w:val="center"/>
          </w:tcPr>
          <w:p>
            <w:pPr>
              <w:pStyle w:val="16"/>
            </w:pPr>
            <w:r>
              <w:rPr>
                <w:rFonts w:hint="eastAsia"/>
                <w:lang w:eastAsia="zh-CN"/>
              </w:rPr>
              <w:t>3</w:t>
            </w:r>
            <w:r>
              <w:rPr>
                <w:rFonts w:hint="eastAsia"/>
                <w:lang w:val="en-US" w:eastAsia="zh-CN"/>
              </w:rPr>
              <w:t>3.47</w:t>
            </w:r>
          </w:p>
        </w:tc>
        <w:tc>
          <w:tcPr>
            <w:tcW w:w="2551" w:type="dxa"/>
            <w:vAlign w:val="center"/>
          </w:tcPr>
          <w:p>
            <w:pPr>
              <w:pStyle w:val="16"/>
            </w:pPr>
            <w:r>
              <w:rPr>
                <w:rFonts w:hint="eastAsia"/>
                <w:lang w:eastAsia="zh-CN"/>
              </w:rPr>
              <w:t>3</w:t>
            </w:r>
            <w:r>
              <w:rPr>
                <w:rFonts w:hint="eastAsia"/>
                <w:lang w:val="en-US" w:eastAsia="zh-CN"/>
              </w:rPr>
              <w:t>3.47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rPr>
                <w:rFonts w:hint="eastAsia"/>
                <w:lang w:val="en-US" w:eastAsia="zh-CN"/>
              </w:rPr>
              <w:t>21011</w:t>
            </w:r>
          </w:p>
        </w:tc>
        <w:tc>
          <w:tcPr>
            <w:tcW w:w="4535" w:type="dxa"/>
            <w:vAlign w:val="center"/>
          </w:tcPr>
          <w:p>
            <w:pPr>
              <w:pStyle w:val="17"/>
            </w:pPr>
            <w:r>
              <w:rPr>
                <w:rFonts w:hint="eastAsia"/>
                <w:lang w:val="en-US" w:eastAsia="zh-CN"/>
              </w:rPr>
              <w:t>行政事业单位医疗</w:t>
            </w:r>
          </w:p>
        </w:tc>
        <w:tc>
          <w:tcPr>
            <w:tcW w:w="2551" w:type="dxa"/>
            <w:vAlign w:val="center"/>
          </w:tcPr>
          <w:p>
            <w:pPr>
              <w:pStyle w:val="16"/>
            </w:pPr>
            <w:r>
              <w:rPr>
                <w:rFonts w:hint="eastAsia"/>
                <w:lang w:val="en-US" w:eastAsia="zh-CN"/>
              </w:rPr>
              <w:t>33.47</w:t>
            </w:r>
          </w:p>
        </w:tc>
        <w:tc>
          <w:tcPr>
            <w:tcW w:w="2551" w:type="dxa"/>
            <w:vAlign w:val="center"/>
          </w:tcPr>
          <w:p>
            <w:pPr>
              <w:pStyle w:val="16"/>
            </w:pPr>
            <w:r>
              <w:rPr>
                <w:rFonts w:hint="eastAsia"/>
                <w:lang w:val="en-US" w:eastAsia="zh-CN"/>
              </w:rPr>
              <w:t>33.47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rPr>
                <w:rFonts w:hint="eastAsia"/>
                <w:lang w:val="en-US" w:eastAsia="zh-CN"/>
              </w:rPr>
              <w:t>2101101</w:t>
            </w:r>
          </w:p>
        </w:tc>
        <w:tc>
          <w:tcPr>
            <w:tcW w:w="4535" w:type="dxa"/>
            <w:vAlign w:val="center"/>
          </w:tcPr>
          <w:p>
            <w:pPr>
              <w:pStyle w:val="17"/>
            </w:pPr>
            <w:r>
              <w:t>行政单位</w:t>
            </w:r>
            <w:r>
              <w:rPr>
                <w:rFonts w:hint="eastAsia"/>
                <w:lang w:val="en-US" w:eastAsia="zh-CN"/>
              </w:rPr>
              <w:t>医疗</w:t>
            </w:r>
          </w:p>
        </w:tc>
        <w:tc>
          <w:tcPr>
            <w:tcW w:w="2551" w:type="dxa"/>
            <w:vAlign w:val="center"/>
          </w:tcPr>
          <w:p>
            <w:pPr>
              <w:pStyle w:val="16"/>
            </w:pPr>
            <w:r>
              <w:rPr>
                <w:rFonts w:hint="eastAsia"/>
                <w:lang w:val="en-US" w:eastAsia="zh-CN"/>
              </w:rPr>
              <w:t>33.47</w:t>
            </w:r>
          </w:p>
        </w:tc>
        <w:tc>
          <w:tcPr>
            <w:tcW w:w="2551" w:type="dxa"/>
            <w:vAlign w:val="center"/>
          </w:tcPr>
          <w:p>
            <w:pPr>
              <w:pStyle w:val="16"/>
            </w:pPr>
            <w:r>
              <w:rPr>
                <w:rFonts w:hint="eastAsia"/>
                <w:lang w:val="en-US" w:eastAsia="zh-CN"/>
              </w:rPr>
              <w:t>33.47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rPr>
                <w:rFonts w:hint="eastAsia"/>
                <w:lang w:val="en-US" w:eastAsia="zh-CN"/>
              </w:rPr>
              <w:t>221</w:t>
            </w:r>
          </w:p>
        </w:tc>
        <w:tc>
          <w:tcPr>
            <w:tcW w:w="4535" w:type="dxa"/>
            <w:vAlign w:val="center"/>
          </w:tcPr>
          <w:p>
            <w:pPr>
              <w:pStyle w:val="17"/>
            </w:pPr>
            <w:r>
              <w:rPr>
                <w:rFonts w:hint="eastAsia"/>
                <w:lang w:val="en-US" w:eastAsia="zh-CN"/>
              </w:rPr>
              <w:t>住房保障支出</w:t>
            </w:r>
          </w:p>
        </w:tc>
        <w:tc>
          <w:tcPr>
            <w:tcW w:w="2551" w:type="dxa"/>
            <w:vAlign w:val="center"/>
          </w:tcPr>
          <w:p>
            <w:pPr>
              <w:pStyle w:val="16"/>
            </w:pPr>
            <w:r>
              <w:rPr>
                <w:rFonts w:hint="eastAsia"/>
                <w:lang w:val="en-US" w:eastAsia="zh-CN"/>
              </w:rPr>
              <w:t>52.52</w:t>
            </w:r>
          </w:p>
        </w:tc>
        <w:tc>
          <w:tcPr>
            <w:tcW w:w="2551" w:type="dxa"/>
            <w:vAlign w:val="center"/>
          </w:tcPr>
          <w:p>
            <w:pPr>
              <w:pStyle w:val="16"/>
            </w:pPr>
            <w:r>
              <w:rPr>
                <w:rFonts w:hint="eastAsia"/>
                <w:lang w:val="en-US" w:eastAsia="zh-CN"/>
              </w:rPr>
              <w:t>52.52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rPr>
                <w:rFonts w:hint="eastAsia"/>
                <w:lang w:val="en-US" w:eastAsia="zh-CN"/>
              </w:rPr>
              <w:t>22102</w:t>
            </w:r>
          </w:p>
        </w:tc>
        <w:tc>
          <w:tcPr>
            <w:tcW w:w="4535" w:type="dxa"/>
            <w:vAlign w:val="center"/>
          </w:tcPr>
          <w:p>
            <w:pPr>
              <w:pStyle w:val="17"/>
            </w:pPr>
            <w:r>
              <w:rPr>
                <w:rFonts w:hint="eastAsia"/>
                <w:lang w:val="en-US" w:eastAsia="zh-CN"/>
              </w:rPr>
              <w:t>住房改革支出</w:t>
            </w:r>
          </w:p>
        </w:tc>
        <w:tc>
          <w:tcPr>
            <w:tcW w:w="2551" w:type="dxa"/>
            <w:vAlign w:val="center"/>
          </w:tcPr>
          <w:p>
            <w:pPr>
              <w:pStyle w:val="16"/>
            </w:pPr>
            <w:r>
              <w:rPr>
                <w:rFonts w:hint="eastAsia"/>
                <w:lang w:val="en-US" w:eastAsia="zh-CN"/>
              </w:rPr>
              <w:t>52.52</w:t>
            </w:r>
          </w:p>
        </w:tc>
        <w:tc>
          <w:tcPr>
            <w:tcW w:w="2551" w:type="dxa"/>
            <w:vAlign w:val="center"/>
          </w:tcPr>
          <w:p>
            <w:pPr>
              <w:pStyle w:val="16"/>
            </w:pPr>
            <w:r>
              <w:rPr>
                <w:rFonts w:hint="eastAsia"/>
                <w:lang w:val="en-US" w:eastAsia="zh-CN"/>
              </w:rPr>
              <w:t>52.52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rPr>
                <w:rFonts w:hint="eastAsia"/>
                <w:lang w:val="en-US" w:eastAsia="zh-CN"/>
              </w:rPr>
              <w:t>2210201</w:t>
            </w:r>
          </w:p>
        </w:tc>
        <w:tc>
          <w:tcPr>
            <w:tcW w:w="4535" w:type="dxa"/>
            <w:vAlign w:val="center"/>
          </w:tcPr>
          <w:p>
            <w:pPr>
              <w:pStyle w:val="17"/>
            </w:pPr>
            <w:r>
              <w:rPr>
                <w:rFonts w:hint="eastAsia"/>
                <w:lang w:val="en-US" w:eastAsia="zh-CN"/>
              </w:rPr>
              <w:t>住房公积金</w:t>
            </w:r>
          </w:p>
        </w:tc>
        <w:tc>
          <w:tcPr>
            <w:tcW w:w="2551" w:type="dxa"/>
            <w:vAlign w:val="center"/>
          </w:tcPr>
          <w:p>
            <w:pPr>
              <w:pStyle w:val="16"/>
            </w:pPr>
            <w:r>
              <w:rPr>
                <w:rFonts w:hint="eastAsia"/>
                <w:lang w:val="en-US" w:eastAsia="zh-CN"/>
              </w:rPr>
              <w:t>52.52</w:t>
            </w:r>
          </w:p>
        </w:tc>
        <w:tc>
          <w:tcPr>
            <w:tcW w:w="2551" w:type="dxa"/>
            <w:vAlign w:val="center"/>
          </w:tcPr>
          <w:p>
            <w:pPr>
              <w:pStyle w:val="16"/>
            </w:pPr>
            <w:r>
              <w:rPr>
                <w:rFonts w:hint="eastAsia"/>
                <w:lang w:val="en-US" w:eastAsia="zh-CN"/>
              </w:rPr>
              <w:t>52.52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161涞水县人民法院</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1218.11</w:t>
            </w:r>
          </w:p>
        </w:tc>
        <w:tc>
          <w:tcPr>
            <w:tcW w:w="2551" w:type="dxa"/>
            <w:vAlign w:val="center"/>
          </w:tcPr>
          <w:p>
            <w:pPr>
              <w:pStyle w:val="20"/>
              <w:rPr>
                <w:rFonts w:hint="default" w:eastAsia="方正书宋_GBK"/>
                <w:lang w:val="en-US" w:eastAsia="zh-CN"/>
              </w:rPr>
            </w:pPr>
            <w:r>
              <w:rPr>
                <w:rFonts w:hint="eastAsia"/>
                <w:lang w:val="en-US" w:eastAsia="zh-CN"/>
              </w:rPr>
              <w:t>939.07</w:t>
            </w:r>
          </w:p>
        </w:tc>
        <w:tc>
          <w:tcPr>
            <w:tcW w:w="2552" w:type="dxa"/>
            <w:vAlign w:val="center"/>
          </w:tcPr>
          <w:p>
            <w:pPr>
              <w:pStyle w:val="20"/>
              <w:rPr>
                <w:rFonts w:hint="default" w:eastAsia="方正书宋_GBK"/>
                <w:lang w:val="en-US" w:eastAsia="zh-CN"/>
              </w:rPr>
            </w:pPr>
            <w:r>
              <w:rPr>
                <w:rFonts w:hint="eastAsia"/>
                <w:lang w:val="en-US" w:eastAsia="zh-CN"/>
              </w:rPr>
              <w:t>279.04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eastAsia="方正书宋_GBK"/>
                <w:lang w:val="en-US" w:eastAsia="zh-CN"/>
              </w:rPr>
            </w:pPr>
            <w:r>
              <w:rPr>
                <w:rFonts w:hint="eastAsia"/>
                <w:lang w:val="en-US" w:eastAsia="zh-CN"/>
              </w:rPr>
              <w:t>934.71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934.71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eastAsia="方正书宋_GBK"/>
                <w:lang w:val="en-US" w:eastAsia="zh-CN"/>
              </w:rPr>
            </w:pPr>
            <w:r>
              <w:rPr>
                <w:rFonts w:hint="eastAsia"/>
                <w:lang w:val="en-US" w:eastAsia="zh-CN"/>
              </w:rPr>
              <w:t>332.04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332.04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eastAsia="方正书宋_GBK"/>
                <w:lang w:val="en-US" w:eastAsia="zh-CN"/>
              </w:rPr>
            </w:pPr>
            <w:r>
              <w:rPr>
                <w:rFonts w:hint="eastAsia"/>
                <w:lang w:val="en-US" w:eastAsia="zh-CN"/>
              </w:rPr>
              <w:t>403.83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403.83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rPr>
                <w:rFonts w:hint="default" w:eastAsia="方正书宋_GBK"/>
                <w:lang w:val="en-US" w:eastAsia="zh-CN"/>
              </w:rPr>
            </w:pPr>
            <w:r>
              <w:rPr>
                <w:rFonts w:hint="eastAsia"/>
                <w:lang w:val="en-US" w:eastAsia="zh-CN"/>
              </w:rPr>
              <w:t>27.10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27.10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rFonts w:hint="default" w:eastAsia="方正书宋_GBK"/>
                <w:lang w:val="en-US" w:eastAsia="zh-CN"/>
              </w:rPr>
            </w:pPr>
            <w:r>
              <w:rPr>
                <w:rFonts w:hint="eastAsia"/>
                <w:lang w:val="en-US" w:eastAsia="zh-CN"/>
              </w:rPr>
              <w:t>3.64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79.58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79.58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rFonts w:hint="default" w:eastAsia="方正书宋_GBK"/>
                <w:lang w:val="en-US" w:eastAsia="zh-CN"/>
              </w:rPr>
            </w:pPr>
            <w:r>
              <w:rPr>
                <w:rFonts w:hint="eastAsia"/>
                <w:lang w:val="en-US" w:eastAsia="zh-CN"/>
              </w:rPr>
              <w:t>33.47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33.47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rPr>
                <w:rFonts w:hint="eastAsia" w:eastAsia="方正书宋_GBK"/>
                <w:lang w:eastAsia="zh-CN"/>
              </w:rPr>
            </w:pPr>
            <w:r>
              <w:t>3011</w:t>
            </w:r>
            <w:r>
              <w:rPr>
                <w:rFonts w:hint="eastAsia"/>
                <w:lang w:val="en-US" w:eastAsia="zh-CN"/>
              </w:rPr>
              <w:t>2</w:t>
            </w:r>
          </w:p>
        </w:tc>
        <w:tc>
          <w:tcPr>
            <w:tcW w:w="4535" w:type="dxa"/>
            <w:vAlign w:val="center"/>
          </w:tcPr>
          <w:p>
            <w:pPr>
              <w:pStyle w:val="17"/>
            </w:pPr>
            <w:r>
              <w:t>其他社会保障缴费</w:t>
            </w:r>
          </w:p>
        </w:tc>
        <w:tc>
          <w:tcPr>
            <w:tcW w:w="2551" w:type="dxa"/>
            <w:vAlign w:val="center"/>
          </w:tcPr>
          <w:p>
            <w:pPr>
              <w:pStyle w:val="16"/>
              <w:rPr>
                <w:rFonts w:hint="default" w:eastAsia="方正书宋_GBK"/>
                <w:lang w:val="en-US" w:eastAsia="zh-CN"/>
              </w:rPr>
            </w:pPr>
            <w:r>
              <w:rPr>
                <w:rFonts w:hint="eastAsia"/>
                <w:lang w:val="en-US" w:eastAsia="zh-CN"/>
              </w:rPr>
              <w:t>2.53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2.53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rPr>
                <w:rFonts w:hint="eastAsia" w:eastAsia="方正书宋_GBK"/>
                <w:lang w:eastAsia="zh-CN"/>
              </w:rPr>
            </w:pPr>
            <w:r>
              <w:t>3011</w:t>
            </w:r>
            <w:r>
              <w:rPr>
                <w:rFonts w:hint="eastAsia"/>
                <w:lang w:val="en-US" w:eastAsia="zh-CN"/>
              </w:rPr>
              <w:t>3</w:t>
            </w:r>
          </w:p>
        </w:tc>
        <w:tc>
          <w:tcPr>
            <w:tcW w:w="4535" w:type="dxa"/>
            <w:vAlign w:val="center"/>
          </w:tcPr>
          <w:p>
            <w:pPr>
              <w:pStyle w:val="17"/>
              <w:rPr>
                <w:rFonts w:hint="eastAsia" w:eastAsia="方正书宋_GBK"/>
                <w:lang w:val="en-US" w:eastAsia="zh-CN"/>
              </w:rPr>
            </w:pPr>
            <w:r>
              <w:rPr>
                <w:rFonts w:hint="eastAsia"/>
                <w:lang w:val="en-US" w:eastAsia="zh-CN"/>
              </w:rPr>
              <w:t>住房公积金</w:t>
            </w:r>
          </w:p>
        </w:tc>
        <w:tc>
          <w:tcPr>
            <w:tcW w:w="2551" w:type="dxa"/>
            <w:vAlign w:val="center"/>
          </w:tcPr>
          <w:p>
            <w:pPr>
              <w:pStyle w:val="16"/>
              <w:rPr>
                <w:rFonts w:hint="default" w:eastAsia="方正书宋_GBK"/>
                <w:lang w:val="en-US" w:eastAsia="zh-CN"/>
              </w:rPr>
            </w:pPr>
            <w:r>
              <w:rPr>
                <w:rFonts w:hint="eastAsia"/>
                <w:lang w:val="en-US" w:eastAsia="zh-CN"/>
              </w:rPr>
              <w:t>52.52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52.52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default" w:eastAsia="方正书宋_GBK"/>
                <w:lang w:val="en-US" w:eastAsia="zh-CN"/>
              </w:rPr>
            </w:pPr>
            <w:r>
              <w:rPr>
                <w:rFonts w:hint="eastAsia"/>
                <w:lang w:val="en-US" w:eastAsia="zh-CN"/>
              </w:rPr>
              <w:t>279.04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default" w:eastAsia="方正书宋_GBK"/>
                <w:lang w:val="en-US" w:eastAsia="zh-CN"/>
              </w:rPr>
            </w:pPr>
            <w:r>
              <w:rPr>
                <w:rFonts w:hint="eastAsia"/>
                <w:lang w:val="en-US" w:eastAsia="zh-CN"/>
              </w:rPr>
              <w:t>74.52</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rFonts w:hint="default" w:eastAsia="方正书宋_GBK"/>
                <w:lang w:val="en-US" w:eastAsia="zh-CN"/>
              </w:rPr>
            </w:pPr>
            <w:r>
              <w:rPr>
                <w:rFonts w:hint="eastAsia"/>
                <w:lang w:val="en-US" w:eastAsia="zh-CN"/>
              </w:rPr>
              <w:t>0.36</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w:t>
            </w:r>
            <w:r>
              <w:rPr>
                <w:rFonts w:hint="eastAsia"/>
                <w:lang w:val="en-US" w:eastAsia="zh-CN"/>
              </w:rPr>
              <w:t>0</w:t>
            </w:r>
            <w:r>
              <w:t>8</w:t>
            </w:r>
          </w:p>
        </w:tc>
        <w:tc>
          <w:tcPr>
            <w:tcW w:w="4535" w:type="dxa"/>
            <w:vAlign w:val="center"/>
          </w:tcPr>
          <w:p>
            <w:pPr>
              <w:pStyle w:val="17"/>
              <w:rPr>
                <w:rFonts w:hint="eastAsia" w:eastAsia="方正书宋_GBK"/>
                <w:lang w:eastAsia="zh-CN"/>
              </w:rPr>
            </w:pPr>
            <w:r>
              <w:rPr>
                <w:rFonts w:hint="eastAsia"/>
                <w:lang w:val="en-US" w:eastAsia="zh-CN"/>
              </w:rPr>
              <w:t>取暖费</w:t>
            </w:r>
          </w:p>
        </w:tc>
        <w:tc>
          <w:tcPr>
            <w:tcW w:w="2551" w:type="dxa"/>
            <w:vAlign w:val="center"/>
          </w:tcPr>
          <w:p>
            <w:pPr>
              <w:pStyle w:val="16"/>
              <w:rPr>
                <w:rFonts w:hint="default" w:eastAsia="方正书宋_GBK"/>
                <w:lang w:val="en-US" w:eastAsia="zh-CN"/>
              </w:rPr>
            </w:pPr>
            <w:r>
              <w:rPr>
                <w:rFonts w:hint="eastAsia"/>
                <w:lang w:val="en-US" w:eastAsia="zh-CN"/>
              </w:rPr>
              <w:t>7.41</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rPr>
                <w:rFonts w:hint="default" w:eastAsia="方正书宋_GBK"/>
                <w:lang w:val="en-US" w:eastAsia="zh-CN"/>
              </w:rPr>
            </w:pPr>
            <w:r>
              <w:t>302</w:t>
            </w:r>
            <w:r>
              <w:rPr>
                <w:rFonts w:hint="eastAsia"/>
                <w:lang w:val="en-US" w:eastAsia="zh-CN"/>
              </w:rPr>
              <w:t>11</w:t>
            </w:r>
          </w:p>
        </w:tc>
        <w:tc>
          <w:tcPr>
            <w:tcW w:w="4535" w:type="dxa"/>
            <w:vAlign w:val="center"/>
          </w:tcPr>
          <w:p>
            <w:pPr>
              <w:pStyle w:val="17"/>
              <w:rPr>
                <w:rFonts w:hint="eastAsia" w:eastAsia="方正书宋_GBK"/>
                <w:lang w:eastAsia="zh-CN"/>
              </w:rPr>
            </w:pPr>
            <w:r>
              <w:rPr>
                <w:rFonts w:hint="eastAsia"/>
                <w:lang w:val="en-US" w:eastAsia="zh-CN"/>
              </w:rPr>
              <w:t>差旅费</w:t>
            </w:r>
          </w:p>
        </w:tc>
        <w:tc>
          <w:tcPr>
            <w:tcW w:w="2551" w:type="dxa"/>
            <w:vAlign w:val="center"/>
          </w:tcPr>
          <w:p>
            <w:pPr>
              <w:pStyle w:val="16"/>
              <w:rPr>
                <w:rFonts w:hint="default" w:eastAsia="方正书宋_GBK"/>
                <w:lang w:val="en-US" w:eastAsia="zh-CN"/>
              </w:rPr>
            </w:pPr>
            <w:r>
              <w:rPr>
                <w:rFonts w:hint="eastAsia"/>
                <w:lang w:val="en-US" w:eastAsia="zh-CN"/>
              </w:rPr>
              <w:t>8.00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rPr>
                <w:rFonts w:hint="default" w:eastAsia="方正书宋_GBK"/>
                <w:lang w:val="en-US" w:eastAsia="zh-CN"/>
              </w:rPr>
            </w:pPr>
            <w:r>
              <w:t>302</w:t>
            </w:r>
            <w:r>
              <w:rPr>
                <w:rFonts w:hint="eastAsia"/>
                <w:lang w:val="en-US" w:eastAsia="zh-CN"/>
              </w:rPr>
              <w:t>17</w:t>
            </w:r>
          </w:p>
        </w:tc>
        <w:tc>
          <w:tcPr>
            <w:tcW w:w="4535" w:type="dxa"/>
            <w:vAlign w:val="center"/>
          </w:tcPr>
          <w:p>
            <w:pPr>
              <w:pStyle w:val="17"/>
              <w:rPr>
                <w:rFonts w:hint="eastAsia" w:eastAsia="方正书宋_GBK"/>
                <w:lang w:eastAsia="zh-CN"/>
              </w:rPr>
            </w:pPr>
            <w:r>
              <w:rPr>
                <w:rFonts w:hint="eastAsia"/>
                <w:lang w:val="en-US" w:eastAsia="zh-CN"/>
              </w:rPr>
              <w:t>公务接待费</w:t>
            </w:r>
          </w:p>
        </w:tc>
        <w:tc>
          <w:tcPr>
            <w:tcW w:w="2551" w:type="dxa"/>
            <w:vAlign w:val="center"/>
          </w:tcPr>
          <w:p>
            <w:pPr>
              <w:pStyle w:val="16"/>
              <w:rPr>
                <w:rFonts w:hint="default" w:eastAsia="方正书宋_GBK"/>
                <w:lang w:val="en-US" w:eastAsia="zh-CN"/>
              </w:rPr>
            </w:pPr>
            <w:r>
              <w:rPr>
                <w:rFonts w:hint="eastAsia"/>
                <w:lang w:val="en-US" w:eastAsia="zh-CN"/>
              </w:rPr>
              <w:t>0.05</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rPr>
                <w:rFonts w:hint="default" w:eastAsia="方正书宋_GBK"/>
                <w:lang w:val="en-US" w:eastAsia="zh-CN"/>
              </w:rPr>
            </w:pPr>
            <w:r>
              <w:t>302</w:t>
            </w:r>
            <w:r>
              <w:rPr>
                <w:rFonts w:hint="eastAsia"/>
                <w:lang w:val="en-US" w:eastAsia="zh-CN"/>
              </w:rPr>
              <w:t>26</w:t>
            </w:r>
          </w:p>
        </w:tc>
        <w:tc>
          <w:tcPr>
            <w:tcW w:w="4535" w:type="dxa"/>
            <w:vAlign w:val="center"/>
          </w:tcPr>
          <w:p>
            <w:pPr>
              <w:pStyle w:val="17"/>
              <w:rPr>
                <w:rFonts w:hint="eastAsia" w:eastAsia="方正书宋_GBK"/>
                <w:lang w:eastAsia="zh-CN"/>
              </w:rPr>
            </w:pPr>
            <w:r>
              <w:rPr>
                <w:rFonts w:hint="eastAsia"/>
                <w:lang w:val="en-US" w:eastAsia="zh-CN"/>
              </w:rPr>
              <w:t>劳务费</w:t>
            </w:r>
          </w:p>
        </w:tc>
        <w:tc>
          <w:tcPr>
            <w:tcW w:w="2551" w:type="dxa"/>
            <w:vAlign w:val="center"/>
          </w:tcPr>
          <w:p>
            <w:pPr>
              <w:pStyle w:val="16"/>
              <w:rPr>
                <w:rFonts w:hint="default" w:eastAsia="方正书宋_GBK"/>
                <w:lang w:val="en-US" w:eastAsia="zh-CN"/>
              </w:rPr>
            </w:pPr>
            <w:r>
              <w:rPr>
                <w:rFonts w:hint="eastAsia"/>
                <w:lang w:val="en-US" w:eastAsia="zh-CN"/>
              </w:rPr>
              <w:t>83.52</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rPr>
                <w:rFonts w:hint="default" w:eastAsia="方正书宋_GBK"/>
                <w:lang w:val="en-US" w:eastAsia="zh-CN"/>
              </w:rPr>
            </w:pPr>
            <w:r>
              <w:t>30</w:t>
            </w:r>
            <w:r>
              <w:rPr>
                <w:rFonts w:hint="eastAsia"/>
                <w:lang w:val="en-US" w:eastAsia="zh-CN"/>
              </w:rPr>
              <w:t>228</w:t>
            </w:r>
          </w:p>
        </w:tc>
        <w:tc>
          <w:tcPr>
            <w:tcW w:w="4535" w:type="dxa"/>
            <w:vAlign w:val="center"/>
          </w:tcPr>
          <w:p>
            <w:pPr>
              <w:pStyle w:val="17"/>
              <w:rPr>
                <w:rFonts w:hint="default" w:eastAsia="方正书宋_GBK"/>
                <w:lang w:val="en-US" w:eastAsia="zh-CN"/>
              </w:rPr>
            </w:pPr>
            <w:r>
              <w:rPr>
                <w:rFonts w:hint="eastAsia"/>
                <w:lang w:val="en-US" w:eastAsia="zh-CN"/>
              </w:rPr>
              <w:t>工会经费</w:t>
            </w:r>
          </w:p>
        </w:tc>
        <w:tc>
          <w:tcPr>
            <w:tcW w:w="2551" w:type="dxa"/>
            <w:vAlign w:val="center"/>
          </w:tcPr>
          <w:p>
            <w:pPr>
              <w:pStyle w:val="16"/>
              <w:rPr>
                <w:rFonts w:hint="default" w:eastAsia="方正书宋_GBK"/>
                <w:lang w:val="en-US" w:eastAsia="zh-CN"/>
              </w:rPr>
            </w:pPr>
            <w:r>
              <w:rPr>
                <w:rFonts w:hint="eastAsia"/>
                <w:lang w:val="en-US" w:eastAsia="zh-CN"/>
              </w:rPr>
              <w:t>5.99</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rPr>
                <w:rFonts w:hint="default" w:eastAsia="方正书宋_GBK"/>
                <w:lang w:val="en-US" w:eastAsia="zh-CN"/>
              </w:rPr>
            </w:pPr>
            <w:r>
              <w:t>30</w:t>
            </w:r>
            <w:r>
              <w:rPr>
                <w:rFonts w:hint="eastAsia"/>
                <w:lang w:val="en-US" w:eastAsia="zh-CN"/>
              </w:rPr>
              <w:t>229</w:t>
            </w:r>
          </w:p>
        </w:tc>
        <w:tc>
          <w:tcPr>
            <w:tcW w:w="4535" w:type="dxa"/>
            <w:vAlign w:val="center"/>
          </w:tcPr>
          <w:p>
            <w:pPr>
              <w:pStyle w:val="17"/>
              <w:rPr>
                <w:rFonts w:hint="eastAsia" w:eastAsia="方正书宋_GBK"/>
                <w:lang w:eastAsia="zh-CN"/>
              </w:rPr>
            </w:pPr>
            <w:r>
              <w:rPr>
                <w:rFonts w:hint="eastAsia"/>
                <w:lang w:val="en-US" w:eastAsia="zh-CN"/>
              </w:rPr>
              <w:t>福利费</w:t>
            </w:r>
          </w:p>
        </w:tc>
        <w:tc>
          <w:tcPr>
            <w:tcW w:w="2551" w:type="dxa"/>
            <w:vAlign w:val="center"/>
          </w:tcPr>
          <w:p>
            <w:pPr>
              <w:pStyle w:val="16"/>
              <w:rPr>
                <w:rFonts w:hint="default" w:eastAsia="方正书宋_GBK"/>
                <w:lang w:val="en-US" w:eastAsia="zh-CN"/>
              </w:rPr>
            </w:pPr>
            <w:r>
              <w:rPr>
                <w:rFonts w:hint="eastAsia"/>
                <w:lang w:val="en-US" w:eastAsia="zh-CN"/>
              </w:rPr>
              <w:t>12.52</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rPr>
                <w:rFonts w:hint="default" w:eastAsia="方正书宋_GBK"/>
                <w:lang w:val="en-US" w:eastAsia="zh-CN"/>
              </w:rPr>
            </w:pPr>
            <w:r>
              <w:t>30</w:t>
            </w:r>
            <w:r>
              <w:rPr>
                <w:rFonts w:hint="eastAsia"/>
                <w:lang w:val="en-US" w:eastAsia="zh-CN"/>
              </w:rPr>
              <w:t>231</w:t>
            </w:r>
          </w:p>
        </w:tc>
        <w:tc>
          <w:tcPr>
            <w:tcW w:w="4535" w:type="dxa"/>
            <w:vAlign w:val="center"/>
          </w:tcPr>
          <w:p>
            <w:pPr>
              <w:pStyle w:val="17"/>
              <w:rPr>
                <w:rFonts w:hint="eastAsia" w:eastAsia="方正书宋_GBK"/>
                <w:lang w:eastAsia="zh-CN"/>
              </w:rPr>
            </w:pPr>
            <w:r>
              <w:rPr>
                <w:rFonts w:hint="eastAsia"/>
                <w:lang w:val="en-US" w:eastAsia="zh-CN"/>
              </w:rPr>
              <w:t>公务用车运行维护费</w:t>
            </w:r>
          </w:p>
        </w:tc>
        <w:tc>
          <w:tcPr>
            <w:tcW w:w="2551" w:type="dxa"/>
            <w:vAlign w:val="center"/>
          </w:tcPr>
          <w:p>
            <w:pPr>
              <w:pStyle w:val="16"/>
              <w:rPr>
                <w:rFonts w:hint="default" w:eastAsia="方正书宋_GBK"/>
                <w:lang w:val="en-US" w:eastAsia="zh-CN"/>
              </w:rPr>
            </w:pPr>
            <w:r>
              <w:rPr>
                <w:rFonts w:hint="eastAsia"/>
                <w:lang w:val="en-US" w:eastAsia="zh-CN"/>
              </w:rPr>
              <w:t>36.00</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rPr>
                <w:rFonts w:hint="default" w:eastAsia="方正书宋_GBK"/>
                <w:lang w:val="en-US" w:eastAsia="zh-CN"/>
              </w:rPr>
            </w:pPr>
            <w:r>
              <w:rPr>
                <w:rFonts w:hint="eastAsia"/>
                <w:lang w:val="en-US" w:eastAsia="zh-CN"/>
              </w:rPr>
              <w:t>30239</w:t>
            </w:r>
          </w:p>
        </w:tc>
        <w:tc>
          <w:tcPr>
            <w:tcW w:w="4535" w:type="dxa"/>
            <w:vAlign w:val="center"/>
          </w:tcPr>
          <w:p>
            <w:pPr>
              <w:pStyle w:val="17"/>
              <w:rPr>
                <w:rFonts w:hint="eastAsia" w:eastAsia="方正书宋_GBK"/>
                <w:lang w:val="en-US" w:eastAsia="zh-CN"/>
              </w:rPr>
            </w:pPr>
            <w:r>
              <w:rPr>
                <w:rFonts w:hint="eastAsia"/>
                <w:lang w:val="en-US" w:eastAsia="zh-CN"/>
              </w:rPr>
              <w:t>其他交通费用</w:t>
            </w:r>
          </w:p>
        </w:tc>
        <w:tc>
          <w:tcPr>
            <w:tcW w:w="2551" w:type="dxa"/>
            <w:vAlign w:val="center"/>
          </w:tcPr>
          <w:p>
            <w:pPr>
              <w:pStyle w:val="16"/>
              <w:rPr>
                <w:rFonts w:hint="default" w:eastAsia="方正书宋_GBK"/>
                <w:lang w:val="en-US" w:eastAsia="zh-CN"/>
              </w:rPr>
            </w:pPr>
            <w:r>
              <w:rPr>
                <w:rFonts w:hint="eastAsia"/>
                <w:lang w:val="en-US" w:eastAsia="zh-CN"/>
              </w:rPr>
              <w:t>48.95</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rPr>
                <w:rFonts w:hint="default"/>
                <w:lang w:val="en-US" w:eastAsia="zh-CN"/>
              </w:rPr>
            </w:pPr>
            <w:r>
              <w:rPr>
                <w:rFonts w:hint="eastAsia"/>
                <w:lang w:val="en-US" w:eastAsia="zh-CN"/>
              </w:rPr>
              <w:t>30299</w:t>
            </w:r>
          </w:p>
        </w:tc>
        <w:tc>
          <w:tcPr>
            <w:tcW w:w="4535" w:type="dxa"/>
            <w:vAlign w:val="center"/>
          </w:tcPr>
          <w:p>
            <w:pPr>
              <w:pStyle w:val="17"/>
              <w:rPr>
                <w:rFonts w:hint="default" w:eastAsia="方正书宋_GBK"/>
                <w:lang w:val="en-US" w:eastAsia="zh-CN"/>
              </w:rPr>
            </w:pPr>
            <w:r>
              <w:rPr>
                <w:rFonts w:hint="eastAsia"/>
                <w:lang w:val="en-US" w:eastAsia="zh-CN"/>
              </w:rPr>
              <w:t>其他商品和服务支出</w:t>
            </w:r>
          </w:p>
        </w:tc>
        <w:tc>
          <w:tcPr>
            <w:tcW w:w="2551" w:type="dxa"/>
            <w:vAlign w:val="center"/>
          </w:tcPr>
          <w:p>
            <w:pPr>
              <w:pStyle w:val="16"/>
              <w:rPr>
                <w:rFonts w:hint="default" w:eastAsia="方正书宋_GBK"/>
                <w:lang w:val="en-US" w:eastAsia="zh-CN"/>
              </w:rPr>
            </w:pPr>
            <w:r>
              <w:rPr>
                <w:rFonts w:hint="eastAsia"/>
                <w:lang w:val="en-US" w:eastAsia="zh-CN"/>
              </w:rPr>
              <w:t>1.72</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23</w:t>
            </w:r>
          </w:p>
        </w:tc>
        <w:tc>
          <w:tcPr>
            <w:tcW w:w="1191" w:type="dxa"/>
            <w:vAlign w:val="center"/>
          </w:tcPr>
          <w:p>
            <w:pPr>
              <w:pStyle w:val="17"/>
              <w:rPr>
                <w:rFonts w:hint="default"/>
                <w:lang w:val="en-US" w:eastAsia="zh-CN"/>
              </w:rPr>
            </w:pPr>
            <w:r>
              <w:rPr>
                <w:rFonts w:hint="eastAsia"/>
                <w:lang w:val="en-US" w:eastAsia="zh-CN"/>
              </w:rPr>
              <w:t>303</w:t>
            </w:r>
          </w:p>
        </w:tc>
        <w:tc>
          <w:tcPr>
            <w:tcW w:w="4535" w:type="dxa"/>
            <w:vAlign w:val="center"/>
          </w:tcPr>
          <w:p>
            <w:pPr>
              <w:pStyle w:val="17"/>
              <w:rPr>
                <w:rFonts w:hint="default" w:eastAsia="方正书宋_GBK"/>
                <w:lang w:val="en-US" w:eastAsia="zh-CN"/>
              </w:rPr>
            </w:pPr>
            <w:r>
              <w:rPr>
                <w:rFonts w:hint="eastAsia"/>
                <w:lang w:val="en-US" w:eastAsia="zh-CN"/>
              </w:rPr>
              <w:t>对个人和家庭的补助</w:t>
            </w:r>
          </w:p>
        </w:tc>
        <w:tc>
          <w:tcPr>
            <w:tcW w:w="2551" w:type="dxa"/>
            <w:vAlign w:val="center"/>
          </w:tcPr>
          <w:p>
            <w:pPr>
              <w:pStyle w:val="16"/>
              <w:rPr>
                <w:rFonts w:hint="default" w:eastAsia="方正书宋_GBK"/>
                <w:lang w:val="en-US" w:eastAsia="zh-CN"/>
              </w:rPr>
            </w:pPr>
            <w:r>
              <w:rPr>
                <w:rFonts w:hint="eastAsia"/>
                <w:lang w:val="en-US" w:eastAsia="zh-CN"/>
              </w:rPr>
              <w:t>4.36</w:t>
            </w:r>
          </w:p>
        </w:tc>
        <w:tc>
          <w:tcPr>
            <w:tcW w:w="2551" w:type="dxa"/>
            <w:vAlign w:val="center"/>
          </w:tcPr>
          <w:p>
            <w:pPr>
              <w:pStyle w:val="16"/>
              <w:rPr>
                <w:rFonts w:hint="default" w:eastAsia="方正书宋_GBK"/>
                <w:lang w:val="en-US" w:eastAsia="zh-CN"/>
              </w:rPr>
            </w:pPr>
            <w:r>
              <w:rPr>
                <w:rFonts w:hint="eastAsia"/>
                <w:lang w:val="en-US" w:eastAsia="zh-CN"/>
              </w:rPr>
              <w:t>4.36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24</w:t>
            </w:r>
          </w:p>
        </w:tc>
        <w:tc>
          <w:tcPr>
            <w:tcW w:w="1191" w:type="dxa"/>
            <w:vAlign w:val="center"/>
          </w:tcPr>
          <w:p>
            <w:pPr>
              <w:pStyle w:val="17"/>
              <w:rPr>
                <w:rFonts w:hint="default"/>
                <w:lang w:val="en-US" w:eastAsia="zh-CN"/>
              </w:rPr>
            </w:pPr>
            <w:r>
              <w:rPr>
                <w:rFonts w:hint="eastAsia"/>
                <w:lang w:val="en-US" w:eastAsia="zh-CN"/>
              </w:rPr>
              <w:t>30305</w:t>
            </w:r>
          </w:p>
        </w:tc>
        <w:tc>
          <w:tcPr>
            <w:tcW w:w="4535" w:type="dxa"/>
            <w:vAlign w:val="center"/>
          </w:tcPr>
          <w:p>
            <w:pPr>
              <w:pStyle w:val="17"/>
              <w:rPr>
                <w:rFonts w:hint="eastAsia" w:eastAsia="方正书宋_GBK"/>
                <w:lang w:val="en-US" w:eastAsia="zh-CN"/>
              </w:rPr>
            </w:pPr>
            <w:r>
              <w:rPr>
                <w:rFonts w:hint="eastAsia"/>
                <w:lang w:val="en-US" w:eastAsia="zh-CN"/>
              </w:rPr>
              <w:t>生活补助</w:t>
            </w:r>
          </w:p>
        </w:tc>
        <w:tc>
          <w:tcPr>
            <w:tcW w:w="2551" w:type="dxa"/>
            <w:vAlign w:val="center"/>
          </w:tcPr>
          <w:p>
            <w:pPr>
              <w:pStyle w:val="16"/>
              <w:rPr>
                <w:rFonts w:hint="default" w:eastAsia="方正书宋_GBK"/>
                <w:lang w:val="en-US" w:eastAsia="zh-CN"/>
              </w:rPr>
            </w:pPr>
            <w:r>
              <w:rPr>
                <w:rFonts w:hint="eastAsia"/>
                <w:lang w:val="en-US" w:eastAsia="zh-CN"/>
              </w:rPr>
              <w:t>4.36</w:t>
            </w:r>
          </w:p>
        </w:tc>
        <w:tc>
          <w:tcPr>
            <w:tcW w:w="2551" w:type="dxa"/>
            <w:vAlign w:val="center"/>
          </w:tcPr>
          <w:p>
            <w:pPr>
              <w:pStyle w:val="16"/>
              <w:rPr>
                <w:rFonts w:hint="default" w:eastAsia="方正书宋_GBK"/>
                <w:lang w:val="en-US" w:eastAsia="zh-CN"/>
              </w:rPr>
            </w:pPr>
            <w:r>
              <w:rPr>
                <w:rFonts w:hint="eastAsia"/>
                <w:lang w:val="en-US" w:eastAsia="zh-CN"/>
              </w:rPr>
              <w:t>4.36</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161涞水县人民法院</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161涞水县人民法院</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161涞水县人民法院</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bookmarkStart w:id="24" w:name="_GoBack" w:colFirst="2" w:colLast="3"/>
            <w:r>
              <w:t>1</w:t>
            </w:r>
          </w:p>
        </w:tc>
        <w:tc>
          <w:tcPr>
            <w:tcW w:w="3798" w:type="dxa"/>
            <w:vAlign w:val="center"/>
          </w:tcPr>
          <w:p>
            <w:pPr>
              <w:pStyle w:val="19"/>
            </w:pPr>
            <w:r>
              <w:t>合计</w:t>
            </w:r>
          </w:p>
        </w:tc>
        <w:tc>
          <w:tcPr>
            <w:tcW w:w="2382" w:type="dxa"/>
            <w:vAlign w:val="center"/>
          </w:tcPr>
          <w:p>
            <w:pPr>
              <w:jc w:val="right"/>
              <w:rPr>
                <w:rFonts w:hint="default" w:eastAsia="方正书宋_GBK"/>
                <w:lang w:val="en-US" w:eastAsia="zh-CN"/>
              </w:rPr>
            </w:pPr>
            <w:r>
              <w:rPr>
                <w:rFonts w:hint="eastAsia"/>
                <w:lang w:val="en-US" w:eastAsia="zh-CN"/>
              </w:rPr>
              <w:t>36.05</w:t>
            </w:r>
          </w:p>
        </w:tc>
        <w:tc>
          <w:tcPr>
            <w:tcW w:w="2381" w:type="dxa"/>
            <w:vAlign w:val="center"/>
          </w:tcPr>
          <w:p>
            <w:pPr>
              <w:jc w:val="right"/>
            </w:pPr>
            <w:r>
              <w:rPr>
                <w:rFonts w:hint="eastAsia"/>
                <w:lang w:val="en-US" w:eastAsia="zh-CN"/>
              </w:rPr>
              <w:t>36.05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jc w:val="right"/>
            </w:pPr>
            <w:r>
              <w:rPr>
                <w:rFonts w:hint="eastAsia"/>
                <w:lang w:val="en-US" w:eastAsia="zh-CN"/>
              </w:rPr>
              <w:t>36.05</w:t>
            </w:r>
          </w:p>
        </w:tc>
        <w:tc>
          <w:tcPr>
            <w:tcW w:w="2381" w:type="dxa"/>
            <w:vAlign w:val="center"/>
          </w:tcPr>
          <w:p>
            <w:pPr>
              <w:jc w:val="right"/>
            </w:pPr>
            <w:r>
              <w:rPr>
                <w:rFonts w:hint="eastAsia"/>
                <w:lang w:val="en-US" w:eastAsia="zh-CN"/>
              </w:rPr>
              <w:t>36.05</w:t>
            </w:r>
          </w:p>
        </w:tc>
        <w:tc>
          <w:tcPr>
            <w:tcW w:w="2381" w:type="dxa"/>
            <w:vAlign w:val="center"/>
          </w:tcPr>
          <w:p>
            <w:pPr>
              <w:pStyle w:val="16"/>
            </w:pPr>
          </w:p>
        </w:tc>
        <w:tc>
          <w:tcPr>
            <w:tcW w:w="2381" w:type="dxa"/>
            <w:vAlign w:val="center"/>
          </w:tcPr>
          <w:p>
            <w:pPr>
              <w:pStyle w:val="16"/>
            </w:pPr>
          </w:p>
        </w:tc>
      </w:tr>
      <w:bookmarkEnd w:id="2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36</w:t>
            </w:r>
            <w:r>
              <w:t>.00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36</w:t>
            </w:r>
            <w:r>
              <w:t>.00</w:t>
            </w: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pPr>
            <w:r>
              <w:rPr>
                <w:rFonts w:hint="eastAsia"/>
                <w:lang w:val="en-US" w:eastAsia="zh-CN"/>
              </w:rPr>
              <w:t>36</w:t>
            </w:r>
            <w:r>
              <w:t>.00</w:t>
            </w:r>
          </w:p>
        </w:tc>
        <w:tc>
          <w:tcPr>
            <w:tcW w:w="2381" w:type="dxa"/>
            <w:vAlign w:val="center"/>
          </w:tcPr>
          <w:p>
            <w:pPr>
              <w:pStyle w:val="16"/>
            </w:pPr>
            <w:r>
              <w:rPr>
                <w:rFonts w:hint="eastAsia"/>
                <w:lang w:val="en-US" w:eastAsia="zh-CN"/>
              </w:rPr>
              <w:t>36</w:t>
            </w:r>
            <w:r>
              <w:t>.00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pPr>
      <w:r>
        <w:rPr>
          <w:rFonts w:hint="eastAsia" w:ascii="方正小标宋_GBK" w:hAnsi="方正小标宋_GBK" w:eastAsia="方正小标宋_GBK" w:cs="方正小标宋_GBK"/>
          <w:color w:val="000000"/>
          <w:sz w:val="44"/>
          <w:lang w:val="en-US" w:eastAsia="zh-CN"/>
        </w:rPr>
        <w:t>涞水县人民法院</w:t>
      </w:r>
      <w:r>
        <w:rPr>
          <w:rFonts w:ascii="方正小标宋_GBK" w:hAnsi="方正小标宋_GBK" w:eastAsia="方正小标宋_GBK" w:cs="方正小标宋_GBK"/>
          <w:color w:val="000000"/>
          <w:sz w:val="44"/>
        </w:rPr>
        <w:t>2022年部门预算信息公开情况说明</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sz w:val="32"/>
          <w:szCs w:val="32"/>
        </w:rPr>
        <w:t>按照《预算法》、《地方预决算公开操作规程》和《河北省省级预算公开办法》规定，现将涞水县人民法院202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年部门预算公开如下：</w:t>
      </w:r>
    </w:p>
    <w:p>
      <w:pPr>
        <w:spacing w:before="10" w:after="10" w:line="360" w:lineRule="auto"/>
        <w:ind w:firstLine="640"/>
        <w:outlineLvl w:val="0"/>
        <w:rPr>
          <w:rFonts w:hint="eastAsia" w:ascii="黑体" w:hAnsi="黑体" w:eastAsia="黑体" w:cs="黑体"/>
          <w:b/>
          <w:bCs/>
          <w:sz w:val="32"/>
          <w:szCs w:val="32"/>
        </w:rPr>
      </w:pPr>
      <w:bookmarkStart w:id="9" w:name="_Toc1825"/>
      <w:r>
        <w:rPr>
          <w:rFonts w:hint="eastAsia" w:ascii="黑体" w:hAnsi="黑体" w:eastAsia="黑体" w:cs="黑体"/>
          <w:b/>
          <w:bCs/>
          <w:color w:val="000000"/>
          <w:sz w:val="32"/>
          <w:szCs w:val="32"/>
        </w:rPr>
        <w:t>一、部门职责及机构设置情况</w:t>
      </w:r>
      <w:bookmarkEnd w:id="9"/>
    </w:p>
    <w:p>
      <w:pPr>
        <w:ind w:firstLine="64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（一）部门</w:t>
      </w:r>
      <w:r>
        <w:rPr>
          <w:rFonts w:hint="eastAsia" w:ascii="楷体" w:hAnsi="楷体" w:eastAsia="楷体" w:cs="楷体"/>
          <w:b/>
          <w:bCs/>
          <w:color w:val="000000"/>
          <w:sz w:val="32"/>
          <w:szCs w:val="32"/>
        </w:rPr>
        <w:t>职责：</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涞水县人民法院是国家的审判机关，依法独立行使审判权，对涞水县人民代表大会及其常务委员会负责并报告工作。其主要职责是：</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1、依法审判法律规定由基层人民法院管辖的刑事、民事、行政等第一审案件。</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2、依法审判上级人民法院指定、同级人民法院移送的刑事、民事、行政等第一审案件。</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3、审查和受理各类申诉案件，审判各类再审案件，处理来信来访。</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4、依法办理发生法律效力的民事、行政案件判决和裁定执行事项及刑事案件判决和裁定中关于财产部分的执行事项；办理法律规定由基层人民法院执行的其他法律文书的执行事项。</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5、负责本院审判工作的调查研究，总结审判工作经验。</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6、负责本院干警思想政治教育和业务培训工作；按照权限管理法官和其他工作人员；协同上级法院及县主管部门管理全院的机构设置、人员编制工作。</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7、管理本院的有关经费及物资装备。</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8、负责本院司法技术鉴定、通讯、计算机等技术管理工作。</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9、在审判工作中宣传法制，教育公民忠于社会主义祖国，自觉遵守宪法、法律和社会公德。</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10、完成上级法院和县委、县人大交办的其他工作。</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11、承办其他应由基层人民法院负责的工作。</w:t>
      </w:r>
    </w:p>
    <w:p>
      <w:pPr>
        <w:ind w:firstLine="640"/>
        <w:rPr>
          <w:rFonts w:hint="eastAsia" w:ascii="楷体" w:hAnsi="楷体" w:eastAsia="楷体" w:cs="楷体"/>
          <w:b/>
          <w:bCs/>
          <w:color w:val="000000"/>
          <w:sz w:val="32"/>
        </w:rPr>
      </w:pPr>
      <w:r>
        <w:rPr>
          <w:rFonts w:hint="eastAsia" w:ascii="楷体" w:hAnsi="楷体" w:eastAsia="楷体" w:cs="楷体"/>
          <w:b/>
          <w:bCs/>
          <w:color w:val="000000"/>
          <w:sz w:val="32"/>
          <w:lang w:eastAsia="zh-CN"/>
        </w:rPr>
        <w:t>（</w:t>
      </w:r>
      <w:r>
        <w:rPr>
          <w:rFonts w:hint="eastAsia" w:ascii="楷体" w:hAnsi="楷体" w:eastAsia="楷体" w:cs="楷体"/>
          <w:b/>
          <w:bCs/>
          <w:color w:val="000000"/>
          <w:sz w:val="32"/>
          <w:lang w:val="en-US" w:eastAsia="zh-CN"/>
        </w:rPr>
        <w:t>二</w:t>
      </w:r>
      <w:r>
        <w:rPr>
          <w:rFonts w:hint="eastAsia" w:ascii="楷体" w:hAnsi="楷体" w:eastAsia="楷体" w:cs="楷体"/>
          <w:b/>
          <w:bCs/>
          <w:color w:val="000000"/>
          <w:sz w:val="32"/>
          <w:lang w:eastAsia="zh-CN"/>
        </w:rPr>
        <w:t>）</w:t>
      </w:r>
      <w:r>
        <w:rPr>
          <w:rFonts w:hint="eastAsia" w:ascii="楷体" w:hAnsi="楷体" w:eastAsia="楷体" w:cs="楷体"/>
          <w:b/>
          <w:bCs/>
          <w:color w:val="000000"/>
          <w:sz w:val="32"/>
        </w:rPr>
        <w:t>机构设置：</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涞水县人民法院下设9个部门，各部门职责如下：</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1、立案庭（诉讼服务中心）。负责立案登记、涉诉信访、诉前调解、小额速裁等相关工作。</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2、刑事审判庭。负责依法审理本院管辖的各类刑事案件及相关工作。</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3、民事审判庭。负责依法审理本院管辖的各类民事案件及相关工作。</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4、行政审判庭（综合审判庭）。负责依法审理由本院管辖的各类行政案件及相关工作，依法办理国家赔偿案件，根据需要办理本院管辖的其他类型案件。</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5、执行局。负责执行法律规定的由本院执行的已生效且具有支付内容的各种法律文书及其他执行案件；负责本院管辖案件的诉前保全、诉讼保全及司法救助等工作。</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6、政治部。负责思想政治工作；负责机构编制、干部人事、目标绩效考核工作；负责机关党建及工青妇工作；负责宣传和教育培训工作；配合开展纪检监察工作。</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7、综合办公室。负责协助院领导组织、协调处理公务；负责党组会、院务会和院长办公会的组织安排及决定事项的督办；负责综合性材料起草和信息简报的编写工作；负责文秘、印鉴、督查、保密、机要、档案工作；负责国有资产、物资装备管理和计划财务工作；负责院领导交办的其他事项。</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8、审判管理办公室（研究室）。负责审判流程、案件质量管理、案件评查、审判运行态势分析、司法统计、司法调研、司法公开工作；负责审委会会务等工作；负责司法辅助技术和信息化建设工作。</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9、司法警察大队。负责司法警察警务工作；负责警卫、押解、送达工作；配合有关审判、执行事项。</w:t>
      </w:r>
    </w:p>
    <w:p>
      <w:pPr>
        <w:snapToGrid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lang w:val="en-US" w:eastAsia="zh-CN"/>
        </w:rPr>
        <w:t>部门</w:t>
      </w:r>
      <w:r>
        <w:rPr>
          <w:rFonts w:hint="eastAsia" w:ascii="楷体" w:hAnsi="楷体" w:eastAsia="楷体" w:cs="楷体"/>
          <w:b/>
          <w:bCs/>
          <w:sz w:val="32"/>
          <w:szCs w:val="32"/>
        </w:rPr>
        <w:t>编制情况</w:t>
      </w:r>
    </w:p>
    <w:p>
      <w:pPr>
        <w:spacing w:line="560" w:lineRule="exact"/>
        <w:ind w:firstLine="643" w:firstLineChars="200"/>
        <w:rPr>
          <w:rFonts w:hint="eastAsia" w:ascii="仿宋" w:hAnsi="仿宋" w:eastAsia="仿宋" w:cs="仿宋"/>
          <w:b/>
          <w:bCs/>
          <w:sz w:val="32"/>
        </w:rPr>
      </w:pPr>
      <w:r>
        <w:rPr>
          <w:rFonts w:hint="eastAsia" w:ascii="仿宋" w:hAnsi="仿宋" w:eastAsia="仿宋" w:cs="仿宋"/>
          <w:b/>
          <w:bCs/>
          <w:sz w:val="32"/>
          <w:szCs w:val="32"/>
        </w:rPr>
        <w:t>我院编制81人，在职人员7</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人（含两名工勤人员），退休人员4</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人。另有自收自支人员1人，聘任制法警22人，领取遗属补助人员6名。</w:t>
      </w:r>
      <w:r>
        <w:rPr>
          <w:rFonts w:hint="eastAsia" w:ascii="仿宋" w:hAnsi="仿宋" w:eastAsia="仿宋" w:cs="仿宋"/>
          <w:b/>
          <w:bCs/>
          <w:color w:val="000000"/>
          <w:kern w:val="0"/>
          <w:sz w:val="32"/>
          <w:szCs w:val="32"/>
        </w:rPr>
        <w:t xml:space="preserve"> </w:t>
      </w:r>
      <w:bookmarkStart w:id="10" w:name="_Toc536088156"/>
    </w:p>
    <w:p>
      <w:pPr>
        <w:spacing w:line="560" w:lineRule="exact"/>
        <w:jc w:val="center"/>
        <w:outlineLvl w:val="0"/>
        <w:rPr>
          <w:rFonts w:hint="eastAsia" w:ascii="宋体" w:hAnsi="宋体" w:cs="宋体"/>
          <w:b/>
          <w:bCs/>
          <w:sz w:val="32"/>
          <w:szCs w:val="32"/>
        </w:rPr>
      </w:pPr>
      <w:r>
        <w:rPr>
          <w:rFonts w:hint="eastAsia" w:ascii="宋体" w:hAnsi="宋体" w:cs="宋体"/>
          <w:b/>
          <w:bCs/>
          <w:sz w:val="32"/>
          <w:szCs w:val="32"/>
        </w:rPr>
        <w:t>部门基本情况表</w:t>
      </w:r>
      <w:bookmarkEnd w:id="1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1080"/>
        <w:gridCol w:w="1663"/>
        <w:gridCol w:w="677"/>
        <w:gridCol w:w="525"/>
        <w:gridCol w:w="478"/>
        <w:gridCol w:w="453"/>
        <w:gridCol w:w="506"/>
        <w:gridCol w:w="478"/>
        <w:gridCol w:w="456"/>
        <w:gridCol w:w="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sz w:val="20"/>
                <w:szCs w:val="20"/>
              </w:rPr>
            </w:pPr>
            <w:r>
              <w:rPr>
                <w:rFonts w:hint="eastAsia" w:ascii="宋体" w:hAnsi="宋体" w:cs="宋体"/>
                <w:sz w:val="20"/>
                <w:szCs w:val="20"/>
              </w:rPr>
              <w:t>161涞水县人民法院</w:t>
            </w:r>
          </w:p>
        </w:tc>
        <w:tc>
          <w:tcPr>
            <w:tcW w:w="285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sz w:val="20"/>
                <w:szCs w:val="20"/>
              </w:rPr>
            </w:pPr>
            <w:r>
              <w:rPr>
                <w:rFonts w:hint="eastAsia" w:ascii="宋体" w:hAnsi="宋体" w:cs="宋体"/>
                <w:sz w:val="20"/>
                <w:szCs w:val="2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800"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单位名称</w:t>
            </w:r>
          </w:p>
        </w:tc>
        <w:tc>
          <w:tcPr>
            <w:tcW w:w="1260"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单位性质</w:t>
            </w:r>
          </w:p>
        </w:tc>
        <w:tc>
          <w:tcPr>
            <w:tcW w:w="1080"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单位规格</w:t>
            </w:r>
          </w:p>
        </w:tc>
        <w:tc>
          <w:tcPr>
            <w:tcW w:w="1663"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经费保障形式</w:t>
            </w:r>
          </w:p>
        </w:tc>
        <w:tc>
          <w:tcPr>
            <w:tcW w:w="677"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车辆实有数</w:t>
            </w:r>
          </w:p>
        </w:tc>
        <w:tc>
          <w:tcPr>
            <w:tcW w:w="1003" w:type="dxa"/>
            <w:gridSpan w:val="2"/>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编制人数</w:t>
            </w:r>
          </w:p>
        </w:tc>
        <w:tc>
          <w:tcPr>
            <w:tcW w:w="959" w:type="dxa"/>
            <w:gridSpan w:val="2"/>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在职人数</w:t>
            </w:r>
          </w:p>
        </w:tc>
        <w:tc>
          <w:tcPr>
            <w:tcW w:w="1417" w:type="dxa"/>
            <w:gridSpan w:val="3"/>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800" w:type="dxa"/>
            <w:vMerge w:val="continue"/>
            <w:noWrap w:val="0"/>
            <w:vAlign w:val="center"/>
          </w:tcPr>
          <w:p>
            <w:pPr>
              <w:spacing w:line="300" w:lineRule="exact"/>
              <w:jc w:val="left"/>
              <w:outlineLvl w:val="0"/>
              <w:rPr>
                <w:rFonts w:hint="eastAsia" w:ascii="宋体" w:hAnsi="宋体" w:cs="宋体"/>
                <w:sz w:val="20"/>
                <w:szCs w:val="20"/>
              </w:rPr>
            </w:pPr>
          </w:p>
        </w:tc>
        <w:tc>
          <w:tcPr>
            <w:tcW w:w="1260" w:type="dxa"/>
            <w:vMerge w:val="continue"/>
            <w:noWrap w:val="0"/>
            <w:vAlign w:val="center"/>
          </w:tcPr>
          <w:p>
            <w:pPr>
              <w:spacing w:line="300" w:lineRule="exact"/>
              <w:jc w:val="left"/>
              <w:outlineLvl w:val="0"/>
              <w:rPr>
                <w:rFonts w:hint="eastAsia" w:ascii="宋体" w:hAnsi="宋体" w:cs="宋体"/>
                <w:sz w:val="20"/>
                <w:szCs w:val="20"/>
              </w:rPr>
            </w:pPr>
          </w:p>
        </w:tc>
        <w:tc>
          <w:tcPr>
            <w:tcW w:w="1080" w:type="dxa"/>
            <w:vMerge w:val="continue"/>
            <w:noWrap w:val="0"/>
            <w:vAlign w:val="center"/>
          </w:tcPr>
          <w:p>
            <w:pPr>
              <w:spacing w:line="300" w:lineRule="exact"/>
              <w:jc w:val="left"/>
              <w:outlineLvl w:val="0"/>
              <w:rPr>
                <w:rFonts w:hint="eastAsia" w:ascii="宋体" w:hAnsi="宋体" w:cs="宋体"/>
                <w:sz w:val="20"/>
                <w:szCs w:val="20"/>
              </w:rPr>
            </w:pPr>
          </w:p>
        </w:tc>
        <w:tc>
          <w:tcPr>
            <w:tcW w:w="1663" w:type="dxa"/>
            <w:vMerge w:val="continue"/>
            <w:noWrap w:val="0"/>
            <w:vAlign w:val="center"/>
          </w:tcPr>
          <w:p>
            <w:pPr>
              <w:spacing w:line="300" w:lineRule="exact"/>
              <w:jc w:val="left"/>
              <w:outlineLvl w:val="0"/>
              <w:rPr>
                <w:rFonts w:hint="eastAsia" w:ascii="宋体" w:hAnsi="宋体" w:cs="宋体"/>
                <w:sz w:val="20"/>
                <w:szCs w:val="20"/>
              </w:rPr>
            </w:pPr>
          </w:p>
        </w:tc>
        <w:tc>
          <w:tcPr>
            <w:tcW w:w="677" w:type="dxa"/>
            <w:vMerge w:val="continue"/>
            <w:noWrap w:val="0"/>
            <w:vAlign w:val="center"/>
          </w:tcPr>
          <w:p>
            <w:pPr>
              <w:spacing w:line="300" w:lineRule="exact"/>
              <w:jc w:val="left"/>
              <w:outlineLvl w:val="0"/>
              <w:rPr>
                <w:rFonts w:hint="eastAsia" w:ascii="宋体" w:hAnsi="宋体" w:cs="宋体"/>
                <w:sz w:val="20"/>
                <w:szCs w:val="20"/>
              </w:rPr>
            </w:pPr>
          </w:p>
        </w:tc>
        <w:tc>
          <w:tcPr>
            <w:tcW w:w="525"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行政</w:t>
            </w:r>
          </w:p>
        </w:tc>
        <w:tc>
          <w:tcPr>
            <w:tcW w:w="478"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事业</w:t>
            </w:r>
          </w:p>
        </w:tc>
        <w:tc>
          <w:tcPr>
            <w:tcW w:w="453"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行政</w:t>
            </w:r>
          </w:p>
        </w:tc>
        <w:tc>
          <w:tcPr>
            <w:tcW w:w="506"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事业</w:t>
            </w:r>
          </w:p>
        </w:tc>
        <w:tc>
          <w:tcPr>
            <w:tcW w:w="478"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离休</w:t>
            </w:r>
          </w:p>
        </w:tc>
        <w:tc>
          <w:tcPr>
            <w:tcW w:w="456"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退休</w:t>
            </w:r>
          </w:p>
        </w:tc>
        <w:tc>
          <w:tcPr>
            <w:tcW w:w="483"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800"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合    计</w:t>
            </w:r>
          </w:p>
        </w:tc>
        <w:tc>
          <w:tcPr>
            <w:tcW w:w="1260" w:type="dxa"/>
            <w:noWrap w:val="0"/>
            <w:vAlign w:val="center"/>
          </w:tcPr>
          <w:p>
            <w:pPr>
              <w:spacing w:line="300" w:lineRule="exact"/>
              <w:jc w:val="center"/>
              <w:rPr>
                <w:rFonts w:hint="eastAsia" w:ascii="宋体" w:hAnsi="宋体" w:cs="宋体"/>
                <w:b/>
                <w:sz w:val="20"/>
                <w:szCs w:val="20"/>
              </w:rPr>
            </w:pPr>
          </w:p>
        </w:tc>
        <w:tc>
          <w:tcPr>
            <w:tcW w:w="1080" w:type="dxa"/>
            <w:noWrap w:val="0"/>
            <w:vAlign w:val="center"/>
          </w:tcPr>
          <w:p>
            <w:pPr>
              <w:spacing w:line="300" w:lineRule="exact"/>
              <w:jc w:val="center"/>
              <w:rPr>
                <w:rFonts w:hint="eastAsia" w:ascii="宋体" w:hAnsi="宋体" w:cs="宋体"/>
                <w:b/>
                <w:sz w:val="20"/>
                <w:szCs w:val="20"/>
              </w:rPr>
            </w:pPr>
          </w:p>
        </w:tc>
        <w:tc>
          <w:tcPr>
            <w:tcW w:w="1663" w:type="dxa"/>
            <w:noWrap w:val="0"/>
            <w:vAlign w:val="center"/>
          </w:tcPr>
          <w:p>
            <w:pPr>
              <w:spacing w:line="300" w:lineRule="exact"/>
              <w:jc w:val="center"/>
              <w:rPr>
                <w:rFonts w:hint="eastAsia" w:ascii="宋体" w:hAnsi="宋体" w:cs="宋体"/>
                <w:b/>
                <w:sz w:val="20"/>
                <w:szCs w:val="20"/>
              </w:rPr>
            </w:pPr>
          </w:p>
        </w:tc>
        <w:tc>
          <w:tcPr>
            <w:tcW w:w="677"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18</w:t>
            </w:r>
          </w:p>
        </w:tc>
        <w:tc>
          <w:tcPr>
            <w:tcW w:w="525"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81</w:t>
            </w:r>
          </w:p>
        </w:tc>
        <w:tc>
          <w:tcPr>
            <w:tcW w:w="478" w:type="dxa"/>
            <w:noWrap w:val="0"/>
            <w:vAlign w:val="center"/>
          </w:tcPr>
          <w:p>
            <w:pPr>
              <w:spacing w:line="300" w:lineRule="exact"/>
              <w:jc w:val="center"/>
              <w:rPr>
                <w:rFonts w:hint="eastAsia" w:ascii="宋体" w:hAnsi="宋体" w:cs="宋体"/>
                <w:b/>
                <w:sz w:val="20"/>
                <w:szCs w:val="20"/>
              </w:rPr>
            </w:pPr>
          </w:p>
        </w:tc>
        <w:tc>
          <w:tcPr>
            <w:tcW w:w="453" w:type="dxa"/>
            <w:noWrap w:val="0"/>
            <w:vAlign w:val="center"/>
          </w:tcPr>
          <w:p>
            <w:pPr>
              <w:spacing w:line="300" w:lineRule="exact"/>
              <w:jc w:val="center"/>
              <w:rPr>
                <w:rFonts w:hint="eastAsia" w:ascii="宋体" w:hAnsi="宋体" w:eastAsia="宋体" w:cs="宋体"/>
                <w:b/>
                <w:sz w:val="20"/>
                <w:szCs w:val="20"/>
                <w:lang w:eastAsia="zh-CN"/>
              </w:rPr>
            </w:pPr>
            <w:r>
              <w:rPr>
                <w:rFonts w:hint="eastAsia" w:ascii="宋体" w:hAnsi="宋体" w:cs="宋体"/>
                <w:b/>
                <w:sz w:val="20"/>
                <w:szCs w:val="20"/>
              </w:rPr>
              <w:t>7</w:t>
            </w:r>
            <w:r>
              <w:rPr>
                <w:rFonts w:hint="eastAsia" w:ascii="宋体" w:hAnsi="宋体" w:cs="宋体"/>
                <w:b/>
                <w:sz w:val="20"/>
                <w:szCs w:val="20"/>
                <w:lang w:val="en-US" w:eastAsia="zh-CN"/>
              </w:rPr>
              <w:t>9</w:t>
            </w:r>
          </w:p>
        </w:tc>
        <w:tc>
          <w:tcPr>
            <w:tcW w:w="506" w:type="dxa"/>
            <w:noWrap w:val="0"/>
            <w:vAlign w:val="center"/>
          </w:tcPr>
          <w:p>
            <w:pPr>
              <w:spacing w:line="300" w:lineRule="exact"/>
              <w:jc w:val="center"/>
              <w:rPr>
                <w:rFonts w:hint="eastAsia" w:ascii="宋体" w:hAnsi="宋体" w:cs="宋体"/>
                <w:b/>
                <w:sz w:val="20"/>
                <w:szCs w:val="20"/>
              </w:rPr>
            </w:pPr>
          </w:p>
        </w:tc>
        <w:tc>
          <w:tcPr>
            <w:tcW w:w="478" w:type="dxa"/>
            <w:noWrap w:val="0"/>
            <w:vAlign w:val="center"/>
          </w:tcPr>
          <w:p>
            <w:pPr>
              <w:spacing w:line="300" w:lineRule="exact"/>
              <w:jc w:val="center"/>
              <w:rPr>
                <w:rFonts w:hint="eastAsia" w:ascii="宋体" w:hAnsi="宋体" w:cs="宋体"/>
                <w:b/>
                <w:sz w:val="20"/>
                <w:szCs w:val="20"/>
              </w:rPr>
            </w:pPr>
          </w:p>
        </w:tc>
        <w:tc>
          <w:tcPr>
            <w:tcW w:w="456" w:type="dxa"/>
            <w:noWrap w:val="0"/>
            <w:vAlign w:val="center"/>
          </w:tcPr>
          <w:p>
            <w:pPr>
              <w:spacing w:line="300" w:lineRule="exact"/>
              <w:jc w:val="center"/>
              <w:rPr>
                <w:rFonts w:hint="default" w:ascii="宋体" w:hAnsi="宋体" w:eastAsia="宋体" w:cs="宋体"/>
                <w:b/>
                <w:sz w:val="20"/>
                <w:szCs w:val="20"/>
                <w:lang w:val="en-US" w:eastAsia="zh-CN"/>
              </w:rPr>
            </w:pPr>
            <w:r>
              <w:rPr>
                <w:rFonts w:hint="eastAsia" w:ascii="宋体" w:hAnsi="宋体" w:cs="宋体"/>
                <w:b/>
                <w:sz w:val="20"/>
                <w:szCs w:val="20"/>
                <w:lang w:val="en-US" w:eastAsia="zh-CN"/>
              </w:rPr>
              <w:t>43</w:t>
            </w:r>
          </w:p>
        </w:tc>
        <w:tc>
          <w:tcPr>
            <w:tcW w:w="483" w:type="dxa"/>
            <w:noWrap w:val="0"/>
            <w:vAlign w:val="center"/>
          </w:tcPr>
          <w:p>
            <w:pPr>
              <w:spacing w:line="300" w:lineRule="exact"/>
              <w:jc w:val="center"/>
              <w:rPr>
                <w:rFonts w:hint="eastAsia" w:ascii="宋体" w:hAnsi="宋体" w:cs="宋体"/>
                <w:b/>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noWrap w:val="0"/>
            <w:vAlign w:val="center"/>
          </w:tcPr>
          <w:p>
            <w:pPr>
              <w:spacing w:line="300" w:lineRule="exact"/>
              <w:jc w:val="left"/>
              <w:rPr>
                <w:rFonts w:hint="eastAsia" w:ascii="宋体" w:hAnsi="宋体" w:cs="宋体"/>
                <w:sz w:val="20"/>
                <w:szCs w:val="20"/>
              </w:rPr>
            </w:pPr>
            <w:r>
              <w:rPr>
                <w:rFonts w:hint="eastAsia" w:ascii="宋体" w:hAnsi="宋体" w:cs="宋体"/>
                <w:sz w:val="20"/>
                <w:szCs w:val="20"/>
              </w:rPr>
              <w:t>涞水县人民法院</w:t>
            </w:r>
          </w:p>
        </w:tc>
        <w:tc>
          <w:tcPr>
            <w:tcW w:w="1260"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行政</w:t>
            </w:r>
          </w:p>
        </w:tc>
        <w:tc>
          <w:tcPr>
            <w:tcW w:w="1080"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副处级</w:t>
            </w:r>
          </w:p>
        </w:tc>
        <w:tc>
          <w:tcPr>
            <w:tcW w:w="1663"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财政拨款</w:t>
            </w:r>
          </w:p>
        </w:tc>
        <w:tc>
          <w:tcPr>
            <w:tcW w:w="677"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18</w:t>
            </w:r>
          </w:p>
        </w:tc>
        <w:tc>
          <w:tcPr>
            <w:tcW w:w="525"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81</w:t>
            </w:r>
          </w:p>
        </w:tc>
        <w:tc>
          <w:tcPr>
            <w:tcW w:w="478" w:type="dxa"/>
            <w:noWrap w:val="0"/>
            <w:vAlign w:val="center"/>
          </w:tcPr>
          <w:p>
            <w:pPr>
              <w:spacing w:line="300" w:lineRule="exact"/>
              <w:jc w:val="center"/>
              <w:rPr>
                <w:rFonts w:hint="eastAsia" w:ascii="宋体" w:hAnsi="宋体" w:cs="宋体"/>
                <w:sz w:val="20"/>
                <w:szCs w:val="20"/>
              </w:rPr>
            </w:pPr>
          </w:p>
        </w:tc>
        <w:tc>
          <w:tcPr>
            <w:tcW w:w="453" w:type="dxa"/>
            <w:noWrap w:val="0"/>
            <w:vAlign w:val="center"/>
          </w:tcPr>
          <w:p>
            <w:pPr>
              <w:spacing w:line="300" w:lineRule="exact"/>
              <w:jc w:val="center"/>
              <w:rPr>
                <w:rFonts w:hint="eastAsia" w:ascii="宋体" w:hAnsi="宋体" w:eastAsia="宋体" w:cs="宋体"/>
                <w:sz w:val="20"/>
                <w:szCs w:val="20"/>
                <w:lang w:eastAsia="zh-CN"/>
              </w:rPr>
            </w:pPr>
            <w:r>
              <w:rPr>
                <w:rFonts w:hint="eastAsia" w:ascii="宋体" w:hAnsi="宋体" w:cs="宋体"/>
                <w:sz w:val="20"/>
                <w:szCs w:val="20"/>
              </w:rPr>
              <w:t>7</w:t>
            </w:r>
            <w:r>
              <w:rPr>
                <w:rFonts w:hint="eastAsia" w:ascii="宋体" w:hAnsi="宋体" w:cs="宋体"/>
                <w:sz w:val="20"/>
                <w:szCs w:val="20"/>
                <w:lang w:val="en-US" w:eastAsia="zh-CN"/>
              </w:rPr>
              <w:t>9</w:t>
            </w:r>
          </w:p>
        </w:tc>
        <w:tc>
          <w:tcPr>
            <w:tcW w:w="506" w:type="dxa"/>
            <w:noWrap w:val="0"/>
            <w:vAlign w:val="center"/>
          </w:tcPr>
          <w:p>
            <w:pPr>
              <w:spacing w:line="300" w:lineRule="exact"/>
              <w:jc w:val="center"/>
              <w:rPr>
                <w:rFonts w:hint="eastAsia" w:ascii="宋体" w:hAnsi="宋体" w:cs="宋体"/>
                <w:sz w:val="20"/>
                <w:szCs w:val="20"/>
              </w:rPr>
            </w:pPr>
          </w:p>
        </w:tc>
        <w:tc>
          <w:tcPr>
            <w:tcW w:w="478" w:type="dxa"/>
            <w:noWrap w:val="0"/>
            <w:vAlign w:val="center"/>
          </w:tcPr>
          <w:p>
            <w:pPr>
              <w:spacing w:line="300" w:lineRule="exact"/>
              <w:jc w:val="center"/>
              <w:rPr>
                <w:rFonts w:hint="eastAsia" w:ascii="宋体" w:hAnsi="宋体" w:cs="宋体"/>
                <w:sz w:val="20"/>
                <w:szCs w:val="20"/>
              </w:rPr>
            </w:pPr>
          </w:p>
        </w:tc>
        <w:tc>
          <w:tcPr>
            <w:tcW w:w="456" w:type="dxa"/>
            <w:noWrap w:val="0"/>
            <w:vAlign w:val="center"/>
          </w:tcPr>
          <w:p>
            <w:pPr>
              <w:spacing w:line="300" w:lineRule="exact"/>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43</w:t>
            </w:r>
          </w:p>
        </w:tc>
        <w:tc>
          <w:tcPr>
            <w:tcW w:w="483" w:type="dxa"/>
            <w:noWrap w:val="0"/>
            <w:vAlign w:val="center"/>
          </w:tcPr>
          <w:p>
            <w:pPr>
              <w:spacing w:line="300" w:lineRule="exact"/>
              <w:jc w:val="center"/>
              <w:rPr>
                <w:rFonts w:hint="eastAsia" w:ascii="宋体" w:hAnsi="宋体" w:cs="宋体"/>
                <w:sz w:val="20"/>
                <w:szCs w:val="20"/>
              </w:rPr>
            </w:pPr>
          </w:p>
        </w:tc>
      </w:tr>
    </w:tbl>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640" w:firstLineChars="200"/>
        <w:textAlignment w:val="auto"/>
        <w:outlineLvl w:val="0"/>
        <w:rPr>
          <w:rFonts w:hint="eastAsia" w:ascii="黑体" w:hAnsi="黑体" w:eastAsia="黑体" w:cs="黑体"/>
          <w:color w:val="000000"/>
          <w:sz w:val="32"/>
          <w:lang w:val="en-US" w:eastAsia="zh-CN"/>
        </w:rPr>
      </w:pPr>
      <w:bookmarkStart w:id="11" w:name="_Toc20741"/>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640" w:firstLineChars="200"/>
        <w:textAlignment w:val="auto"/>
        <w:outlineLvl w:val="0"/>
        <w:rPr>
          <w:rFonts w:hint="eastAsia" w:ascii="黑体" w:hAnsi="黑体" w:eastAsia="黑体" w:cs="黑体"/>
          <w:color w:val="000000"/>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640" w:firstLineChars="200"/>
        <w:textAlignment w:val="auto"/>
        <w:outlineLvl w:val="0"/>
        <w:rPr>
          <w:rFonts w:hint="eastAsia" w:ascii="黑体" w:hAnsi="黑体" w:eastAsia="黑体" w:cs="黑体"/>
          <w:color w:val="000000"/>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640" w:firstLineChars="200"/>
        <w:textAlignment w:val="auto"/>
        <w:outlineLvl w:val="0"/>
        <w:rPr>
          <w:rFonts w:hint="eastAsia" w:ascii="黑体" w:hAnsi="黑体" w:eastAsia="黑体" w:cs="黑体"/>
          <w:color w:val="000000"/>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643" w:firstLineChars="200"/>
        <w:textAlignment w:val="auto"/>
        <w:outlineLvl w:val="0"/>
        <w:rPr>
          <w:rFonts w:ascii="黑体" w:hAnsi="黑体" w:eastAsia="黑体" w:cs="黑体"/>
          <w:b/>
          <w:bCs/>
          <w:color w:val="000000"/>
          <w:sz w:val="32"/>
        </w:rPr>
      </w:pPr>
      <w:r>
        <w:rPr>
          <w:rFonts w:hint="eastAsia" w:ascii="黑体" w:hAnsi="黑体" w:eastAsia="黑体" w:cs="黑体"/>
          <w:b/>
          <w:bCs/>
          <w:color w:val="000000"/>
          <w:sz w:val="32"/>
          <w:lang w:val="en-US" w:eastAsia="zh-CN"/>
        </w:rPr>
        <w:t>二、</w:t>
      </w:r>
      <w:r>
        <w:rPr>
          <w:rFonts w:ascii="黑体" w:hAnsi="黑体" w:eastAsia="黑体" w:cs="黑体"/>
          <w:b/>
          <w:bCs/>
          <w:color w:val="000000"/>
          <w:sz w:val="32"/>
        </w:rPr>
        <w:t>部门预算安排的总体情况</w:t>
      </w:r>
      <w:bookmarkEnd w:id="11"/>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643" w:firstLineChars="200"/>
        <w:textAlignment w:val="auto"/>
        <w:outlineLvl w:val="2"/>
        <w:rPr>
          <w:rFonts w:hint="eastAsia" w:ascii="仿宋" w:hAnsi="仿宋" w:eastAsia="仿宋" w:cs="仿宋"/>
          <w:b/>
          <w:bCs/>
          <w:sz w:val="32"/>
          <w:szCs w:val="32"/>
        </w:rPr>
      </w:pPr>
      <w:bookmarkStart w:id="12" w:name="_Toc29659"/>
      <w:r>
        <w:rPr>
          <w:rFonts w:hint="eastAsia" w:ascii="仿宋" w:hAnsi="仿宋" w:eastAsia="仿宋" w:cs="仿宋"/>
          <w:b/>
          <w:bCs/>
          <w:sz w:val="32"/>
          <w:szCs w:val="32"/>
        </w:rPr>
        <w:t>按照部门预算管理有关规定，目前我县部门预算的编制实行综合预算制度，即全部收入和支出都反映在预算中，我单位的收支包括在部门预算中。</w:t>
      </w:r>
      <w:bookmarkEnd w:id="12"/>
    </w:p>
    <w:p>
      <w:pPr>
        <w:snapToGrid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（一）收入说明</w:t>
      </w:r>
    </w:p>
    <w:p>
      <w:pPr>
        <w:snapToGrid w:val="0"/>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年我院预算收入总额为</w:t>
      </w:r>
      <w:r>
        <w:rPr>
          <w:rFonts w:hint="eastAsia" w:ascii="仿宋" w:hAnsi="仿宋" w:eastAsia="仿宋" w:cs="仿宋"/>
          <w:b/>
          <w:bCs/>
          <w:sz w:val="32"/>
          <w:szCs w:val="32"/>
          <w:lang w:val="en-US" w:eastAsia="zh-CN"/>
        </w:rPr>
        <w:t>1842.11</w:t>
      </w:r>
      <w:r>
        <w:rPr>
          <w:rFonts w:hint="eastAsia" w:ascii="仿宋" w:hAnsi="仿宋" w:eastAsia="仿宋" w:cs="仿宋"/>
          <w:b/>
          <w:bCs/>
          <w:sz w:val="32"/>
          <w:szCs w:val="32"/>
        </w:rPr>
        <w:t>万元，其中：财政拨款12</w:t>
      </w:r>
      <w:r>
        <w:rPr>
          <w:rFonts w:hint="eastAsia" w:ascii="仿宋" w:hAnsi="仿宋" w:eastAsia="仿宋" w:cs="仿宋"/>
          <w:b/>
          <w:bCs/>
          <w:sz w:val="32"/>
          <w:szCs w:val="32"/>
          <w:lang w:val="en-US" w:eastAsia="zh-CN"/>
        </w:rPr>
        <w:t>18</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万元，行政事业性收费3</w:t>
      </w:r>
      <w:r>
        <w:rPr>
          <w:rFonts w:hint="eastAsia" w:ascii="仿宋" w:hAnsi="仿宋" w:eastAsia="仿宋" w:cs="仿宋"/>
          <w:b/>
          <w:bCs/>
          <w:sz w:val="32"/>
          <w:szCs w:val="32"/>
          <w:lang w:val="en-US" w:eastAsia="zh-CN"/>
        </w:rPr>
        <w:t>84</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0万元，其他</w:t>
      </w:r>
      <w:r>
        <w:rPr>
          <w:rFonts w:hint="eastAsia" w:ascii="仿宋" w:hAnsi="仿宋" w:eastAsia="仿宋" w:cs="仿宋"/>
          <w:b/>
          <w:bCs/>
          <w:sz w:val="32"/>
          <w:szCs w:val="32"/>
          <w:lang w:val="en-US" w:eastAsia="zh-CN"/>
        </w:rPr>
        <w:t>240</w:t>
      </w:r>
      <w:r>
        <w:rPr>
          <w:rFonts w:hint="eastAsia" w:ascii="仿宋" w:hAnsi="仿宋" w:eastAsia="仿宋" w:cs="仿宋"/>
          <w:b/>
          <w:bCs/>
          <w:sz w:val="32"/>
          <w:szCs w:val="32"/>
        </w:rPr>
        <w:t>.00万元。</w:t>
      </w:r>
    </w:p>
    <w:p>
      <w:pPr>
        <w:snapToGrid w:val="0"/>
        <w:spacing w:line="560" w:lineRule="exact"/>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（二）支出说明</w:t>
      </w:r>
    </w:p>
    <w:p>
      <w:pPr>
        <w:snapToGrid w:val="0"/>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收支预算总表</w:t>
      </w:r>
      <w:r>
        <w:rPr>
          <w:rFonts w:hint="eastAsia" w:ascii="仿宋" w:hAnsi="仿宋" w:eastAsia="仿宋" w:cs="仿宋"/>
          <w:b/>
          <w:bCs/>
          <w:sz w:val="32"/>
          <w:szCs w:val="32"/>
          <w:lang w:val="en-US" w:eastAsia="zh-CN"/>
        </w:rPr>
        <w:t>支</w:t>
      </w:r>
      <w:r>
        <w:rPr>
          <w:rFonts w:hint="eastAsia" w:ascii="仿宋" w:hAnsi="仿宋" w:eastAsia="仿宋" w:cs="仿宋"/>
          <w:b/>
          <w:bCs/>
          <w:sz w:val="32"/>
          <w:szCs w:val="32"/>
          <w:lang w:eastAsia="zh-CN"/>
        </w:rPr>
        <w:t>出栏、基本支出表、项目支出表按经济分类和支出功能分类科目编制，反映我</w:t>
      </w:r>
      <w:r>
        <w:rPr>
          <w:rFonts w:hint="eastAsia" w:ascii="仿宋" w:hAnsi="仿宋" w:eastAsia="仿宋" w:cs="仿宋"/>
          <w:b/>
          <w:bCs/>
          <w:sz w:val="32"/>
          <w:szCs w:val="32"/>
          <w:lang w:val="en-US" w:eastAsia="zh-CN"/>
        </w:rPr>
        <w:t>部门</w:t>
      </w:r>
      <w:r>
        <w:rPr>
          <w:rFonts w:hint="eastAsia" w:ascii="仿宋" w:hAnsi="仿宋" w:eastAsia="仿宋" w:cs="仿宋"/>
          <w:b/>
          <w:bCs/>
          <w:sz w:val="32"/>
          <w:szCs w:val="32"/>
          <w:lang w:eastAsia="zh-CN"/>
        </w:rPr>
        <w:t>预算中支出预算的总体情况。</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w:t>
      </w:r>
      <w:r>
        <w:rPr>
          <w:rFonts w:hint="eastAsia" w:ascii="仿宋" w:hAnsi="仿宋" w:eastAsia="仿宋" w:cs="仿宋"/>
          <w:b/>
          <w:bCs/>
          <w:sz w:val="32"/>
          <w:szCs w:val="32"/>
          <w:lang w:eastAsia="zh-CN"/>
        </w:rPr>
        <w:t>涞水县人民法院</w:t>
      </w:r>
      <w:r>
        <w:rPr>
          <w:rFonts w:hint="eastAsia" w:ascii="仿宋" w:hAnsi="仿宋" w:eastAsia="仿宋" w:cs="仿宋"/>
          <w:b/>
          <w:bCs/>
          <w:sz w:val="32"/>
          <w:szCs w:val="32"/>
        </w:rPr>
        <w:t>预算支出</w:t>
      </w:r>
      <w:r>
        <w:rPr>
          <w:rFonts w:hint="eastAsia" w:ascii="仿宋" w:hAnsi="仿宋" w:eastAsia="仿宋" w:cs="仿宋"/>
          <w:b/>
          <w:bCs/>
          <w:sz w:val="32"/>
          <w:szCs w:val="32"/>
          <w:lang w:val="en-US" w:eastAsia="zh-CN"/>
        </w:rPr>
        <w:t>1842.11</w:t>
      </w:r>
      <w:r>
        <w:rPr>
          <w:rFonts w:hint="eastAsia" w:ascii="仿宋" w:hAnsi="仿宋" w:eastAsia="仿宋" w:cs="仿宋"/>
          <w:b/>
          <w:bCs/>
          <w:sz w:val="32"/>
          <w:szCs w:val="32"/>
        </w:rPr>
        <w:t>万元，其中</w:t>
      </w:r>
      <w:r>
        <w:rPr>
          <w:rFonts w:hint="eastAsia" w:ascii="仿宋" w:hAnsi="仿宋" w:eastAsia="仿宋" w:cs="仿宋"/>
          <w:b/>
          <w:bCs/>
          <w:sz w:val="32"/>
          <w:szCs w:val="32"/>
          <w:lang w:eastAsia="zh-CN"/>
        </w:rPr>
        <w:t>基本支出总计</w:t>
      </w:r>
      <w:r>
        <w:rPr>
          <w:rFonts w:hint="eastAsia" w:ascii="仿宋" w:hAnsi="仿宋" w:eastAsia="仿宋" w:cs="仿宋"/>
          <w:b/>
          <w:bCs/>
          <w:sz w:val="32"/>
          <w:szCs w:val="32"/>
          <w:lang w:val="en-US" w:eastAsia="zh-CN"/>
        </w:rPr>
        <w:t>1218.11万元(</w:t>
      </w:r>
      <w:r>
        <w:rPr>
          <w:rFonts w:hint="eastAsia" w:ascii="仿宋" w:hAnsi="仿宋" w:eastAsia="仿宋" w:cs="仿宋"/>
          <w:b/>
          <w:bCs/>
          <w:sz w:val="32"/>
          <w:szCs w:val="32"/>
        </w:rPr>
        <w:t>人员支出9</w:t>
      </w:r>
      <w:r>
        <w:rPr>
          <w:rFonts w:hint="eastAsia" w:ascii="仿宋" w:hAnsi="仿宋" w:eastAsia="仿宋" w:cs="仿宋"/>
          <w:b/>
          <w:bCs/>
          <w:sz w:val="32"/>
          <w:szCs w:val="32"/>
          <w:lang w:val="en-US" w:eastAsia="zh-CN"/>
        </w:rPr>
        <w:t>39.07</w:t>
      </w:r>
      <w:r>
        <w:rPr>
          <w:rFonts w:hint="eastAsia" w:ascii="仿宋" w:hAnsi="仿宋" w:eastAsia="仿宋" w:cs="仿宋"/>
          <w:b/>
          <w:bCs/>
          <w:sz w:val="32"/>
          <w:szCs w:val="32"/>
        </w:rPr>
        <w:t>万元</w:t>
      </w:r>
      <w:r>
        <w:rPr>
          <w:rFonts w:hint="eastAsia" w:ascii="仿宋" w:hAnsi="仿宋" w:eastAsia="仿宋" w:cs="仿宋"/>
          <w:b/>
          <w:bCs/>
          <w:sz w:val="32"/>
          <w:szCs w:val="32"/>
          <w:lang w:eastAsia="zh-CN"/>
        </w:rPr>
        <w:t>、</w:t>
      </w:r>
      <w:r>
        <w:rPr>
          <w:rFonts w:hint="eastAsia" w:ascii="仿宋" w:hAnsi="仿宋" w:eastAsia="仿宋" w:cs="仿宋"/>
          <w:b/>
          <w:bCs/>
          <w:sz w:val="32"/>
          <w:szCs w:val="32"/>
        </w:rPr>
        <w:t>日常公用支出2</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9.</w:t>
      </w:r>
      <w:r>
        <w:rPr>
          <w:rFonts w:hint="eastAsia" w:ascii="仿宋" w:hAnsi="仿宋" w:eastAsia="仿宋" w:cs="仿宋"/>
          <w:b/>
          <w:bCs/>
          <w:sz w:val="32"/>
          <w:szCs w:val="32"/>
          <w:lang w:val="en-US" w:eastAsia="zh-CN"/>
        </w:rPr>
        <w:t>04</w:t>
      </w:r>
      <w:r>
        <w:rPr>
          <w:rFonts w:hint="eastAsia" w:ascii="仿宋" w:hAnsi="仿宋" w:eastAsia="仿宋" w:cs="仿宋"/>
          <w:b/>
          <w:bCs/>
          <w:sz w:val="32"/>
          <w:szCs w:val="32"/>
        </w:rPr>
        <w:t>万元</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专项支出</w:t>
      </w:r>
      <w:r>
        <w:rPr>
          <w:rFonts w:hint="eastAsia" w:ascii="仿宋" w:hAnsi="仿宋" w:eastAsia="仿宋" w:cs="仿宋"/>
          <w:b/>
          <w:bCs/>
          <w:sz w:val="32"/>
          <w:szCs w:val="32"/>
          <w:lang w:val="en-US" w:eastAsia="zh-CN"/>
        </w:rPr>
        <w:t>624.00</w:t>
      </w:r>
      <w:r>
        <w:rPr>
          <w:rFonts w:hint="eastAsia" w:ascii="仿宋" w:hAnsi="仿宋" w:eastAsia="仿宋" w:cs="仿宋"/>
          <w:b/>
          <w:bCs/>
          <w:sz w:val="32"/>
          <w:szCs w:val="32"/>
        </w:rPr>
        <w:t>万元</w:t>
      </w:r>
      <w:r>
        <w:rPr>
          <w:rFonts w:hint="eastAsia" w:ascii="仿宋" w:hAnsi="仿宋" w:eastAsia="仿宋" w:cs="仿宋"/>
          <w:b/>
          <w:bCs/>
          <w:sz w:val="32"/>
          <w:szCs w:val="32"/>
          <w:lang w:eastAsia="zh-CN"/>
        </w:rPr>
        <w:t>（主要包括：诉讼费罚没返还安排的经费支出</w:t>
      </w:r>
      <w:r>
        <w:rPr>
          <w:rFonts w:hint="eastAsia" w:ascii="仿宋" w:hAnsi="仿宋" w:eastAsia="仿宋" w:cs="仿宋"/>
          <w:b/>
          <w:bCs/>
          <w:sz w:val="32"/>
          <w:szCs w:val="32"/>
          <w:lang w:val="en-US" w:eastAsia="zh-CN"/>
        </w:rPr>
        <w:t>624.00万元</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p>
    <w:p>
      <w:pPr>
        <w:snapToGrid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（三）比上年增减情况</w:t>
      </w:r>
    </w:p>
    <w:p>
      <w:pPr>
        <w:snapToGrid w:val="0"/>
        <w:spacing w:line="560" w:lineRule="exact"/>
        <w:ind w:firstLine="643" w:firstLineChars="200"/>
        <w:rPr>
          <w:rFonts w:hint="eastAsia" w:ascii="方正仿宋_GBK" w:hAnsi="方正仿宋_GBK" w:eastAsia="方正仿宋_GBK" w:cs="方正仿宋_GBK"/>
          <w:b/>
          <w:bCs/>
          <w:sz w:val="28"/>
          <w:szCs w:val="28"/>
        </w:rPr>
      </w:pPr>
      <w:r>
        <w:rPr>
          <w:rFonts w:hint="eastAsia" w:ascii="仿宋" w:hAnsi="仿宋" w:eastAsia="仿宋" w:cs="仿宋"/>
          <w:b/>
          <w:bCs/>
          <w:sz w:val="32"/>
          <w:szCs w:val="32"/>
          <w:lang w:val="en-US" w:eastAsia="zh-CN"/>
        </w:rPr>
        <w:t>2022</w:t>
      </w:r>
      <w:r>
        <w:rPr>
          <w:rFonts w:hint="eastAsia" w:ascii="仿宋" w:hAnsi="仿宋" w:eastAsia="仿宋" w:cs="仿宋"/>
          <w:b/>
          <w:bCs/>
          <w:sz w:val="32"/>
          <w:szCs w:val="32"/>
        </w:rPr>
        <w:t>年度预算收支安排</w:t>
      </w:r>
      <w:r>
        <w:rPr>
          <w:rFonts w:hint="eastAsia" w:ascii="仿宋" w:hAnsi="仿宋" w:eastAsia="仿宋" w:cs="仿宋"/>
          <w:b/>
          <w:bCs/>
          <w:sz w:val="32"/>
          <w:szCs w:val="32"/>
          <w:lang w:val="en-US" w:eastAsia="zh-CN"/>
        </w:rPr>
        <w:t>1842.11</w:t>
      </w:r>
      <w:r>
        <w:rPr>
          <w:rFonts w:hint="eastAsia" w:ascii="仿宋" w:hAnsi="仿宋" w:eastAsia="仿宋" w:cs="仿宋"/>
          <w:b/>
          <w:bCs/>
          <w:sz w:val="32"/>
          <w:szCs w:val="32"/>
        </w:rPr>
        <w:t>万元，较上年</w:t>
      </w:r>
      <w:r>
        <w:rPr>
          <w:rFonts w:hint="eastAsia" w:ascii="仿宋" w:hAnsi="仿宋" w:eastAsia="仿宋" w:cs="仿宋"/>
          <w:b/>
          <w:bCs/>
          <w:sz w:val="32"/>
          <w:szCs w:val="32"/>
          <w:lang w:val="en-US" w:eastAsia="zh-CN"/>
        </w:rPr>
        <w:t>减少144.33</w:t>
      </w:r>
      <w:r>
        <w:rPr>
          <w:rFonts w:hint="eastAsia" w:ascii="仿宋" w:hAnsi="仿宋" w:eastAsia="仿宋" w:cs="仿宋"/>
          <w:b/>
          <w:bCs/>
          <w:sz w:val="32"/>
          <w:szCs w:val="32"/>
        </w:rPr>
        <w:t>万元。</w:t>
      </w:r>
      <w:r>
        <w:rPr>
          <w:rFonts w:hint="eastAsia" w:ascii="仿宋" w:hAnsi="仿宋" w:eastAsia="仿宋" w:cs="仿宋"/>
          <w:b/>
          <w:bCs/>
          <w:sz w:val="32"/>
          <w:szCs w:val="32"/>
          <w:lang w:val="en-US" w:eastAsia="zh-CN"/>
        </w:rPr>
        <w:t>2021年我部门基本支出为1165.75万元，2022年比2021年增加了52.36万元，主要增加变动原因为人员工资调整，新增公务员工资落实；项目支出2021年是820.69万元，2022年比2021年减少了196.69万元，主要增加变动原因是上级转移支付资金的变化。</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0"/>
        <w:rPr>
          <w:b/>
          <w:bCs/>
        </w:rPr>
      </w:pPr>
      <w:bookmarkStart w:id="13" w:name="_Toc29633"/>
      <w:r>
        <w:rPr>
          <w:rFonts w:ascii="黑体" w:hAnsi="黑体" w:eastAsia="黑体" w:cs="黑体"/>
          <w:b/>
          <w:bCs/>
          <w:color w:val="000000"/>
          <w:sz w:val="32"/>
        </w:rPr>
        <w:t>三、机关运行经费安排情况</w:t>
      </w:r>
      <w:bookmarkEnd w:id="13"/>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rPr>
          <w:rFonts w:hint="eastAsia" w:ascii="方正仿宋_GBK" w:hAnsi="方正仿宋_GBK" w:eastAsia="方正仿宋_GBK" w:cs="方正仿宋_GBK"/>
          <w:b/>
          <w:bCs/>
          <w:sz w:val="28"/>
          <w:szCs w:val="28"/>
        </w:rPr>
      </w:pPr>
      <w:r>
        <w:rPr>
          <w:rFonts w:hint="eastAsia" w:ascii="仿宋" w:hAnsi="仿宋" w:eastAsia="仿宋" w:cs="仿宋"/>
          <w:b/>
          <w:bCs/>
          <w:sz w:val="32"/>
          <w:szCs w:val="32"/>
        </w:rPr>
        <w:t>我院部门预算安排财政拨款支出主要用于保障该部门机构正常运转、完成日常工作任务以及法院事业发展相关工作。</w:t>
      </w:r>
      <w:r>
        <w:rPr>
          <w:rFonts w:hint="eastAsia" w:ascii="仿宋" w:hAnsi="仿宋" w:eastAsia="仿宋" w:cs="仿宋"/>
          <w:b/>
          <w:bCs/>
          <w:sz w:val="32"/>
          <w:szCs w:val="32"/>
          <w:lang w:val="en-US" w:eastAsia="zh-CN"/>
        </w:rPr>
        <w:t>日</w:t>
      </w:r>
      <w:r>
        <w:rPr>
          <w:rFonts w:hint="eastAsia" w:ascii="仿宋" w:hAnsi="仿宋" w:eastAsia="仿宋" w:cs="仿宋"/>
          <w:b/>
          <w:bCs/>
          <w:sz w:val="32"/>
          <w:szCs w:val="32"/>
        </w:rPr>
        <w:t>常公用经费</w:t>
      </w:r>
      <w:r>
        <w:rPr>
          <w:rFonts w:hint="eastAsia" w:ascii="仿宋" w:hAnsi="仿宋" w:eastAsia="仿宋" w:cs="仿宋"/>
          <w:b/>
          <w:bCs/>
          <w:sz w:val="32"/>
          <w:szCs w:val="32"/>
          <w:lang w:val="en-US" w:eastAsia="zh-CN"/>
        </w:rPr>
        <w:t>279.04</w:t>
      </w:r>
      <w:r>
        <w:rPr>
          <w:rFonts w:hint="eastAsia" w:ascii="仿宋" w:hAnsi="仿宋" w:eastAsia="仿宋" w:cs="仿宋"/>
          <w:b/>
          <w:bCs/>
          <w:sz w:val="32"/>
          <w:szCs w:val="32"/>
        </w:rPr>
        <w:t>万元，其中：部门办公费</w:t>
      </w:r>
      <w:r>
        <w:rPr>
          <w:rFonts w:hint="eastAsia" w:ascii="仿宋" w:hAnsi="仿宋" w:eastAsia="仿宋" w:cs="仿宋"/>
          <w:b/>
          <w:bCs/>
          <w:sz w:val="32"/>
          <w:szCs w:val="32"/>
          <w:lang w:val="en-US" w:eastAsia="zh-CN"/>
        </w:rPr>
        <w:t>74.52</w:t>
      </w:r>
      <w:r>
        <w:rPr>
          <w:rFonts w:hint="eastAsia" w:ascii="仿宋" w:hAnsi="仿宋" w:eastAsia="仿宋" w:cs="仿宋"/>
          <w:b/>
          <w:bCs/>
          <w:sz w:val="32"/>
          <w:szCs w:val="32"/>
        </w:rPr>
        <w:t>万元，邮电费0.36万元，取暖费7.41万元，差旅费</w:t>
      </w:r>
      <w:r>
        <w:rPr>
          <w:rFonts w:hint="eastAsia" w:ascii="仿宋" w:hAnsi="仿宋" w:eastAsia="仿宋" w:cs="仿宋"/>
          <w:b/>
          <w:bCs/>
          <w:sz w:val="32"/>
          <w:szCs w:val="32"/>
          <w:lang w:val="en-US" w:eastAsia="zh-CN"/>
        </w:rPr>
        <w:t>8.00</w:t>
      </w:r>
      <w:r>
        <w:rPr>
          <w:rFonts w:hint="eastAsia" w:ascii="仿宋" w:hAnsi="仿宋" w:eastAsia="仿宋" w:cs="仿宋"/>
          <w:b/>
          <w:bCs/>
          <w:sz w:val="32"/>
          <w:szCs w:val="32"/>
        </w:rPr>
        <w:t>万元，公务接待费0.</w:t>
      </w:r>
      <w:r>
        <w:rPr>
          <w:rFonts w:hint="eastAsia" w:ascii="仿宋" w:hAnsi="仿宋" w:eastAsia="仿宋" w:cs="仿宋"/>
          <w:b/>
          <w:bCs/>
          <w:sz w:val="32"/>
          <w:szCs w:val="32"/>
          <w:lang w:val="en-US" w:eastAsia="zh-CN"/>
        </w:rPr>
        <w:t>05</w:t>
      </w:r>
      <w:r>
        <w:rPr>
          <w:rFonts w:hint="eastAsia" w:ascii="仿宋" w:hAnsi="仿宋" w:eastAsia="仿宋" w:cs="仿宋"/>
          <w:b/>
          <w:bCs/>
          <w:sz w:val="32"/>
          <w:szCs w:val="32"/>
        </w:rPr>
        <w:t>万元，劳务费8</w:t>
      </w:r>
      <w:r>
        <w:rPr>
          <w:rFonts w:hint="eastAsia" w:ascii="仿宋" w:hAnsi="仿宋" w:eastAsia="仿宋" w:cs="仿宋"/>
          <w:b/>
          <w:bCs/>
          <w:sz w:val="32"/>
          <w:szCs w:val="32"/>
          <w:lang w:val="en-US" w:eastAsia="zh-CN"/>
        </w:rPr>
        <w:t>3.52</w:t>
      </w:r>
      <w:r>
        <w:rPr>
          <w:rFonts w:hint="eastAsia" w:ascii="仿宋" w:hAnsi="仿宋" w:eastAsia="仿宋" w:cs="仿宋"/>
          <w:b/>
          <w:bCs/>
          <w:sz w:val="32"/>
          <w:szCs w:val="32"/>
        </w:rPr>
        <w:t>万元，公务用车运行维护费36.00万元，公务交通补贴48.</w:t>
      </w:r>
      <w:r>
        <w:rPr>
          <w:rFonts w:hint="eastAsia" w:ascii="仿宋" w:hAnsi="仿宋" w:eastAsia="仿宋" w:cs="仿宋"/>
          <w:b/>
          <w:bCs/>
          <w:sz w:val="32"/>
          <w:szCs w:val="32"/>
          <w:lang w:val="en-US" w:eastAsia="zh-CN"/>
        </w:rPr>
        <w:t>95</w:t>
      </w:r>
      <w:r>
        <w:rPr>
          <w:rFonts w:hint="eastAsia" w:ascii="仿宋" w:hAnsi="仿宋" w:eastAsia="仿宋" w:cs="仿宋"/>
          <w:b/>
          <w:bCs/>
          <w:sz w:val="32"/>
          <w:szCs w:val="32"/>
        </w:rPr>
        <w:t>万元，离退休人员公用经费1.</w:t>
      </w:r>
      <w:r>
        <w:rPr>
          <w:rFonts w:hint="eastAsia" w:ascii="仿宋" w:hAnsi="仿宋" w:eastAsia="仿宋" w:cs="仿宋"/>
          <w:b/>
          <w:bCs/>
          <w:sz w:val="32"/>
          <w:szCs w:val="32"/>
          <w:lang w:val="en-US" w:eastAsia="zh-CN"/>
        </w:rPr>
        <w:t>72</w:t>
      </w:r>
      <w:r>
        <w:rPr>
          <w:rFonts w:hint="eastAsia" w:ascii="仿宋" w:hAnsi="仿宋" w:eastAsia="仿宋" w:cs="仿宋"/>
          <w:b/>
          <w:bCs/>
          <w:sz w:val="32"/>
          <w:szCs w:val="32"/>
        </w:rPr>
        <w:t>万元，工会经费5.</w:t>
      </w:r>
      <w:r>
        <w:rPr>
          <w:rFonts w:hint="eastAsia" w:ascii="仿宋" w:hAnsi="仿宋" w:eastAsia="仿宋" w:cs="仿宋"/>
          <w:b/>
          <w:bCs/>
          <w:sz w:val="32"/>
          <w:szCs w:val="32"/>
          <w:lang w:val="en-US" w:eastAsia="zh-CN"/>
        </w:rPr>
        <w:t>99</w:t>
      </w:r>
      <w:r>
        <w:rPr>
          <w:rFonts w:hint="eastAsia" w:ascii="仿宋" w:hAnsi="仿宋" w:eastAsia="仿宋" w:cs="仿宋"/>
          <w:b/>
          <w:bCs/>
          <w:sz w:val="32"/>
          <w:szCs w:val="32"/>
        </w:rPr>
        <w:t>万元，</w:t>
      </w:r>
      <w:r>
        <w:rPr>
          <w:rFonts w:hint="eastAsia" w:ascii="仿宋" w:hAnsi="仿宋" w:eastAsia="仿宋" w:cs="仿宋"/>
          <w:b/>
          <w:bCs/>
          <w:sz w:val="32"/>
          <w:szCs w:val="32"/>
          <w:lang w:eastAsia="zh-CN"/>
        </w:rPr>
        <w:t>职工福利费</w:t>
      </w:r>
      <w:r>
        <w:rPr>
          <w:rFonts w:hint="eastAsia" w:ascii="仿宋" w:hAnsi="仿宋" w:eastAsia="仿宋" w:cs="仿宋"/>
          <w:b/>
          <w:bCs/>
          <w:sz w:val="32"/>
          <w:szCs w:val="32"/>
          <w:lang w:val="en-US" w:eastAsia="zh-CN"/>
        </w:rPr>
        <w:t>12.52</w:t>
      </w:r>
      <w:r>
        <w:rPr>
          <w:rFonts w:hint="eastAsia" w:ascii="仿宋" w:hAnsi="仿宋" w:eastAsia="仿宋" w:cs="仿宋"/>
          <w:b/>
          <w:bCs/>
          <w:sz w:val="32"/>
          <w:szCs w:val="32"/>
        </w:rPr>
        <w:t>万元。</w:t>
      </w:r>
    </w:p>
    <w:p>
      <w:pPr>
        <w:numPr>
          <w:ilvl w:val="0"/>
          <w:numId w:val="0"/>
        </w:numPr>
        <w:spacing w:before="10" w:after="10" w:line="360" w:lineRule="auto"/>
        <w:ind w:left="640" w:leftChars="0"/>
        <w:outlineLvl w:val="0"/>
        <w:rPr>
          <w:rFonts w:hint="eastAsia" w:ascii="黑体" w:hAnsi="黑体" w:eastAsia="黑体" w:cs="黑体"/>
          <w:b/>
          <w:bCs/>
          <w:color w:val="000000"/>
          <w:sz w:val="32"/>
        </w:rPr>
      </w:pPr>
      <w:bookmarkStart w:id="14" w:name="_Toc2176"/>
      <w:r>
        <w:rPr>
          <w:rFonts w:hint="eastAsia" w:ascii="黑体" w:hAnsi="黑体" w:eastAsia="黑体" w:cs="黑体"/>
          <w:b/>
          <w:bCs/>
          <w:color w:val="000000"/>
          <w:sz w:val="32"/>
          <w:lang w:val="en-US" w:eastAsia="zh-CN"/>
        </w:rPr>
        <w:t>四、</w:t>
      </w:r>
      <w:r>
        <w:rPr>
          <w:rFonts w:hint="eastAsia" w:ascii="黑体" w:hAnsi="黑体" w:eastAsia="黑体" w:cs="黑体"/>
          <w:b/>
          <w:bCs/>
          <w:color w:val="000000"/>
          <w:sz w:val="32"/>
        </w:rPr>
        <w:t>财政拨款“三公”经费预算情况及增减变化原因</w:t>
      </w:r>
      <w:bookmarkEnd w:id="14"/>
    </w:p>
    <w:tbl>
      <w:tblPr>
        <w:tblStyle w:val="9"/>
        <w:tblpPr w:leftFromText="180" w:rightFromText="180" w:vertAnchor="text" w:horzAnchor="page" w:tblpX="3603" w:tblpY="1783"/>
        <w:tblOverlap w:val="never"/>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36</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w:t>
            </w:r>
            <w:r>
              <w:rPr>
                <w:rFonts w:hint="eastAsia" w:ascii="仿宋_GB2312" w:hAnsi="宋体" w:eastAsia="仿宋_GB2312"/>
                <w:lang w:val="en-US" w:eastAsia="zh-CN"/>
              </w:rPr>
              <w:t>0.25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宋体" w:hAnsi="宋体" w:cs="宋体"/>
                <w:sz w:val="20"/>
                <w:szCs w:val="20"/>
              </w:rPr>
              <w:t>进一步压减不必要支出，落实中央规定</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36.30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36.05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宋体" w:hAnsi="宋体" w:cs="宋体"/>
                <w:sz w:val="20"/>
                <w:szCs w:val="20"/>
              </w:rPr>
              <w:t>进一步压减不必要支出，落实中央规定</w:t>
            </w:r>
          </w:p>
        </w:tc>
      </w:tr>
    </w:tbl>
    <w:p>
      <w:pPr>
        <w:spacing w:line="560" w:lineRule="exact"/>
        <w:ind w:firstLine="643" w:firstLineChars="200"/>
        <w:outlineLvl w:val="0"/>
        <w:rPr>
          <w:rFonts w:hint="eastAsia" w:ascii="仿宋" w:hAnsi="仿宋" w:eastAsia="仿宋"/>
          <w:b/>
          <w:bCs/>
          <w:sz w:val="32"/>
          <w:szCs w:val="32"/>
        </w:rPr>
      </w:pPr>
      <w:r>
        <w:rPr>
          <w:rFonts w:hint="eastAsia" w:ascii="仿宋" w:hAnsi="仿宋" w:eastAsia="仿宋"/>
          <w:b/>
          <w:bCs/>
          <w:sz w:val="32"/>
          <w:szCs w:val="32"/>
        </w:rPr>
        <w:t>2</w:t>
      </w:r>
      <w:r>
        <w:rPr>
          <w:rFonts w:ascii="仿宋" w:hAnsi="仿宋" w:eastAsia="仿宋"/>
          <w:b/>
          <w:bCs/>
          <w:sz w:val="32"/>
          <w:szCs w:val="32"/>
        </w:rPr>
        <w:t>0</w:t>
      </w:r>
      <w:r>
        <w:rPr>
          <w:rFonts w:hint="eastAsia" w:ascii="仿宋" w:hAnsi="仿宋" w:eastAsia="仿宋"/>
          <w:b/>
          <w:bCs/>
          <w:sz w:val="32"/>
          <w:szCs w:val="32"/>
        </w:rPr>
        <w:t>2</w:t>
      </w:r>
      <w:r>
        <w:rPr>
          <w:rFonts w:hint="eastAsia" w:ascii="仿宋" w:hAnsi="仿宋" w:eastAsia="仿宋"/>
          <w:b/>
          <w:bCs/>
          <w:sz w:val="32"/>
          <w:szCs w:val="32"/>
          <w:lang w:val="en-US" w:eastAsia="zh-CN"/>
        </w:rPr>
        <w:t>2</w:t>
      </w:r>
      <w:r>
        <w:rPr>
          <w:rFonts w:hint="eastAsia" w:ascii="仿宋" w:hAnsi="仿宋" w:eastAsia="仿宋"/>
          <w:b/>
          <w:bCs/>
          <w:sz w:val="32"/>
          <w:szCs w:val="32"/>
        </w:rPr>
        <w:t>年我院安排“三公经费”预算36</w:t>
      </w:r>
      <w:r>
        <w:rPr>
          <w:rFonts w:ascii="仿宋" w:hAnsi="仿宋" w:eastAsia="仿宋"/>
          <w:b/>
          <w:bCs/>
          <w:sz w:val="32"/>
          <w:szCs w:val="32"/>
        </w:rPr>
        <w:t>.</w:t>
      </w:r>
      <w:r>
        <w:rPr>
          <w:rFonts w:hint="eastAsia" w:ascii="仿宋" w:hAnsi="仿宋" w:eastAsia="仿宋"/>
          <w:b/>
          <w:bCs/>
          <w:sz w:val="32"/>
          <w:szCs w:val="32"/>
          <w:lang w:val="en-US" w:eastAsia="zh-CN"/>
        </w:rPr>
        <w:t>05</w:t>
      </w:r>
      <w:r>
        <w:rPr>
          <w:rFonts w:hint="eastAsia" w:ascii="仿宋" w:hAnsi="仿宋" w:eastAsia="仿宋"/>
          <w:b/>
          <w:bCs/>
          <w:sz w:val="32"/>
          <w:szCs w:val="32"/>
        </w:rPr>
        <w:t>万元，严格落实“三公经费”管理办法以及中央八项规定。其中，2</w:t>
      </w:r>
      <w:r>
        <w:rPr>
          <w:rFonts w:ascii="仿宋" w:hAnsi="仿宋" w:eastAsia="仿宋"/>
          <w:b/>
          <w:bCs/>
          <w:sz w:val="32"/>
          <w:szCs w:val="32"/>
        </w:rPr>
        <w:t>0</w:t>
      </w:r>
      <w:r>
        <w:rPr>
          <w:rFonts w:hint="eastAsia" w:ascii="仿宋" w:hAnsi="仿宋" w:eastAsia="仿宋"/>
          <w:b/>
          <w:bCs/>
          <w:sz w:val="32"/>
          <w:szCs w:val="32"/>
        </w:rPr>
        <w:t>2</w:t>
      </w:r>
      <w:r>
        <w:rPr>
          <w:rFonts w:hint="eastAsia" w:ascii="仿宋" w:hAnsi="仿宋" w:eastAsia="仿宋"/>
          <w:b/>
          <w:bCs/>
          <w:sz w:val="32"/>
          <w:szCs w:val="32"/>
          <w:lang w:val="en-US" w:eastAsia="zh-CN"/>
        </w:rPr>
        <w:t>2</w:t>
      </w:r>
      <w:r>
        <w:rPr>
          <w:rFonts w:hint="eastAsia" w:ascii="仿宋" w:hAnsi="仿宋" w:eastAsia="仿宋"/>
          <w:b/>
          <w:bCs/>
          <w:sz w:val="32"/>
          <w:szCs w:val="32"/>
        </w:rPr>
        <w:t>年公务用车运行维护费3</w:t>
      </w:r>
      <w:r>
        <w:rPr>
          <w:rFonts w:ascii="仿宋" w:hAnsi="仿宋" w:eastAsia="仿宋"/>
          <w:b/>
          <w:bCs/>
          <w:sz w:val="32"/>
          <w:szCs w:val="32"/>
        </w:rPr>
        <w:t>6</w:t>
      </w:r>
      <w:r>
        <w:rPr>
          <w:rFonts w:hint="eastAsia" w:ascii="仿宋" w:hAnsi="仿宋" w:eastAsia="仿宋"/>
          <w:b/>
          <w:bCs/>
          <w:sz w:val="32"/>
          <w:szCs w:val="32"/>
        </w:rPr>
        <w:t>万元，与2</w:t>
      </w:r>
      <w:r>
        <w:rPr>
          <w:rFonts w:ascii="仿宋" w:hAnsi="仿宋" w:eastAsia="仿宋"/>
          <w:b/>
          <w:bCs/>
          <w:sz w:val="32"/>
          <w:szCs w:val="32"/>
        </w:rPr>
        <w:t>0</w:t>
      </w:r>
      <w:r>
        <w:rPr>
          <w:rFonts w:hint="eastAsia" w:ascii="仿宋" w:hAnsi="仿宋" w:eastAsia="仿宋"/>
          <w:b/>
          <w:bCs/>
          <w:sz w:val="32"/>
          <w:szCs w:val="32"/>
        </w:rPr>
        <w:t>2</w:t>
      </w:r>
      <w:r>
        <w:rPr>
          <w:rFonts w:hint="eastAsia" w:ascii="仿宋" w:hAnsi="仿宋" w:eastAsia="仿宋"/>
          <w:b/>
          <w:bCs/>
          <w:sz w:val="32"/>
          <w:szCs w:val="32"/>
          <w:lang w:val="en-US" w:eastAsia="zh-CN"/>
        </w:rPr>
        <w:t>1</w:t>
      </w:r>
      <w:r>
        <w:rPr>
          <w:rFonts w:hint="eastAsia" w:ascii="仿宋" w:hAnsi="仿宋" w:eastAsia="仿宋"/>
          <w:b/>
          <w:bCs/>
          <w:sz w:val="32"/>
          <w:szCs w:val="32"/>
        </w:rPr>
        <w:t>年相比无变化；2</w:t>
      </w:r>
      <w:r>
        <w:rPr>
          <w:rFonts w:ascii="仿宋" w:hAnsi="仿宋" w:eastAsia="仿宋"/>
          <w:b/>
          <w:bCs/>
          <w:sz w:val="32"/>
          <w:szCs w:val="32"/>
        </w:rPr>
        <w:t>0</w:t>
      </w:r>
      <w:r>
        <w:rPr>
          <w:rFonts w:hint="eastAsia" w:ascii="仿宋" w:hAnsi="仿宋" w:eastAsia="仿宋"/>
          <w:b/>
          <w:bCs/>
          <w:sz w:val="32"/>
          <w:szCs w:val="32"/>
        </w:rPr>
        <w:t>21年公务接待费0</w:t>
      </w:r>
      <w:r>
        <w:rPr>
          <w:rFonts w:ascii="仿宋" w:hAnsi="仿宋" w:eastAsia="仿宋"/>
          <w:b/>
          <w:bCs/>
          <w:sz w:val="32"/>
          <w:szCs w:val="32"/>
        </w:rPr>
        <w:t>.</w:t>
      </w:r>
      <w:r>
        <w:rPr>
          <w:rFonts w:hint="eastAsia" w:ascii="仿宋" w:hAnsi="仿宋" w:eastAsia="仿宋"/>
          <w:b/>
          <w:bCs/>
          <w:sz w:val="32"/>
          <w:szCs w:val="32"/>
          <w:lang w:val="en-US" w:eastAsia="zh-CN"/>
        </w:rPr>
        <w:t>05</w:t>
      </w:r>
      <w:r>
        <w:rPr>
          <w:rFonts w:hint="eastAsia" w:ascii="仿宋" w:hAnsi="仿宋" w:eastAsia="仿宋"/>
          <w:b/>
          <w:bCs/>
          <w:sz w:val="32"/>
          <w:szCs w:val="32"/>
        </w:rPr>
        <w:t>万元（预计</w:t>
      </w:r>
      <w:r>
        <w:rPr>
          <w:rFonts w:hint="eastAsia" w:ascii="仿宋" w:hAnsi="仿宋" w:eastAsia="仿宋"/>
          <w:b/>
          <w:bCs/>
          <w:sz w:val="32"/>
          <w:szCs w:val="32"/>
          <w:lang w:val="en-US" w:eastAsia="zh-CN"/>
        </w:rPr>
        <w:t>2</w:t>
      </w:r>
      <w:r>
        <w:rPr>
          <w:rFonts w:hint="eastAsia" w:ascii="仿宋" w:hAnsi="仿宋" w:eastAsia="仿宋"/>
          <w:b/>
          <w:bCs/>
          <w:sz w:val="32"/>
          <w:szCs w:val="32"/>
        </w:rPr>
        <w:t>批，</w:t>
      </w:r>
      <w:r>
        <w:rPr>
          <w:rFonts w:hint="eastAsia" w:ascii="仿宋" w:hAnsi="仿宋" w:eastAsia="仿宋"/>
          <w:b/>
          <w:bCs/>
          <w:sz w:val="32"/>
          <w:szCs w:val="32"/>
          <w:lang w:val="en-US" w:eastAsia="zh-CN"/>
        </w:rPr>
        <w:t>15</w:t>
      </w:r>
      <w:r>
        <w:rPr>
          <w:rFonts w:hint="eastAsia" w:ascii="仿宋" w:hAnsi="仿宋" w:eastAsia="仿宋"/>
          <w:b/>
          <w:bCs/>
          <w:sz w:val="32"/>
          <w:szCs w:val="32"/>
        </w:rPr>
        <w:t>人次），与2</w:t>
      </w:r>
      <w:r>
        <w:rPr>
          <w:rFonts w:ascii="仿宋" w:hAnsi="仿宋" w:eastAsia="仿宋"/>
          <w:b/>
          <w:bCs/>
          <w:sz w:val="32"/>
          <w:szCs w:val="32"/>
        </w:rPr>
        <w:t>0</w:t>
      </w:r>
      <w:r>
        <w:rPr>
          <w:rFonts w:hint="eastAsia" w:ascii="仿宋" w:hAnsi="仿宋" w:eastAsia="仿宋"/>
          <w:b/>
          <w:bCs/>
          <w:sz w:val="32"/>
          <w:szCs w:val="32"/>
        </w:rPr>
        <w:t>2</w:t>
      </w:r>
      <w:r>
        <w:rPr>
          <w:rFonts w:hint="eastAsia" w:ascii="仿宋" w:hAnsi="仿宋" w:eastAsia="仿宋"/>
          <w:b/>
          <w:bCs/>
          <w:sz w:val="32"/>
          <w:szCs w:val="32"/>
          <w:lang w:val="en-US" w:eastAsia="zh-CN"/>
        </w:rPr>
        <w:t>1</w:t>
      </w:r>
      <w:r>
        <w:rPr>
          <w:rFonts w:hint="eastAsia" w:ascii="仿宋" w:hAnsi="仿宋" w:eastAsia="仿宋"/>
          <w:b/>
          <w:bCs/>
          <w:sz w:val="32"/>
          <w:szCs w:val="32"/>
        </w:rPr>
        <w:t>年相比减少0.</w:t>
      </w:r>
      <w:r>
        <w:rPr>
          <w:rFonts w:hint="eastAsia" w:ascii="仿宋" w:hAnsi="仿宋" w:eastAsia="仿宋"/>
          <w:b/>
          <w:bCs/>
          <w:sz w:val="32"/>
          <w:szCs w:val="32"/>
          <w:lang w:val="en-US" w:eastAsia="zh-CN"/>
        </w:rPr>
        <w:t>2</w:t>
      </w:r>
      <w:r>
        <w:rPr>
          <w:rFonts w:hint="eastAsia" w:ascii="仿宋" w:hAnsi="仿宋" w:eastAsia="仿宋"/>
          <w:b/>
          <w:bCs/>
          <w:sz w:val="32"/>
          <w:szCs w:val="32"/>
        </w:rPr>
        <w:t>5万元；因公出国经费无；公务用车购置经费无。</w:t>
      </w:r>
    </w:p>
    <w:p>
      <w:pPr>
        <w:pStyle w:val="25"/>
      </w:pPr>
    </w:p>
    <w:p>
      <w:pPr>
        <w:spacing w:before="10" w:after="10" w:line="360" w:lineRule="auto"/>
        <w:ind w:firstLine="640"/>
        <w:outlineLvl w:val="9"/>
        <w:rPr>
          <w:rFonts w:ascii="黑体" w:hAnsi="黑体" w:eastAsia="黑体" w:cs="黑体"/>
          <w:color w:val="000000"/>
          <w:sz w:val="32"/>
        </w:rPr>
      </w:pPr>
    </w:p>
    <w:p>
      <w:pPr>
        <w:spacing w:before="10" w:after="10" w:line="360" w:lineRule="auto"/>
        <w:ind w:firstLine="640"/>
        <w:outlineLvl w:val="9"/>
        <w:rPr>
          <w:rFonts w:ascii="黑体" w:hAnsi="黑体" w:eastAsia="黑体" w:cs="黑体"/>
          <w:color w:val="000000"/>
          <w:sz w:val="32"/>
        </w:rPr>
      </w:pPr>
    </w:p>
    <w:p>
      <w:pPr>
        <w:spacing w:before="10" w:after="10" w:line="360" w:lineRule="auto"/>
        <w:ind w:firstLine="640"/>
        <w:outlineLvl w:val="9"/>
        <w:rPr>
          <w:rFonts w:ascii="黑体" w:hAnsi="黑体" w:eastAsia="黑体" w:cs="黑体"/>
          <w:color w:val="000000"/>
          <w:sz w:val="32"/>
        </w:rPr>
      </w:pPr>
    </w:p>
    <w:p>
      <w:pPr>
        <w:spacing w:before="10" w:after="10" w:line="360" w:lineRule="auto"/>
        <w:ind w:firstLine="640"/>
        <w:outlineLvl w:val="9"/>
        <w:rPr>
          <w:rFonts w:ascii="黑体" w:hAnsi="黑体" w:eastAsia="黑体" w:cs="黑体"/>
          <w:color w:val="000000"/>
          <w:sz w:val="32"/>
        </w:rPr>
      </w:pPr>
    </w:p>
    <w:p>
      <w:pPr>
        <w:spacing w:before="10" w:after="10" w:line="360" w:lineRule="auto"/>
        <w:ind w:firstLine="640"/>
        <w:outlineLvl w:val="9"/>
        <w:rPr>
          <w:rFonts w:ascii="黑体" w:hAnsi="黑体" w:eastAsia="黑体" w:cs="黑体"/>
          <w:color w:val="000000"/>
          <w:sz w:val="32"/>
        </w:rPr>
      </w:pPr>
    </w:p>
    <w:p>
      <w:pPr>
        <w:spacing w:before="10" w:after="10" w:line="360" w:lineRule="auto"/>
        <w:ind w:firstLine="640"/>
        <w:outlineLvl w:val="9"/>
        <w:rPr>
          <w:rFonts w:ascii="黑体" w:hAnsi="黑体" w:eastAsia="黑体" w:cs="黑体"/>
          <w:color w:val="000000"/>
          <w:sz w:val="32"/>
        </w:rPr>
      </w:pPr>
    </w:p>
    <w:p>
      <w:pPr>
        <w:spacing w:before="10" w:after="10" w:line="360" w:lineRule="auto"/>
        <w:ind w:firstLine="640"/>
        <w:outlineLvl w:val="0"/>
        <w:rPr>
          <w:rFonts w:hint="eastAsia" w:ascii="方正新楷体_GBK" w:hAnsi="方正新楷体_GBK" w:cs="方正新楷体_GBK" w:eastAsiaTheme="minorEastAsia"/>
          <w:b/>
          <w:bCs/>
          <w:color w:val="000000"/>
          <w:sz w:val="32"/>
          <w:lang w:eastAsia="zh-CN"/>
        </w:rPr>
      </w:pPr>
      <w:bookmarkStart w:id="15" w:name="_Toc6364"/>
      <w:r>
        <w:rPr>
          <w:rFonts w:ascii="黑体" w:hAnsi="黑体" w:eastAsia="黑体" w:cs="黑体"/>
          <w:b/>
          <w:bCs/>
          <w:color w:val="000000"/>
          <w:sz w:val="32"/>
        </w:rPr>
        <w:t>五、预算绩效信息</w:t>
      </w:r>
      <w:bookmarkEnd w:id="15"/>
    </w:p>
    <w:p>
      <w:pPr>
        <w:ind w:firstLine="640"/>
        <w:rPr>
          <w:rFonts w:eastAsia="方正仿宋_GBK"/>
          <w:color w:val="000000"/>
          <w:sz w:val="28"/>
          <w:lang w:eastAsia="zh-CN"/>
        </w:rPr>
      </w:pPr>
      <w:r>
        <w:rPr>
          <w:rFonts w:ascii="方正新楷体_GBK" w:hAnsi="方正新楷体_GBK" w:eastAsia="方正新楷体_GBK" w:cs="方正新楷体_GBK"/>
          <w:b/>
          <w:color w:val="000000"/>
          <w:sz w:val="32"/>
        </w:rPr>
        <w:t>第一部分 部门整体绩效目标</w:t>
      </w:r>
    </w:p>
    <w:p>
      <w:pPr>
        <w:spacing w:line="500" w:lineRule="exact"/>
        <w:ind w:firstLine="560"/>
        <w:rPr>
          <w:rFonts w:hint="eastAsia" w:ascii="楷体" w:hAnsi="楷体" w:eastAsia="楷体" w:cs="楷体"/>
          <w:b/>
          <w:bCs/>
          <w:sz w:val="32"/>
          <w:szCs w:val="32"/>
        </w:rPr>
      </w:pPr>
      <w:r>
        <w:rPr>
          <w:rFonts w:hint="eastAsia" w:ascii="楷体" w:hAnsi="楷体" w:eastAsia="楷体" w:cs="楷体"/>
          <w:b/>
          <w:bCs/>
          <w:color w:val="000000"/>
          <w:sz w:val="32"/>
          <w:szCs w:val="32"/>
        </w:rPr>
        <w:t>（一）总体绩效目标</w:t>
      </w:r>
    </w:p>
    <w:p>
      <w:pPr>
        <w:pStyle w:val="26"/>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坚持以习近平新时代中国特色社会主义思想为指导，深入贯彻习近平法治思想和习近平总书记“七一”重要讲话精神，全面落实党的十九届六中全会精神和省委十届全会精神，紧紧围绕“努力让人民群众在每一个司法案件感受到公平正义”的目标，坚持稳中求进的工作总基调，立足新发展阶段、贯彻新发展理念、构建新发展格局，重点在大力推进一站式建设加强民生司法保障、狠抓执法办案提升审判质效、注重强基导向加强人民法庭建设、推进切实解决执行难健全执行长效机制、加强法院队伍建设提升队伍素质和能力、大力弘扬社会主义核心价值观、深化司法改革和智慧法院建设等方面实现新发展，为新时代建设经济强省美丽河北提供坚强有力的司法服务和保障。</w:t>
      </w:r>
    </w:p>
    <w:p>
      <w:pPr>
        <w:pStyle w:val="26"/>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1、围绕维护和服务社会大局，抓好执法办案这一要务。深入推进扫黑除恶等专项斗争，增强人民群众的安全感、获得感。</w:t>
      </w:r>
    </w:p>
    <w:p>
      <w:pPr>
        <w:pStyle w:val="26"/>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2、围绕公正司法目标，抓好司法为民这一宗旨。深化以人民为中心的发展思想，拓展司法公开的深度和广度。</w:t>
      </w:r>
    </w:p>
    <w:p>
      <w:pPr>
        <w:pStyle w:val="26"/>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3、围绕司法体制改革任务，抓好司法责任制这一关键。健全科学合理的司法人员绩效考评机制，同时规范案件繁简分流、轻重分离、快慢分道，提升审判质效。</w:t>
      </w:r>
    </w:p>
    <w:p>
      <w:pPr>
        <w:pStyle w:val="26"/>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4、围绕“智慧法院”建设，抓好科技支撑这一保障。引入庭审语音识别系统等科技创新成果同司法工作深度融合，加快推进智慧法院升级。</w:t>
      </w:r>
    </w:p>
    <w:p>
      <w:pPr>
        <w:pStyle w:val="26"/>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5、围绕全面从严治党要求，抓好队伍建设这一根本。认真落实全面从严治党责任，牢牢把握司法领域意识形态主导权。</w:t>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TC </w:instrText>
      </w:r>
      <w:bookmarkStart w:id="16" w:name="_Toc30057650"/>
      <w:r>
        <w:rPr>
          <w:rFonts w:hint="eastAsia" w:ascii="仿宋" w:hAnsi="仿宋" w:eastAsia="仿宋" w:cs="仿宋"/>
          <w:b/>
          <w:bCs/>
          <w:sz w:val="32"/>
          <w:szCs w:val="32"/>
        </w:rPr>
        <w:instrText xml:space="preserve">总体绩效目标</w:instrText>
      </w:r>
      <w:bookmarkEnd w:id="16"/>
      <w:r>
        <w:rPr>
          <w:rFonts w:hint="eastAsia" w:ascii="仿宋" w:hAnsi="仿宋" w:eastAsia="仿宋" w:cs="仿宋"/>
          <w:b/>
          <w:bCs/>
          <w:sz w:val="32"/>
          <w:szCs w:val="32"/>
        </w:rPr>
        <w:instrText xml:space="preserve"> \f A \l 1 </w:instrText>
      </w:r>
      <w:r>
        <w:rPr>
          <w:rFonts w:hint="eastAsia" w:ascii="仿宋" w:hAnsi="仿宋" w:eastAsia="仿宋" w:cs="仿宋"/>
          <w:b/>
          <w:bCs/>
          <w:sz w:val="32"/>
          <w:szCs w:val="32"/>
        </w:rPr>
        <w:fldChar w:fldCharType="end"/>
      </w:r>
    </w:p>
    <w:p>
      <w:pPr>
        <w:spacing w:line="500" w:lineRule="exact"/>
        <w:ind w:firstLine="560"/>
        <w:rPr>
          <w:rFonts w:hint="eastAsia" w:ascii="楷体" w:hAnsi="楷体" w:eastAsia="楷体" w:cs="楷体"/>
          <w:b/>
          <w:bCs/>
          <w:sz w:val="32"/>
          <w:szCs w:val="32"/>
        </w:rPr>
      </w:pPr>
      <w:r>
        <w:rPr>
          <w:rFonts w:hint="eastAsia" w:ascii="楷体" w:hAnsi="楷体" w:eastAsia="楷体" w:cs="楷体"/>
          <w:b/>
          <w:bCs/>
          <w:color w:val="000000"/>
          <w:sz w:val="32"/>
          <w:szCs w:val="32"/>
        </w:rPr>
        <w:t>（二）分项绩效目标</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1、全面推进一站式建设</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目标：深化一站式多元解纷机制建设，完善源头治理，非诉挺前，多元化解，繁简分流的分层递进纠纷解决路径，为人民群众提供线上线下分层次，多途径、高效率、低成本的纠纷解决渠道。提供高质量诉讼服务，全面规范并推广在线诉讼活动，完善智慧诉讼平台应用，为当事人提供立案、查询、交费、调解、保全、鉴定、送达等全时空、全流程在线诉讼服务。不断推出一站式便民服务新举措，在推行跨域诉讼服务、增加12368热线办事功能、畅通律师诉讼服务渠道等方面实现新突破，有效满足人民群众多元化</w:t>
      </w:r>
      <w:r>
        <w:rPr>
          <w:rFonts w:hint="eastAsia" w:ascii="仿宋" w:hAnsi="仿宋" w:eastAsia="仿宋" w:cs="仿宋"/>
          <w:b/>
          <w:bCs/>
          <w:sz w:val="32"/>
          <w:szCs w:val="32"/>
          <w:lang w:val="en-US" w:eastAsia="zh-CN"/>
        </w:rPr>
        <w:t>解</w:t>
      </w:r>
      <w:r>
        <w:rPr>
          <w:rFonts w:hint="eastAsia" w:ascii="仿宋" w:hAnsi="仿宋" w:eastAsia="仿宋" w:cs="仿宋"/>
          <w:b/>
          <w:bCs/>
          <w:sz w:val="32"/>
          <w:szCs w:val="32"/>
        </w:rPr>
        <w:t>司法需求。</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指标：立案、调解、交退费，联系法官、速裁庭审、送达文书等诉讼服务事项实现100%全流程在线；跨域立案服务覆盖率100%；诉前调解案件占一审立案数量的比重达到40%以上；分调裁审案件占比60%以上，速裁案件平均办理时长在30日以内；畅通一号通办能力，实现12368热线人工服务接通率、协调办理解决率及服务满意率均达到95%以上；律师服务平台应用率达到70%以上；在线委托鉴定率达到80%以上；在线办理保全率达到80%以上；电子送达率达到60%以上。</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2、各类案件审理更加高质高效</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绩效目标：充分发挥审判职能作用，妥善处理好刑事、民商事、行政审判等各类案件，完善审判质效评估体系，促进审判质效提高，健全司法权力运行机制，提升司法公信力。</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绩效指标：年度审结案件数量占全部审判案件之比稳定在90%以上；在法律规定的期限内审结案件数量占年度审结案件数量之比稳定在98%以上；平均审理天数下降到55个工作日以下。</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3、实现执行工作高效规范开展</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目标：巩固和深化基本解决执行难成果，健全解决执行难长效机制，推广使用终本案件智能核查系统，完善执行案款管理制度；强化执行工作统一管理、统一协调、统一指挥，推进执行工作规范化管理，提升执行质效水平，积极推进我省“352指挥执行模式”改革，向切实解决执行难目标迈进。</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绩效指标：法定期限内结案率达到90%，总体结案率达到80%，执行信访办结率达到90%，失信名单撤销率不高于0.8‰，网络查控措施期限内发起率达到95%。</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4、队伍素质和执法能力稳步提升</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目标：健全人员分类管理制度，完善员额动态管理，完善审判辅助人员招录和管理制度。以提升人民法院服务大局工作能力为切入点，着力点，大力加强教育培训工作，全面提高法院干警服务大局、司法为民、公正司法的实际能力。着力加强司法政务队伍建设，大力推进司法警察改革工作。全面落实从优待警各项政策，完善司法人员职业发展制度、激励关怀机制、履职保障机制，加大司法人员依法履职保护力度，更好保障司法人员职业尊严、荣誉和安全。</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指标：年度教育培训任务全部完成。优化教育培训课程内容体系，分类分级、精准施训。创新法治人才培养机制，不断深化与县委组织部，政法部门合作，进行联合培训。法警训练实现全覆盖，参训人员达标率达到100%。继续推进全省法院系统立功奖励工作，健全完善激励考核机制。</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5、对外宣传及舆论引导，有力有序</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目标：坚持团结稳定鼓励、正面宣传为主，唱响主旋律、弘扬正能量。大力弘扬社会主义核心价值观，以公正裁判树立行为规则、引领社会风尚。坚持正确导向的舆论引导工作机制，构建网上网下一体，内外宣传联动的舆论格局。</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绩效指标：围绕法院的重点工作，结合新媒体宣传手段，宣传法院工作。实现每天24小时全网涉法信息监测，确保重大舆情监测全部覆盖。</w:t>
      </w:r>
    </w:p>
    <w:p>
      <w:pPr>
        <w:pStyle w:val="27"/>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6、智慧法院建设保持领先</w:t>
      </w:r>
    </w:p>
    <w:p>
      <w:pPr>
        <w:pStyle w:val="27"/>
        <w:rPr>
          <w:rFonts w:hint="eastAsia" w:ascii="仿宋" w:hAnsi="仿宋" w:eastAsia="仿宋" w:cs="仿宋"/>
          <w:b/>
          <w:bCs/>
          <w:sz w:val="32"/>
          <w:szCs w:val="32"/>
          <w:lang w:eastAsia="zh-CN"/>
        </w:rPr>
      </w:pPr>
      <w:r>
        <w:rPr>
          <w:rFonts w:hint="eastAsia" w:ascii="仿宋" w:hAnsi="仿宋" w:eastAsia="仿宋" w:cs="仿宋"/>
          <w:b/>
          <w:bCs/>
          <w:sz w:val="32"/>
          <w:szCs w:val="32"/>
        </w:rPr>
        <w:t>绩效目标：积极推进现代科技在司法领域深度应用，不断深化人事、财务、政务等各项管理信息化应用，努力把智慧法院建设提升到新水平。推动一体化监督平台、一步庭审系统、审判质效管理平台等创新成果应用落地落实，努力推进基层执法司法工作现代化。</w:t>
      </w:r>
    </w:p>
    <w:p>
      <w:pPr>
        <w:spacing w:line="500" w:lineRule="exact"/>
        <w:ind w:firstLine="560"/>
        <w:rPr>
          <w:rFonts w:hint="eastAsia" w:ascii="楷体" w:hAnsi="楷体" w:eastAsia="楷体" w:cs="楷体"/>
          <w:b/>
          <w:bCs/>
          <w:sz w:val="32"/>
          <w:szCs w:val="32"/>
        </w:rPr>
      </w:pPr>
      <w:r>
        <w:rPr>
          <w:rFonts w:hint="eastAsia" w:ascii="楷体" w:hAnsi="楷体" w:eastAsia="楷体" w:cs="楷体"/>
          <w:b/>
          <w:bCs/>
          <w:color w:val="000000"/>
          <w:sz w:val="32"/>
          <w:szCs w:val="32"/>
        </w:rPr>
        <w:t>（三）工作保障措施</w:t>
      </w:r>
    </w:p>
    <w:p>
      <w:pPr>
        <w:pStyle w:val="28"/>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完善制度建设。 以抓制度建设为重点,完善了会计人员岗位责任制、财务处理程序制度、原始记录管理制度、财产保管清查制度等相关制度。各项制度明确财务管理的目的、界定财务管理的职责、整合财务管理的程序、统一财务管理的表单，是管理必须遵守的工作规范，也是制订、执行财务管理及相关的工作规程的依据。从而进一步完善了财务管理制度，规范了财务管理行为，为全年预算绩效目标的实现奠定制度基础。</w:t>
      </w:r>
    </w:p>
    <w:p>
      <w:pPr>
        <w:pStyle w:val="28"/>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加强支出管理。优化支出结构，按照财务规定对每一笔收支票据的真实性、完整性，按照《会计法》的有关规定从事会计工作，工作中真正做到报表的及时性，数据的真实性，资料的完整性，分析的针对性，财务的规范性，从而进一步提高工作质量。为了提高财务管理水平和会计核算质量，制订了工作计划，量化、细化计划内容，实行工作计划责任制，确保支出进度达标。</w:t>
      </w:r>
    </w:p>
    <w:p>
      <w:pPr>
        <w:pStyle w:val="28"/>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加强绩效运行监控。严格业务处理程序的管理，严格财务审批制度，保证会计数据正确合法。对当天发生的业务，当天登记入帐，现金和银行存款日记帐做到日清月结。根据各项资金的性质，严格做到专款专用，账目清楚，手续齐全，没有发现挪用、私分等违纪行为。会计报表数据做到了真实准确、内容完整，报送及时并附有财务情况说明书，确保绩效目标如期保质实现。</w:t>
      </w:r>
    </w:p>
    <w:p>
      <w:pPr>
        <w:pStyle w:val="28"/>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4、做好绩效自评。按要求开展上年度部门预算绩效自评和重点评价工作，对评价中发现的问题及时整改，调整优化支出结构，提高财政资金使用效益。</w:t>
      </w:r>
    </w:p>
    <w:p>
      <w:pPr>
        <w:pStyle w:val="28"/>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规范财务资产管理。开展资产清查，是国家规范国有资产管理、保障国有资产安全完整的一项重要举措。我院领导高度重视，按照“统一标准、统一方法、统一步骤、统一要求”的原则，完善财务管理制度，严格审批程序，加强固定资产登记、使用和报废处置管理，做到支出合理，物尽其用。</w:t>
      </w:r>
    </w:p>
    <w:p>
      <w:pPr>
        <w:pStyle w:val="28"/>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8"/>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7、加强宣传培训调研等。加强人员培训，提高本部门职工业务素质；加强调研，提出优化财政资金配置、提高资金使用效益的意见意见；加大宣传力度，强化预算绩效管理意识，促进预算绩效管理水平进一步提升。 </w:t>
      </w:r>
    </w:p>
    <w:p>
      <w:pPr>
        <w:pStyle w:val="28"/>
        <w:rPr>
          <w:rFonts w:hint="eastAsia" w:ascii="方正仿宋_GBK" w:hAnsi="方正仿宋_GBK" w:eastAsia="方正仿宋_GBK" w:cs="方正仿宋_GBK"/>
          <w:b/>
          <w:bCs/>
        </w:rPr>
      </w:pPr>
    </w:p>
    <w:p>
      <w:pPr>
        <w:pStyle w:val="28"/>
      </w:pPr>
    </w:p>
    <w:p/>
    <w:p>
      <w:pPr>
        <w:keepNext w:val="0"/>
        <w:keepLines w:val="0"/>
        <w:pageBreakBefore w:val="0"/>
        <w:widowControl/>
        <w:kinsoku/>
        <w:wordWrap/>
        <w:overflowPunct/>
        <w:topLinePunct w:val="0"/>
        <w:autoSpaceDE/>
        <w:autoSpaceDN/>
        <w:bidi w:val="0"/>
        <w:adjustRightInd/>
        <w:snapToGrid/>
        <w:ind w:firstLine="643" w:firstLineChars="200"/>
        <w:textAlignment w:val="auto"/>
        <w:rPr>
          <w:rFonts w:ascii="方正新楷体_GBK" w:hAnsi="方正新楷体_GBK" w:eastAsia="方正新楷体_GBK" w:cs="方正新楷体_GBK"/>
          <w:b/>
          <w:color w:val="000000"/>
          <w:sz w:val="32"/>
        </w:rPr>
      </w:pPr>
      <w:r>
        <w:rPr>
          <w:rFonts w:ascii="方正新楷体_GBK" w:hAnsi="方正新楷体_GBK" w:eastAsia="方正新楷体_GBK" w:cs="方正新楷体_GBK"/>
          <w:b/>
          <w:color w:val="000000"/>
          <w:sz w:val="32"/>
        </w:rPr>
        <w:t>第</w:t>
      </w:r>
      <w:r>
        <w:rPr>
          <w:rFonts w:hint="eastAsia" w:ascii="方正新楷体_GBK" w:hAnsi="方正新楷体_GBK" w:eastAsia="方正新楷体_GBK" w:cs="方正新楷体_GBK"/>
          <w:b/>
          <w:color w:val="000000"/>
          <w:sz w:val="32"/>
          <w:lang w:eastAsia="zh-CN"/>
        </w:rPr>
        <w:t>二</w:t>
      </w:r>
      <w:r>
        <w:rPr>
          <w:rFonts w:ascii="方正新楷体_GBK" w:hAnsi="方正新楷体_GBK" w:eastAsia="方正新楷体_GBK" w:cs="方正新楷体_GBK"/>
          <w:b/>
          <w:color w:val="000000"/>
          <w:sz w:val="32"/>
        </w:rPr>
        <w:t>部分  预算项目绩效目标</w:t>
      </w:r>
    </w:p>
    <w:p>
      <w:pPr>
        <w:ind w:firstLine="640" w:firstLineChars="200"/>
        <w:jc w:val="center"/>
        <w:rPr>
          <w:rFonts w:ascii="方正仿宋_GBK" w:hAnsi="方正仿宋_GBK" w:eastAsia="方正仿宋_GBK" w:cs="方正仿宋_GBK"/>
          <w:b/>
          <w:bCs/>
          <w:color w:val="000000"/>
          <w:sz w:val="32"/>
          <w:szCs w:val="32"/>
        </w:rPr>
      </w:pPr>
      <w:bookmarkStart w:id="17" w:name="_Toc_4_4_0000000006"/>
    </w:p>
    <w:p>
      <w:pPr>
        <w:ind w:firstLine="640" w:firstLineChars="200"/>
        <w:jc w:val="center"/>
        <w:rPr>
          <w:b/>
          <w:bCs/>
          <w:sz w:val="32"/>
          <w:szCs w:val="32"/>
        </w:rPr>
      </w:pPr>
      <w:r>
        <w:rPr>
          <w:rFonts w:ascii="方正仿宋_GBK" w:hAnsi="方正仿宋_GBK" w:eastAsia="方正仿宋_GBK" w:cs="方正仿宋_GBK"/>
          <w:b/>
          <w:bCs/>
          <w:color w:val="000000"/>
          <w:sz w:val="32"/>
          <w:szCs w:val="32"/>
        </w:rPr>
        <w:t>法院诉讼费、罚没返还安排的经费绩效目标表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r>
              <w:t>161涞水县人民法院</w:t>
            </w: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rPr>
                <w:sz w:val="18"/>
                <w:szCs w:val="18"/>
              </w:rPr>
            </w:pPr>
            <w:r>
              <w:rPr>
                <w:sz w:val="18"/>
                <w:szCs w:val="18"/>
              </w:rPr>
              <w:t>项目编码</w:t>
            </w:r>
          </w:p>
        </w:tc>
        <w:tc>
          <w:tcPr>
            <w:tcW w:w="2608" w:type="dxa"/>
            <w:gridSpan w:val="2"/>
            <w:noWrap w:val="0"/>
            <w:vAlign w:val="center"/>
          </w:tcPr>
          <w:p>
            <w:pPr>
              <w:pStyle w:val="17"/>
              <w:rPr>
                <w:sz w:val="18"/>
                <w:szCs w:val="18"/>
              </w:rPr>
            </w:pPr>
            <w:r>
              <w:rPr>
                <w:sz w:val="18"/>
                <w:szCs w:val="18"/>
              </w:rPr>
              <w:t>13062322P007607100027</w:t>
            </w:r>
          </w:p>
        </w:tc>
        <w:tc>
          <w:tcPr>
            <w:tcW w:w="1587" w:type="dxa"/>
            <w:noWrap w:val="0"/>
            <w:vAlign w:val="center"/>
          </w:tcPr>
          <w:p>
            <w:pPr>
              <w:pStyle w:val="15"/>
              <w:rPr>
                <w:sz w:val="18"/>
                <w:szCs w:val="18"/>
              </w:rPr>
            </w:pPr>
            <w:r>
              <w:rPr>
                <w:sz w:val="18"/>
                <w:szCs w:val="18"/>
              </w:rPr>
              <w:t>项目名称</w:t>
            </w:r>
          </w:p>
        </w:tc>
        <w:tc>
          <w:tcPr>
            <w:tcW w:w="4422" w:type="dxa"/>
            <w:gridSpan w:val="3"/>
            <w:noWrap w:val="0"/>
            <w:vAlign w:val="center"/>
          </w:tcPr>
          <w:p>
            <w:pPr>
              <w:pStyle w:val="17"/>
              <w:rPr>
                <w:sz w:val="18"/>
                <w:szCs w:val="18"/>
              </w:rPr>
            </w:pPr>
            <w:r>
              <w:rPr>
                <w:sz w:val="18"/>
                <w:szCs w:val="18"/>
              </w:rPr>
              <w:t>法院诉讼费、罚没返还安排的经费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rPr>
                <w:sz w:val="18"/>
                <w:szCs w:val="18"/>
              </w:rPr>
            </w:pPr>
            <w:r>
              <w:rPr>
                <w:sz w:val="18"/>
                <w:szCs w:val="18"/>
              </w:rPr>
              <w:t>预算规模及资金用途</w:t>
            </w:r>
          </w:p>
        </w:tc>
        <w:tc>
          <w:tcPr>
            <w:tcW w:w="1276" w:type="dxa"/>
            <w:noWrap w:val="0"/>
            <w:vAlign w:val="center"/>
          </w:tcPr>
          <w:p>
            <w:pPr>
              <w:pStyle w:val="15"/>
              <w:rPr>
                <w:sz w:val="18"/>
                <w:szCs w:val="18"/>
              </w:rPr>
            </w:pPr>
            <w:r>
              <w:rPr>
                <w:sz w:val="18"/>
                <w:szCs w:val="18"/>
              </w:rPr>
              <w:t>预算数</w:t>
            </w:r>
          </w:p>
        </w:tc>
        <w:tc>
          <w:tcPr>
            <w:tcW w:w="1332" w:type="dxa"/>
            <w:noWrap w:val="0"/>
            <w:vAlign w:val="center"/>
          </w:tcPr>
          <w:p>
            <w:pPr>
              <w:pStyle w:val="17"/>
              <w:rPr>
                <w:sz w:val="18"/>
                <w:szCs w:val="18"/>
              </w:rPr>
            </w:pPr>
            <w:r>
              <w:rPr>
                <w:sz w:val="18"/>
                <w:szCs w:val="18"/>
              </w:rPr>
              <w:t>624.00</w:t>
            </w:r>
          </w:p>
        </w:tc>
        <w:tc>
          <w:tcPr>
            <w:tcW w:w="1587" w:type="dxa"/>
            <w:noWrap w:val="0"/>
            <w:vAlign w:val="center"/>
          </w:tcPr>
          <w:p>
            <w:pPr>
              <w:pStyle w:val="15"/>
              <w:rPr>
                <w:sz w:val="18"/>
                <w:szCs w:val="18"/>
              </w:rPr>
            </w:pPr>
            <w:r>
              <w:rPr>
                <w:sz w:val="18"/>
                <w:szCs w:val="18"/>
              </w:rPr>
              <w:t>其中：财政    资金</w:t>
            </w:r>
          </w:p>
        </w:tc>
        <w:tc>
          <w:tcPr>
            <w:tcW w:w="1304" w:type="dxa"/>
            <w:noWrap w:val="0"/>
            <w:vAlign w:val="center"/>
          </w:tcPr>
          <w:p>
            <w:pPr>
              <w:pStyle w:val="17"/>
              <w:rPr>
                <w:sz w:val="18"/>
                <w:szCs w:val="18"/>
              </w:rPr>
            </w:pPr>
            <w:r>
              <w:rPr>
                <w:sz w:val="18"/>
                <w:szCs w:val="18"/>
              </w:rPr>
              <w:t>624.00</w:t>
            </w:r>
          </w:p>
        </w:tc>
        <w:tc>
          <w:tcPr>
            <w:tcW w:w="1276" w:type="dxa"/>
            <w:noWrap w:val="0"/>
            <w:vAlign w:val="center"/>
          </w:tcPr>
          <w:p>
            <w:pPr>
              <w:pStyle w:val="15"/>
              <w:rPr>
                <w:sz w:val="18"/>
                <w:szCs w:val="18"/>
              </w:rPr>
            </w:pPr>
            <w:r>
              <w:rPr>
                <w:sz w:val="18"/>
                <w:szCs w:val="18"/>
              </w:rPr>
              <w:t>其他资金</w:t>
            </w:r>
          </w:p>
        </w:tc>
        <w:tc>
          <w:tcPr>
            <w:tcW w:w="1843" w:type="dxa"/>
            <w:noWrap w:val="0"/>
            <w:vAlign w:val="center"/>
          </w:tcPr>
          <w:p>
            <w:pPr>
              <w:pStyle w:val="17"/>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top"/>
          </w:tcPr>
          <w:p>
            <w:pPr>
              <w:rPr>
                <w:sz w:val="18"/>
                <w:szCs w:val="18"/>
              </w:rPr>
            </w:pPr>
          </w:p>
        </w:tc>
        <w:tc>
          <w:tcPr>
            <w:tcW w:w="8617" w:type="dxa"/>
            <w:gridSpan w:val="6"/>
            <w:noWrap w:val="0"/>
            <w:vAlign w:val="center"/>
          </w:tcPr>
          <w:p>
            <w:pPr>
              <w:pStyle w:val="17"/>
              <w:rPr>
                <w:sz w:val="18"/>
                <w:szCs w:val="18"/>
              </w:rPr>
            </w:pPr>
            <w:r>
              <w:rPr>
                <w:sz w:val="18"/>
                <w:szCs w:val="18"/>
              </w:rPr>
              <w:t>保障案件审判执行和机关运行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rPr>
                <w:sz w:val="18"/>
                <w:szCs w:val="18"/>
              </w:rPr>
            </w:pPr>
            <w:r>
              <w:rPr>
                <w:sz w:val="18"/>
                <w:szCs w:val="18"/>
              </w:rPr>
              <w:t>资金支出计划（%）</w:t>
            </w:r>
          </w:p>
        </w:tc>
        <w:tc>
          <w:tcPr>
            <w:tcW w:w="2608" w:type="dxa"/>
            <w:gridSpan w:val="2"/>
            <w:noWrap w:val="0"/>
            <w:vAlign w:val="center"/>
          </w:tcPr>
          <w:p>
            <w:pPr>
              <w:pStyle w:val="15"/>
              <w:rPr>
                <w:sz w:val="18"/>
                <w:szCs w:val="18"/>
              </w:rPr>
            </w:pPr>
            <w:r>
              <w:rPr>
                <w:sz w:val="18"/>
                <w:szCs w:val="18"/>
              </w:rPr>
              <w:t>3月底</w:t>
            </w:r>
          </w:p>
        </w:tc>
        <w:tc>
          <w:tcPr>
            <w:tcW w:w="1587" w:type="dxa"/>
            <w:noWrap w:val="0"/>
            <w:vAlign w:val="center"/>
          </w:tcPr>
          <w:p>
            <w:pPr>
              <w:pStyle w:val="15"/>
              <w:rPr>
                <w:sz w:val="18"/>
                <w:szCs w:val="18"/>
              </w:rPr>
            </w:pPr>
            <w:r>
              <w:rPr>
                <w:sz w:val="18"/>
                <w:szCs w:val="18"/>
              </w:rPr>
              <w:t>6月底</w:t>
            </w:r>
          </w:p>
        </w:tc>
        <w:tc>
          <w:tcPr>
            <w:tcW w:w="1304" w:type="dxa"/>
            <w:noWrap w:val="0"/>
            <w:vAlign w:val="center"/>
          </w:tcPr>
          <w:p>
            <w:pPr>
              <w:pStyle w:val="15"/>
              <w:rPr>
                <w:sz w:val="18"/>
                <w:szCs w:val="18"/>
              </w:rPr>
            </w:pPr>
            <w:r>
              <w:rPr>
                <w:sz w:val="18"/>
                <w:szCs w:val="18"/>
              </w:rPr>
              <w:t>10月底</w:t>
            </w:r>
          </w:p>
        </w:tc>
        <w:tc>
          <w:tcPr>
            <w:tcW w:w="311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2608" w:type="dxa"/>
            <w:gridSpan w:val="2"/>
            <w:noWrap w:val="0"/>
            <w:vAlign w:val="center"/>
          </w:tcPr>
          <w:p>
            <w:pPr>
              <w:pStyle w:val="18"/>
              <w:rPr>
                <w:sz w:val="18"/>
                <w:szCs w:val="18"/>
              </w:rPr>
            </w:pPr>
            <w:r>
              <w:rPr>
                <w:sz w:val="18"/>
                <w:szCs w:val="18"/>
              </w:rPr>
              <w:t>25%</w:t>
            </w:r>
          </w:p>
        </w:tc>
        <w:tc>
          <w:tcPr>
            <w:tcW w:w="1587" w:type="dxa"/>
            <w:noWrap w:val="0"/>
            <w:vAlign w:val="center"/>
          </w:tcPr>
          <w:p>
            <w:pPr>
              <w:pStyle w:val="18"/>
              <w:rPr>
                <w:sz w:val="18"/>
                <w:szCs w:val="18"/>
              </w:rPr>
            </w:pPr>
            <w:r>
              <w:rPr>
                <w:sz w:val="18"/>
                <w:szCs w:val="18"/>
              </w:rPr>
              <w:t>50%</w:t>
            </w:r>
          </w:p>
        </w:tc>
        <w:tc>
          <w:tcPr>
            <w:tcW w:w="1304" w:type="dxa"/>
            <w:noWrap w:val="0"/>
            <w:vAlign w:val="center"/>
          </w:tcPr>
          <w:p>
            <w:pPr>
              <w:pStyle w:val="18"/>
              <w:rPr>
                <w:sz w:val="18"/>
                <w:szCs w:val="18"/>
              </w:rPr>
            </w:pPr>
            <w:r>
              <w:rPr>
                <w:sz w:val="18"/>
                <w:szCs w:val="18"/>
              </w:rPr>
              <w:t>75%</w:t>
            </w:r>
          </w:p>
        </w:tc>
        <w:tc>
          <w:tcPr>
            <w:tcW w:w="311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rPr>
                <w:sz w:val="18"/>
                <w:szCs w:val="18"/>
              </w:rPr>
            </w:pPr>
            <w:r>
              <w:rPr>
                <w:sz w:val="18"/>
                <w:szCs w:val="18"/>
              </w:rPr>
              <w:t>绩效目标</w:t>
            </w:r>
          </w:p>
        </w:tc>
        <w:tc>
          <w:tcPr>
            <w:tcW w:w="8617" w:type="dxa"/>
            <w:gridSpan w:val="6"/>
            <w:noWrap w:val="0"/>
            <w:vAlign w:val="center"/>
          </w:tcPr>
          <w:p>
            <w:pPr>
              <w:pStyle w:val="17"/>
              <w:rPr>
                <w:sz w:val="18"/>
                <w:szCs w:val="18"/>
              </w:rPr>
            </w:pPr>
            <w:r>
              <w:rPr>
                <w:sz w:val="18"/>
                <w:szCs w:val="18"/>
              </w:rPr>
              <w:t>1.保障案件审判执行</w:t>
            </w:r>
          </w:p>
          <w:p>
            <w:pPr>
              <w:pStyle w:val="17"/>
              <w:rPr>
                <w:sz w:val="18"/>
                <w:szCs w:val="18"/>
              </w:rPr>
            </w:pPr>
            <w:r>
              <w:rPr>
                <w:sz w:val="18"/>
                <w:szCs w:val="18"/>
              </w:rPr>
              <w:t>2.保障机关运行</w:t>
            </w:r>
          </w:p>
        </w:tc>
      </w:tr>
    </w:tbl>
    <w:p>
      <w:pPr>
        <w:spacing w:line="2" w:lineRule="exact"/>
        <w:jc w:val="center"/>
        <w:rPr>
          <w:sz w:val="18"/>
          <w:szCs w:val="18"/>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rPr>
                <w:sz w:val="18"/>
                <w:szCs w:val="18"/>
              </w:rPr>
            </w:pPr>
            <w:r>
              <w:rPr>
                <w:sz w:val="18"/>
                <w:szCs w:val="18"/>
              </w:rPr>
              <w:t>一级指标</w:t>
            </w:r>
          </w:p>
        </w:tc>
        <w:tc>
          <w:tcPr>
            <w:tcW w:w="1276" w:type="dxa"/>
            <w:noWrap w:val="0"/>
            <w:vAlign w:val="center"/>
          </w:tcPr>
          <w:p>
            <w:pPr>
              <w:pStyle w:val="15"/>
              <w:rPr>
                <w:sz w:val="18"/>
                <w:szCs w:val="18"/>
              </w:rPr>
            </w:pPr>
            <w:r>
              <w:rPr>
                <w:sz w:val="18"/>
                <w:szCs w:val="18"/>
              </w:rPr>
              <w:t>二级指标</w:t>
            </w:r>
          </w:p>
        </w:tc>
        <w:tc>
          <w:tcPr>
            <w:tcW w:w="1332" w:type="dxa"/>
            <w:noWrap w:val="0"/>
            <w:vAlign w:val="center"/>
          </w:tcPr>
          <w:p>
            <w:pPr>
              <w:pStyle w:val="15"/>
              <w:rPr>
                <w:sz w:val="18"/>
                <w:szCs w:val="18"/>
              </w:rPr>
            </w:pPr>
            <w:r>
              <w:rPr>
                <w:sz w:val="18"/>
                <w:szCs w:val="18"/>
              </w:rPr>
              <w:t>三级指标</w:t>
            </w:r>
          </w:p>
        </w:tc>
        <w:tc>
          <w:tcPr>
            <w:tcW w:w="2891" w:type="dxa"/>
            <w:noWrap w:val="0"/>
            <w:vAlign w:val="center"/>
          </w:tcPr>
          <w:p>
            <w:pPr>
              <w:pStyle w:val="15"/>
              <w:rPr>
                <w:sz w:val="18"/>
                <w:szCs w:val="18"/>
              </w:rPr>
            </w:pPr>
            <w:r>
              <w:rPr>
                <w:sz w:val="18"/>
                <w:szCs w:val="18"/>
              </w:rPr>
              <w:t>绩效指标描述</w:t>
            </w:r>
          </w:p>
        </w:tc>
        <w:tc>
          <w:tcPr>
            <w:tcW w:w="1276" w:type="dxa"/>
            <w:noWrap w:val="0"/>
            <w:vAlign w:val="center"/>
          </w:tcPr>
          <w:p>
            <w:pPr>
              <w:pStyle w:val="15"/>
              <w:rPr>
                <w:sz w:val="18"/>
                <w:szCs w:val="18"/>
              </w:rPr>
            </w:pPr>
            <w:r>
              <w:rPr>
                <w:sz w:val="18"/>
                <w:szCs w:val="18"/>
              </w:rPr>
              <w:t>指标值</w:t>
            </w:r>
          </w:p>
        </w:tc>
        <w:tc>
          <w:tcPr>
            <w:tcW w:w="1843"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rPr>
                <w:sz w:val="18"/>
                <w:szCs w:val="18"/>
              </w:rPr>
            </w:pPr>
            <w:r>
              <w:rPr>
                <w:sz w:val="18"/>
                <w:szCs w:val="18"/>
              </w:rPr>
              <w:t>产出指标</w:t>
            </w:r>
          </w:p>
        </w:tc>
        <w:tc>
          <w:tcPr>
            <w:tcW w:w="1276" w:type="dxa"/>
            <w:noWrap w:val="0"/>
            <w:vAlign w:val="center"/>
          </w:tcPr>
          <w:p>
            <w:pPr>
              <w:pStyle w:val="17"/>
              <w:rPr>
                <w:sz w:val="18"/>
                <w:szCs w:val="18"/>
              </w:rPr>
            </w:pPr>
            <w:r>
              <w:rPr>
                <w:sz w:val="18"/>
                <w:szCs w:val="18"/>
              </w:rPr>
              <w:t>数量指标</w:t>
            </w:r>
          </w:p>
        </w:tc>
        <w:tc>
          <w:tcPr>
            <w:tcW w:w="1332" w:type="dxa"/>
            <w:noWrap w:val="0"/>
            <w:vAlign w:val="center"/>
          </w:tcPr>
          <w:p>
            <w:pPr>
              <w:pStyle w:val="17"/>
              <w:rPr>
                <w:sz w:val="18"/>
                <w:szCs w:val="18"/>
              </w:rPr>
            </w:pPr>
            <w:r>
              <w:rPr>
                <w:sz w:val="18"/>
                <w:szCs w:val="18"/>
              </w:rPr>
              <w:t>案件结案率(%)</w:t>
            </w:r>
          </w:p>
        </w:tc>
        <w:tc>
          <w:tcPr>
            <w:tcW w:w="2891" w:type="dxa"/>
            <w:noWrap w:val="0"/>
            <w:vAlign w:val="center"/>
          </w:tcPr>
          <w:p>
            <w:pPr>
              <w:pStyle w:val="17"/>
              <w:rPr>
                <w:sz w:val="18"/>
                <w:szCs w:val="18"/>
              </w:rPr>
            </w:pPr>
            <w:r>
              <w:rPr>
                <w:sz w:val="18"/>
                <w:szCs w:val="18"/>
              </w:rPr>
              <w:t>案件结案率(%)</w:t>
            </w:r>
          </w:p>
        </w:tc>
        <w:tc>
          <w:tcPr>
            <w:tcW w:w="1276" w:type="dxa"/>
            <w:noWrap w:val="0"/>
            <w:vAlign w:val="center"/>
          </w:tcPr>
          <w:p>
            <w:pPr>
              <w:pStyle w:val="17"/>
              <w:rPr>
                <w:sz w:val="18"/>
                <w:szCs w:val="18"/>
              </w:rPr>
            </w:pPr>
            <w:r>
              <w:rPr>
                <w:sz w:val="18"/>
                <w:szCs w:val="18"/>
              </w:rPr>
              <w:t>≥85百分比</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1276" w:type="dxa"/>
            <w:noWrap w:val="0"/>
            <w:vAlign w:val="center"/>
          </w:tcPr>
          <w:p>
            <w:pPr>
              <w:pStyle w:val="17"/>
              <w:rPr>
                <w:sz w:val="18"/>
                <w:szCs w:val="18"/>
              </w:rPr>
            </w:pPr>
            <w:r>
              <w:rPr>
                <w:sz w:val="18"/>
                <w:szCs w:val="18"/>
              </w:rPr>
              <w:t>质量指标</w:t>
            </w:r>
          </w:p>
        </w:tc>
        <w:tc>
          <w:tcPr>
            <w:tcW w:w="1332" w:type="dxa"/>
            <w:noWrap w:val="0"/>
            <w:vAlign w:val="center"/>
          </w:tcPr>
          <w:p>
            <w:pPr>
              <w:pStyle w:val="17"/>
              <w:rPr>
                <w:sz w:val="18"/>
                <w:szCs w:val="18"/>
              </w:rPr>
            </w:pPr>
            <w:r>
              <w:rPr>
                <w:sz w:val="18"/>
                <w:szCs w:val="18"/>
              </w:rPr>
              <w:t>机关运转率（%）</w:t>
            </w:r>
          </w:p>
        </w:tc>
        <w:tc>
          <w:tcPr>
            <w:tcW w:w="2891" w:type="dxa"/>
            <w:noWrap w:val="0"/>
            <w:vAlign w:val="center"/>
          </w:tcPr>
          <w:p>
            <w:pPr>
              <w:pStyle w:val="17"/>
              <w:rPr>
                <w:sz w:val="18"/>
                <w:szCs w:val="18"/>
              </w:rPr>
            </w:pPr>
            <w:r>
              <w:rPr>
                <w:sz w:val="18"/>
                <w:szCs w:val="18"/>
              </w:rPr>
              <w:t>机关运转率（%）</w:t>
            </w:r>
          </w:p>
        </w:tc>
        <w:tc>
          <w:tcPr>
            <w:tcW w:w="1276" w:type="dxa"/>
            <w:noWrap w:val="0"/>
            <w:vAlign w:val="center"/>
          </w:tcPr>
          <w:p>
            <w:pPr>
              <w:pStyle w:val="17"/>
              <w:rPr>
                <w:sz w:val="18"/>
                <w:szCs w:val="18"/>
              </w:rPr>
            </w:pPr>
            <w:r>
              <w:rPr>
                <w:sz w:val="18"/>
                <w:szCs w:val="18"/>
              </w:rPr>
              <w:t>≥100百分比</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1276" w:type="dxa"/>
            <w:noWrap w:val="0"/>
            <w:vAlign w:val="center"/>
          </w:tcPr>
          <w:p>
            <w:pPr>
              <w:pStyle w:val="17"/>
              <w:rPr>
                <w:sz w:val="18"/>
                <w:szCs w:val="18"/>
              </w:rPr>
            </w:pPr>
            <w:r>
              <w:rPr>
                <w:sz w:val="18"/>
                <w:szCs w:val="18"/>
              </w:rPr>
              <w:t>时效指标</w:t>
            </w:r>
          </w:p>
        </w:tc>
        <w:tc>
          <w:tcPr>
            <w:tcW w:w="1332" w:type="dxa"/>
            <w:noWrap w:val="0"/>
            <w:vAlign w:val="center"/>
          </w:tcPr>
          <w:p>
            <w:pPr>
              <w:pStyle w:val="17"/>
              <w:rPr>
                <w:sz w:val="18"/>
                <w:szCs w:val="18"/>
              </w:rPr>
            </w:pPr>
            <w:r>
              <w:rPr>
                <w:sz w:val="18"/>
                <w:szCs w:val="18"/>
              </w:rPr>
              <w:t>工作按时完成率</w:t>
            </w:r>
          </w:p>
        </w:tc>
        <w:tc>
          <w:tcPr>
            <w:tcW w:w="2891" w:type="dxa"/>
            <w:noWrap w:val="0"/>
            <w:vAlign w:val="center"/>
          </w:tcPr>
          <w:p>
            <w:pPr>
              <w:pStyle w:val="17"/>
              <w:rPr>
                <w:sz w:val="18"/>
                <w:szCs w:val="18"/>
              </w:rPr>
            </w:pPr>
            <w:r>
              <w:rPr>
                <w:sz w:val="18"/>
                <w:szCs w:val="18"/>
              </w:rPr>
              <w:t>工作按时完成率</w:t>
            </w:r>
          </w:p>
        </w:tc>
        <w:tc>
          <w:tcPr>
            <w:tcW w:w="1276" w:type="dxa"/>
            <w:noWrap w:val="0"/>
            <w:vAlign w:val="center"/>
          </w:tcPr>
          <w:p>
            <w:pPr>
              <w:pStyle w:val="17"/>
              <w:rPr>
                <w:sz w:val="18"/>
                <w:szCs w:val="18"/>
              </w:rPr>
            </w:pPr>
            <w:r>
              <w:rPr>
                <w:sz w:val="18"/>
                <w:szCs w:val="18"/>
              </w:rPr>
              <w:t>≥90百分比</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1276" w:type="dxa"/>
            <w:noWrap w:val="0"/>
            <w:vAlign w:val="center"/>
          </w:tcPr>
          <w:p>
            <w:pPr>
              <w:pStyle w:val="17"/>
              <w:rPr>
                <w:sz w:val="18"/>
                <w:szCs w:val="18"/>
              </w:rPr>
            </w:pPr>
            <w:r>
              <w:rPr>
                <w:sz w:val="18"/>
                <w:szCs w:val="18"/>
              </w:rPr>
              <w:t>成本指标</w:t>
            </w:r>
          </w:p>
        </w:tc>
        <w:tc>
          <w:tcPr>
            <w:tcW w:w="1332" w:type="dxa"/>
            <w:noWrap w:val="0"/>
            <w:vAlign w:val="center"/>
          </w:tcPr>
          <w:p>
            <w:pPr>
              <w:pStyle w:val="17"/>
              <w:rPr>
                <w:sz w:val="18"/>
                <w:szCs w:val="18"/>
              </w:rPr>
            </w:pPr>
            <w:r>
              <w:rPr>
                <w:sz w:val="18"/>
                <w:szCs w:val="18"/>
              </w:rPr>
              <w:t>预算控制</w:t>
            </w:r>
          </w:p>
        </w:tc>
        <w:tc>
          <w:tcPr>
            <w:tcW w:w="2891" w:type="dxa"/>
            <w:noWrap w:val="0"/>
            <w:vAlign w:val="center"/>
          </w:tcPr>
          <w:p>
            <w:pPr>
              <w:pStyle w:val="17"/>
              <w:rPr>
                <w:sz w:val="18"/>
                <w:szCs w:val="18"/>
              </w:rPr>
            </w:pPr>
            <w:r>
              <w:rPr>
                <w:sz w:val="18"/>
                <w:szCs w:val="18"/>
              </w:rPr>
              <w:t>预算控制</w:t>
            </w:r>
          </w:p>
        </w:tc>
        <w:tc>
          <w:tcPr>
            <w:tcW w:w="1276" w:type="dxa"/>
            <w:noWrap w:val="0"/>
            <w:vAlign w:val="center"/>
          </w:tcPr>
          <w:p>
            <w:pPr>
              <w:pStyle w:val="17"/>
              <w:rPr>
                <w:sz w:val="18"/>
                <w:szCs w:val="18"/>
              </w:rPr>
            </w:pPr>
            <w:r>
              <w:rPr>
                <w:sz w:val="18"/>
                <w:szCs w:val="18"/>
              </w:rPr>
              <w:t>≤624万元</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rPr>
                <w:sz w:val="18"/>
                <w:szCs w:val="18"/>
              </w:rPr>
            </w:pPr>
            <w:r>
              <w:rPr>
                <w:sz w:val="18"/>
                <w:szCs w:val="18"/>
              </w:rPr>
              <w:t>效益指标</w:t>
            </w:r>
          </w:p>
        </w:tc>
        <w:tc>
          <w:tcPr>
            <w:tcW w:w="1276" w:type="dxa"/>
            <w:noWrap w:val="0"/>
            <w:vAlign w:val="center"/>
          </w:tcPr>
          <w:p>
            <w:pPr>
              <w:pStyle w:val="17"/>
              <w:rPr>
                <w:sz w:val="18"/>
                <w:szCs w:val="18"/>
              </w:rPr>
            </w:pPr>
            <w:r>
              <w:rPr>
                <w:sz w:val="18"/>
                <w:szCs w:val="18"/>
              </w:rPr>
              <w:t>社会效益指标</w:t>
            </w:r>
          </w:p>
        </w:tc>
        <w:tc>
          <w:tcPr>
            <w:tcW w:w="1332" w:type="dxa"/>
            <w:noWrap w:val="0"/>
            <w:vAlign w:val="center"/>
          </w:tcPr>
          <w:p>
            <w:pPr>
              <w:pStyle w:val="17"/>
              <w:rPr>
                <w:sz w:val="18"/>
                <w:szCs w:val="18"/>
              </w:rPr>
            </w:pPr>
            <w:r>
              <w:rPr>
                <w:sz w:val="18"/>
                <w:szCs w:val="18"/>
              </w:rPr>
              <w:t>案件流程合规率(%)</w:t>
            </w:r>
          </w:p>
        </w:tc>
        <w:tc>
          <w:tcPr>
            <w:tcW w:w="2891" w:type="dxa"/>
            <w:noWrap w:val="0"/>
            <w:vAlign w:val="center"/>
          </w:tcPr>
          <w:p>
            <w:pPr>
              <w:pStyle w:val="17"/>
              <w:rPr>
                <w:sz w:val="18"/>
                <w:szCs w:val="18"/>
              </w:rPr>
            </w:pPr>
            <w:r>
              <w:rPr>
                <w:sz w:val="18"/>
                <w:szCs w:val="18"/>
              </w:rPr>
              <w:t>案件流程合规率(%)</w:t>
            </w:r>
          </w:p>
        </w:tc>
        <w:tc>
          <w:tcPr>
            <w:tcW w:w="1276" w:type="dxa"/>
            <w:noWrap w:val="0"/>
            <w:vAlign w:val="center"/>
          </w:tcPr>
          <w:p>
            <w:pPr>
              <w:pStyle w:val="17"/>
              <w:rPr>
                <w:sz w:val="18"/>
                <w:szCs w:val="18"/>
              </w:rPr>
            </w:pPr>
            <w:r>
              <w:rPr>
                <w:sz w:val="18"/>
                <w:szCs w:val="18"/>
              </w:rPr>
              <w:t>≥100百分比</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rPr>
                <w:sz w:val="18"/>
                <w:szCs w:val="18"/>
              </w:rPr>
            </w:pPr>
            <w:r>
              <w:rPr>
                <w:sz w:val="18"/>
                <w:szCs w:val="18"/>
              </w:rPr>
              <w:t>满意度指标</w:t>
            </w:r>
          </w:p>
        </w:tc>
        <w:tc>
          <w:tcPr>
            <w:tcW w:w="1276" w:type="dxa"/>
            <w:noWrap w:val="0"/>
            <w:vAlign w:val="center"/>
          </w:tcPr>
          <w:p>
            <w:pPr>
              <w:pStyle w:val="17"/>
              <w:rPr>
                <w:sz w:val="18"/>
                <w:szCs w:val="18"/>
              </w:rPr>
            </w:pPr>
            <w:r>
              <w:rPr>
                <w:sz w:val="18"/>
                <w:szCs w:val="18"/>
              </w:rPr>
              <w:t>服务对象满意度指标</w:t>
            </w:r>
          </w:p>
        </w:tc>
        <w:tc>
          <w:tcPr>
            <w:tcW w:w="1332" w:type="dxa"/>
            <w:noWrap w:val="0"/>
            <w:vAlign w:val="center"/>
          </w:tcPr>
          <w:p>
            <w:pPr>
              <w:pStyle w:val="17"/>
              <w:rPr>
                <w:sz w:val="18"/>
                <w:szCs w:val="18"/>
              </w:rPr>
            </w:pPr>
            <w:r>
              <w:rPr>
                <w:sz w:val="18"/>
                <w:szCs w:val="18"/>
              </w:rPr>
              <w:t>群众满意度</w:t>
            </w:r>
          </w:p>
        </w:tc>
        <w:tc>
          <w:tcPr>
            <w:tcW w:w="2891" w:type="dxa"/>
            <w:noWrap w:val="0"/>
            <w:vAlign w:val="center"/>
          </w:tcPr>
          <w:p>
            <w:pPr>
              <w:pStyle w:val="17"/>
              <w:rPr>
                <w:sz w:val="18"/>
                <w:szCs w:val="18"/>
              </w:rPr>
            </w:pPr>
            <w:r>
              <w:rPr>
                <w:sz w:val="18"/>
                <w:szCs w:val="18"/>
              </w:rPr>
              <w:t>群众满意度</w:t>
            </w:r>
          </w:p>
        </w:tc>
        <w:tc>
          <w:tcPr>
            <w:tcW w:w="1276" w:type="dxa"/>
            <w:noWrap w:val="0"/>
            <w:vAlign w:val="center"/>
          </w:tcPr>
          <w:p>
            <w:pPr>
              <w:pStyle w:val="17"/>
              <w:rPr>
                <w:sz w:val="18"/>
                <w:szCs w:val="18"/>
              </w:rPr>
            </w:pPr>
            <w:r>
              <w:rPr>
                <w:sz w:val="18"/>
                <w:szCs w:val="18"/>
              </w:rPr>
              <w:t>≥90百分比</w:t>
            </w:r>
          </w:p>
        </w:tc>
        <w:tc>
          <w:tcPr>
            <w:tcW w:w="1843" w:type="dxa"/>
            <w:noWrap w:val="0"/>
            <w:vAlign w:val="center"/>
          </w:tcPr>
          <w:p>
            <w:pPr>
              <w:pStyle w:val="17"/>
              <w:rPr>
                <w:sz w:val="18"/>
                <w:szCs w:val="18"/>
              </w:rPr>
            </w:pPr>
            <w:r>
              <w:rPr>
                <w:sz w:val="18"/>
                <w:szCs w:val="18"/>
              </w:rPr>
              <w:t>省院绩效考核标准</w:t>
            </w:r>
          </w:p>
        </w:tc>
      </w:tr>
    </w:tbl>
    <w:p>
      <w:pPr>
        <w:spacing w:before="10" w:after="10"/>
        <w:ind w:firstLine="640"/>
        <w:outlineLvl w:val="0"/>
        <w:rPr>
          <w:rFonts w:ascii="黑体" w:hAnsi="黑体" w:eastAsia="黑体" w:cs="黑体"/>
          <w:color w:val="000000"/>
          <w:sz w:val="32"/>
        </w:rPr>
      </w:pPr>
      <w:bookmarkStart w:id="18" w:name="_Toc27566"/>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rFonts w:ascii="黑体" w:hAnsi="黑体" w:eastAsia="黑体" w:cs="黑体"/>
          <w:color w:val="000000"/>
          <w:sz w:val="32"/>
        </w:rPr>
      </w:pPr>
    </w:p>
    <w:p>
      <w:pPr>
        <w:spacing w:before="10" w:after="10"/>
        <w:ind w:firstLine="640"/>
        <w:outlineLvl w:val="0"/>
        <w:rPr>
          <w:b/>
          <w:bCs/>
        </w:rPr>
      </w:pPr>
      <w:r>
        <w:rPr>
          <w:rFonts w:ascii="黑体" w:hAnsi="黑体" w:eastAsia="黑体" w:cs="黑体"/>
          <w:b/>
          <w:bCs/>
          <w:color w:val="000000"/>
          <w:sz w:val="32"/>
        </w:rPr>
        <w:t>六、政府采购预算情况</w:t>
      </w:r>
      <w:bookmarkEnd w:id="18"/>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年我院</w:t>
      </w:r>
      <w:r>
        <w:rPr>
          <w:rFonts w:hint="eastAsia" w:ascii="仿宋" w:hAnsi="仿宋" w:eastAsia="仿宋" w:cs="仿宋"/>
          <w:b/>
          <w:bCs/>
          <w:sz w:val="32"/>
          <w:szCs w:val="32"/>
          <w:lang w:val="en-US" w:eastAsia="zh-CN"/>
        </w:rPr>
        <w:t>预算</w:t>
      </w:r>
      <w:r>
        <w:rPr>
          <w:rFonts w:hint="eastAsia" w:ascii="仿宋" w:hAnsi="仿宋" w:eastAsia="仿宋" w:cs="仿宋"/>
          <w:b/>
          <w:bCs/>
          <w:sz w:val="32"/>
          <w:szCs w:val="32"/>
        </w:rPr>
        <w:t>没有安排政府采购</w:t>
      </w:r>
      <w:r>
        <w:rPr>
          <w:rFonts w:hint="eastAsia" w:ascii="仿宋" w:hAnsi="仿宋" w:eastAsia="仿宋" w:cs="仿宋"/>
          <w:b/>
          <w:bCs/>
          <w:sz w:val="32"/>
          <w:szCs w:val="32"/>
          <w:lang w:val="en-US" w:eastAsia="zh-CN"/>
        </w:rPr>
        <w:t>项目，空表列示</w:t>
      </w:r>
      <w:r>
        <w:rPr>
          <w:rFonts w:hint="eastAsia" w:ascii="仿宋" w:hAnsi="仿宋" w:eastAsia="仿宋" w:cs="仿宋"/>
          <w:b/>
          <w:bCs/>
          <w:sz w:val="32"/>
          <w:szCs w:val="32"/>
        </w:rPr>
        <w:t>。</w:t>
      </w:r>
    </w:p>
    <w:p>
      <w:pPr>
        <w:spacing w:line="500" w:lineRule="exact"/>
        <w:ind w:firstLine="560"/>
      </w:pPr>
    </w:p>
    <w:p>
      <w:pPr>
        <w:jc w:val="center"/>
        <w:outlineLvl w:val="0"/>
      </w:pPr>
      <w:bookmarkStart w:id="19" w:name="_Toc22642"/>
      <w:r>
        <w:rPr>
          <w:rFonts w:ascii="方正小标宋_GBK" w:hAnsi="方正小标宋_GBK" w:eastAsia="方正小标宋_GBK" w:cs="方正小标宋_GBK"/>
          <w:color w:val="000000"/>
          <w:sz w:val="36"/>
        </w:rPr>
        <w:t>部门政府采购预算</w:t>
      </w:r>
      <w:bookmarkEnd w:id="19"/>
    </w:p>
    <w:tbl>
      <w:tblPr>
        <w:tblStyle w:val="9"/>
        <w:tblW w:w="139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8"/>
        <w:gridCol w:w="837"/>
        <w:gridCol w:w="985"/>
        <w:gridCol w:w="985"/>
        <w:gridCol w:w="616"/>
        <w:gridCol w:w="738"/>
        <w:gridCol w:w="741"/>
        <w:gridCol w:w="837"/>
        <w:gridCol w:w="837"/>
        <w:gridCol w:w="837"/>
        <w:gridCol w:w="837"/>
        <w:gridCol w:w="837"/>
        <w:gridCol w:w="837"/>
        <w:gridCol w:w="837"/>
        <w:gridCol w:w="842"/>
        <w:gridCol w:w="8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3" w:hRule="atLeast"/>
          <w:tblHeader/>
          <w:jc w:val="center"/>
        </w:trPr>
        <w:tc>
          <w:tcPr>
            <w:tcW w:w="6380"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161涞水县人民法院</w:t>
            </w:r>
          </w:p>
        </w:tc>
        <w:tc>
          <w:tcPr>
            <w:tcW w:w="7539"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tblHeader/>
          <w:jc w:val="center"/>
        </w:trPr>
        <w:tc>
          <w:tcPr>
            <w:tcW w:w="2315" w:type="dxa"/>
            <w:gridSpan w:val="2"/>
            <w:vAlign w:val="center"/>
          </w:tcPr>
          <w:p>
            <w:pPr>
              <w:pStyle w:val="15"/>
            </w:pPr>
            <w:r>
              <w:t>政府采购项目来源</w:t>
            </w:r>
          </w:p>
        </w:tc>
        <w:tc>
          <w:tcPr>
            <w:tcW w:w="985" w:type="dxa"/>
            <w:vMerge w:val="restart"/>
            <w:vAlign w:val="center"/>
          </w:tcPr>
          <w:p>
            <w:pPr>
              <w:pStyle w:val="15"/>
            </w:pPr>
            <w:r>
              <w:t>采购物品名称</w:t>
            </w:r>
          </w:p>
        </w:tc>
        <w:tc>
          <w:tcPr>
            <w:tcW w:w="985" w:type="dxa"/>
            <w:vMerge w:val="restart"/>
            <w:vAlign w:val="center"/>
          </w:tcPr>
          <w:p>
            <w:pPr>
              <w:pStyle w:val="15"/>
            </w:pPr>
            <w:r>
              <w:t>政府采购目录序号</w:t>
            </w:r>
          </w:p>
        </w:tc>
        <w:tc>
          <w:tcPr>
            <w:tcW w:w="616" w:type="dxa"/>
            <w:vMerge w:val="restart"/>
            <w:vAlign w:val="center"/>
          </w:tcPr>
          <w:p>
            <w:pPr>
              <w:pStyle w:val="15"/>
            </w:pPr>
            <w:r>
              <w:t>计量  单位</w:t>
            </w:r>
          </w:p>
        </w:tc>
        <w:tc>
          <w:tcPr>
            <w:tcW w:w="738" w:type="dxa"/>
            <w:vMerge w:val="restart"/>
            <w:vAlign w:val="center"/>
          </w:tcPr>
          <w:p>
            <w:pPr>
              <w:pStyle w:val="15"/>
            </w:pPr>
            <w:r>
              <w:t>数量</w:t>
            </w:r>
          </w:p>
        </w:tc>
        <w:tc>
          <w:tcPr>
            <w:tcW w:w="741" w:type="dxa"/>
            <w:vMerge w:val="restart"/>
            <w:vAlign w:val="center"/>
          </w:tcPr>
          <w:p>
            <w:pPr>
              <w:pStyle w:val="15"/>
            </w:pPr>
            <w:r>
              <w:t>单价</w:t>
            </w:r>
          </w:p>
        </w:tc>
        <w:tc>
          <w:tcPr>
            <w:tcW w:w="6701" w:type="dxa"/>
            <w:gridSpan w:val="8"/>
            <w:vAlign w:val="center"/>
          </w:tcPr>
          <w:p>
            <w:pPr>
              <w:pStyle w:val="15"/>
            </w:pPr>
            <w:r>
              <w:t>政府采购金额（当年部门预算安排资金）</w:t>
            </w:r>
          </w:p>
        </w:tc>
        <w:tc>
          <w:tcPr>
            <w:tcW w:w="838"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95" w:hRule="atLeast"/>
          <w:tblHeader/>
          <w:jc w:val="center"/>
        </w:trPr>
        <w:tc>
          <w:tcPr>
            <w:tcW w:w="1478" w:type="dxa"/>
            <w:vAlign w:val="center"/>
          </w:tcPr>
          <w:p>
            <w:pPr>
              <w:pStyle w:val="15"/>
            </w:pPr>
            <w:r>
              <w:t>项目名称</w:t>
            </w:r>
          </w:p>
        </w:tc>
        <w:tc>
          <w:tcPr>
            <w:tcW w:w="837" w:type="dxa"/>
            <w:vAlign w:val="center"/>
          </w:tcPr>
          <w:p>
            <w:pPr>
              <w:pStyle w:val="15"/>
            </w:pPr>
            <w:r>
              <w:t>预算    资金</w:t>
            </w:r>
          </w:p>
        </w:tc>
        <w:tc>
          <w:tcPr>
            <w:tcW w:w="985" w:type="dxa"/>
            <w:vMerge w:val="continue"/>
          </w:tcPr>
          <w:p/>
        </w:tc>
        <w:tc>
          <w:tcPr>
            <w:tcW w:w="985" w:type="dxa"/>
            <w:vMerge w:val="continue"/>
          </w:tcPr>
          <w:p/>
        </w:tc>
        <w:tc>
          <w:tcPr>
            <w:tcW w:w="616" w:type="dxa"/>
            <w:vMerge w:val="continue"/>
          </w:tcPr>
          <w:p/>
        </w:tc>
        <w:tc>
          <w:tcPr>
            <w:tcW w:w="738" w:type="dxa"/>
            <w:vMerge w:val="continue"/>
          </w:tcPr>
          <w:p/>
        </w:tc>
        <w:tc>
          <w:tcPr>
            <w:tcW w:w="741" w:type="dxa"/>
            <w:vMerge w:val="continue"/>
          </w:tcPr>
          <w:p/>
        </w:tc>
        <w:tc>
          <w:tcPr>
            <w:tcW w:w="837" w:type="dxa"/>
            <w:vAlign w:val="center"/>
          </w:tcPr>
          <w:p>
            <w:pPr>
              <w:pStyle w:val="15"/>
            </w:pPr>
            <w:r>
              <w:t>合计</w:t>
            </w:r>
          </w:p>
        </w:tc>
        <w:tc>
          <w:tcPr>
            <w:tcW w:w="837" w:type="dxa"/>
            <w:vAlign w:val="center"/>
          </w:tcPr>
          <w:p>
            <w:pPr>
              <w:pStyle w:val="15"/>
            </w:pPr>
            <w:r>
              <w:t>一般公共预算拨款</w:t>
            </w:r>
          </w:p>
        </w:tc>
        <w:tc>
          <w:tcPr>
            <w:tcW w:w="837" w:type="dxa"/>
            <w:vAlign w:val="center"/>
          </w:tcPr>
          <w:p>
            <w:pPr>
              <w:pStyle w:val="15"/>
            </w:pPr>
            <w:r>
              <w:t>基金预算拨款</w:t>
            </w:r>
          </w:p>
        </w:tc>
        <w:tc>
          <w:tcPr>
            <w:tcW w:w="837" w:type="dxa"/>
            <w:vAlign w:val="center"/>
          </w:tcPr>
          <w:p>
            <w:pPr>
              <w:pStyle w:val="15"/>
            </w:pPr>
            <w:r>
              <w:t>国有资本经营预算拨款</w:t>
            </w:r>
          </w:p>
        </w:tc>
        <w:tc>
          <w:tcPr>
            <w:tcW w:w="837" w:type="dxa"/>
            <w:vAlign w:val="center"/>
          </w:tcPr>
          <w:p>
            <w:pPr>
              <w:pStyle w:val="15"/>
            </w:pPr>
            <w:r>
              <w:t>财政专户核拨</w:t>
            </w:r>
          </w:p>
        </w:tc>
        <w:tc>
          <w:tcPr>
            <w:tcW w:w="837" w:type="dxa"/>
            <w:vAlign w:val="center"/>
          </w:tcPr>
          <w:p>
            <w:pPr>
              <w:pStyle w:val="15"/>
            </w:pPr>
            <w:r>
              <w:t>单位    资金</w:t>
            </w:r>
          </w:p>
        </w:tc>
        <w:tc>
          <w:tcPr>
            <w:tcW w:w="837" w:type="dxa"/>
            <w:vAlign w:val="center"/>
          </w:tcPr>
          <w:p>
            <w:pPr>
              <w:pStyle w:val="15"/>
            </w:pPr>
            <w:r>
              <w:t>财政拨    款结转</w:t>
            </w:r>
          </w:p>
        </w:tc>
        <w:tc>
          <w:tcPr>
            <w:tcW w:w="842" w:type="dxa"/>
            <w:vAlign w:val="center"/>
          </w:tcPr>
          <w:p>
            <w:pPr>
              <w:pStyle w:val="15"/>
            </w:pPr>
            <w:r>
              <w:t>非财政    拨款结    转结余</w:t>
            </w:r>
          </w:p>
        </w:tc>
        <w:tc>
          <w:tcPr>
            <w:tcW w:w="8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jc w:val="center"/>
        </w:trPr>
        <w:tc>
          <w:tcPr>
            <w:tcW w:w="1478" w:type="dxa"/>
            <w:vAlign w:val="center"/>
          </w:tcPr>
          <w:p>
            <w:pPr>
              <w:pStyle w:val="19"/>
            </w:pPr>
            <w:r>
              <w:t>合  计</w:t>
            </w:r>
          </w:p>
        </w:tc>
        <w:tc>
          <w:tcPr>
            <w:tcW w:w="837" w:type="dxa"/>
            <w:vAlign w:val="center"/>
          </w:tcPr>
          <w:p>
            <w:pPr>
              <w:pStyle w:val="20"/>
            </w:pPr>
          </w:p>
        </w:tc>
        <w:tc>
          <w:tcPr>
            <w:tcW w:w="985" w:type="dxa"/>
            <w:vAlign w:val="center"/>
          </w:tcPr>
          <w:p>
            <w:pPr>
              <w:pStyle w:val="21"/>
            </w:pPr>
          </w:p>
        </w:tc>
        <w:tc>
          <w:tcPr>
            <w:tcW w:w="985" w:type="dxa"/>
            <w:vAlign w:val="center"/>
          </w:tcPr>
          <w:p>
            <w:pPr>
              <w:pStyle w:val="21"/>
            </w:pPr>
          </w:p>
        </w:tc>
        <w:tc>
          <w:tcPr>
            <w:tcW w:w="616" w:type="dxa"/>
            <w:vAlign w:val="center"/>
          </w:tcPr>
          <w:p>
            <w:pPr>
              <w:pStyle w:val="19"/>
            </w:pPr>
          </w:p>
        </w:tc>
        <w:tc>
          <w:tcPr>
            <w:tcW w:w="738" w:type="dxa"/>
            <w:vAlign w:val="center"/>
          </w:tcPr>
          <w:p>
            <w:pPr>
              <w:pStyle w:val="20"/>
            </w:pPr>
          </w:p>
        </w:tc>
        <w:tc>
          <w:tcPr>
            <w:tcW w:w="741"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42" w:type="dxa"/>
            <w:vAlign w:val="center"/>
          </w:tcPr>
          <w:p>
            <w:pPr>
              <w:pStyle w:val="20"/>
            </w:pPr>
          </w:p>
        </w:tc>
        <w:tc>
          <w:tcPr>
            <w:tcW w:w="838"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jc w:val="center"/>
        </w:trPr>
        <w:tc>
          <w:tcPr>
            <w:tcW w:w="1478" w:type="dxa"/>
            <w:vAlign w:val="center"/>
          </w:tcPr>
          <w:p>
            <w:pPr>
              <w:pStyle w:val="19"/>
            </w:pPr>
          </w:p>
        </w:tc>
        <w:tc>
          <w:tcPr>
            <w:tcW w:w="837" w:type="dxa"/>
            <w:vAlign w:val="center"/>
          </w:tcPr>
          <w:p>
            <w:pPr>
              <w:pStyle w:val="20"/>
            </w:pPr>
          </w:p>
        </w:tc>
        <w:tc>
          <w:tcPr>
            <w:tcW w:w="985" w:type="dxa"/>
            <w:vAlign w:val="center"/>
          </w:tcPr>
          <w:p>
            <w:pPr>
              <w:pStyle w:val="21"/>
            </w:pPr>
          </w:p>
        </w:tc>
        <w:tc>
          <w:tcPr>
            <w:tcW w:w="985" w:type="dxa"/>
            <w:vAlign w:val="center"/>
          </w:tcPr>
          <w:p>
            <w:pPr>
              <w:pStyle w:val="21"/>
            </w:pPr>
          </w:p>
        </w:tc>
        <w:tc>
          <w:tcPr>
            <w:tcW w:w="616" w:type="dxa"/>
            <w:vAlign w:val="center"/>
          </w:tcPr>
          <w:p>
            <w:pPr>
              <w:pStyle w:val="19"/>
            </w:pPr>
          </w:p>
        </w:tc>
        <w:tc>
          <w:tcPr>
            <w:tcW w:w="738" w:type="dxa"/>
            <w:vAlign w:val="center"/>
          </w:tcPr>
          <w:p>
            <w:pPr>
              <w:pStyle w:val="20"/>
            </w:pPr>
          </w:p>
        </w:tc>
        <w:tc>
          <w:tcPr>
            <w:tcW w:w="741"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42" w:type="dxa"/>
            <w:vAlign w:val="center"/>
          </w:tcPr>
          <w:p>
            <w:pPr>
              <w:pStyle w:val="20"/>
            </w:pPr>
          </w:p>
        </w:tc>
        <w:tc>
          <w:tcPr>
            <w:tcW w:w="838"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4" w:hRule="atLeast"/>
          <w:jc w:val="center"/>
        </w:trPr>
        <w:tc>
          <w:tcPr>
            <w:tcW w:w="1478" w:type="dxa"/>
            <w:vAlign w:val="center"/>
          </w:tcPr>
          <w:p>
            <w:pPr>
              <w:pStyle w:val="19"/>
            </w:pPr>
          </w:p>
        </w:tc>
        <w:tc>
          <w:tcPr>
            <w:tcW w:w="837" w:type="dxa"/>
            <w:vAlign w:val="center"/>
          </w:tcPr>
          <w:p>
            <w:pPr>
              <w:pStyle w:val="20"/>
            </w:pPr>
          </w:p>
        </w:tc>
        <w:tc>
          <w:tcPr>
            <w:tcW w:w="985" w:type="dxa"/>
            <w:vAlign w:val="center"/>
          </w:tcPr>
          <w:p>
            <w:pPr>
              <w:pStyle w:val="21"/>
            </w:pPr>
          </w:p>
        </w:tc>
        <w:tc>
          <w:tcPr>
            <w:tcW w:w="985" w:type="dxa"/>
            <w:vAlign w:val="center"/>
          </w:tcPr>
          <w:p>
            <w:pPr>
              <w:pStyle w:val="21"/>
            </w:pPr>
          </w:p>
        </w:tc>
        <w:tc>
          <w:tcPr>
            <w:tcW w:w="616" w:type="dxa"/>
            <w:vAlign w:val="center"/>
          </w:tcPr>
          <w:p>
            <w:pPr>
              <w:pStyle w:val="19"/>
            </w:pPr>
          </w:p>
        </w:tc>
        <w:tc>
          <w:tcPr>
            <w:tcW w:w="738" w:type="dxa"/>
            <w:vAlign w:val="center"/>
          </w:tcPr>
          <w:p>
            <w:pPr>
              <w:pStyle w:val="20"/>
            </w:pPr>
          </w:p>
        </w:tc>
        <w:tc>
          <w:tcPr>
            <w:tcW w:w="741"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37" w:type="dxa"/>
            <w:vAlign w:val="center"/>
          </w:tcPr>
          <w:p>
            <w:pPr>
              <w:pStyle w:val="20"/>
            </w:pPr>
          </w:p>
        </w:tc>
        <w:tc>
          <w:tcPr>
            <w:tcW w:w="842" w:type="dxa"/>
            <w:vAlign w:val="center"/>
          </w:tcPr>
          <w:p>
            <w:pPr>
              <w:pStyle w:val="20"/>
            </w:pPr>
          </w:p>
        </w:tc>
        <w:tc>
          <w:tcPr>
            <w:tcW w:w="838" w:type="dxa"/>
            <w:vAlign w:val="center"/>
          </w:tcPr>
          <w:p>
            <w:pPr>
              <w:pStyle w:val="20"/>
            </w:pPr>
          </w:p>
        </w:tc>
      </w:tr>
    </w:tbl>
    <w:p>
      <w:pPr>
        <w:spacing w:line="500" w:lineRule="exact"/>
        <w:ind w:firstLine="420"/>
        <w:rPr>
          <w:rFonts w:ascii="方正书宋_GBK" w:hAnsi="方正书宋_GBK" w:eastAsia="方正书宋_GBK" w:cs="方正书宋_GBK"/>
          <w:color w:val="000000"/>
          <w:sz w:val="21"/>
        </w:rPr>
      </w:pPr>
    </w:p>
    <w:p>
      <w:pPr>
        <w:ind w:firstLine="301" w:firstLineChars="100"/>
        <w:rPr>
          <w:rFonts w:hint="eastAsia" w:ascii="仿宋" w:hAnsi="仿宋" w:eastAsia="仿宋"/>
          <w:sz w:val="32"/>
          <w:szCs w:val="32"/>
        </w:rPr>
      </w:pPr>
      <w:r>
        <w:rPr>
          <w:rFonts w:hint="eastAsia" w:ascii="仿宋_GB2312" w:hAnsi="仿宋_GB2312" w:eastAsia="仿宋_GB2312" w:cs="仿宋_GB2312"/>
          <w:b/>
          <w:bCs/>
          <w:sz w:val="30"/>
          <w:szCs w:val="30"/>
        </w:rPr>
        <w:t>注：无政府采购预算，空表列示。</w:t>
      </w:r>
    </w:p>
    <w:p>
      <w:pPr>
        <w:ind w:firstLine="640"/>
      </w:pPr>
      <w:r>
        <w:rPr>
          <w:rFonts w:eastAsia="方正仿宋_GBK"/>
          <w:color w:val="000000"/>
          <w:sz w:val="32"/>
        </w:rPr>
        <w:t xml:space="preserve"> </w:t>
      </w:r>
    </w:p>
    <w:p>
      <w:pPr>
        <w:spacing w:before="10" w:after="10"/>
        <w:ind w:firstLine="640"/>
        <w:outlineLvl w:val="9"/>
        <w:rPr>
          <w:rFonts w:ascii="黑体" w:hAnsi="黑体" w:eastAsia="黑体" w:cs="黑体"/>
          <w:color w:val="000000"/>
          <w:sz w:val="32"/>
        </w:rPr>
      </w:pPr>
    </w:p>
    <w:p>
      <w:pPr>
        <w:spacing w:before="10" w:after="10"/>
        <w:ind w:firstLine="640"/>
        <w:outlineLvl w:val="9"/>
        <w:rPr>
          <w:rFonts w:ascii="黑体" w:hAnsi="黑体" w:eastAsia="黑体" w:cs="黑体"/>
          <w:color w:val="000000"/>
          <w:sz w:val="32"/>
        </w:rPr>
      </w:pPr>
    </w:p>
    <w:p>
      <w:pPr>
        <w:spacing w:before="10" w:after="10"/>
        <w:ind w:firstLine="640"/>
        <w:outlineLvl w:val="9"/>
        <w:rPr>
          <w:rFonts w:ascii="黑体" w:hAnsi="黑体" w:eastAsia="黑体" w:cs="黑体"/>
          <w:color w:val="000000"/>
          <w:sz w:val="32"/>
        </w:rPr>
      </w:pPr>
    </w:p>
    <w:p>
      <w:pPr>
        <w:spacing w:before="10" w:after="10"/>
        <w:ind w:firstLine="640"/>
        <w:outlineLvl w:val="9"/>
        <w:rPr>
          <w:rFonts w:ascii="黑体" w:hAnsi="黑体" w:eastAsia="黑体" w:cs="黑体"/>
          <w:color w:val="000000"/>
          <w:sz w:val="32"/>
        </w:rPr>
      </w:pPr>
    </w:p>
    <w:p>
      <w:pPr>
        <w:spacing w:before="10" w:after="10"/>
        <w:ind w:firstLine="640"/>
        <w:outlineLvl w:val="9"/>
        <w:rPr>
          <w:rFonts w:ascii="黑体" w:hAnsi="黑体" w:eastAsia="黑体" w:cs="黑体"/>
          <w:color w:val="000000"/>
          <w:sz w:val="32"/>
        </w:rPr>
      </w:pPr>
    </w:p>
    <w:p>
      <w:pPr>
        <w:spacing w:before="10" w:after="10"/>
        <w:ind w:firstLine="640"/>
        <w:outlineLvl w:val="9"/>
        <w:rPr>
          <w:rFonts w:ascii="黑体" w:hAnsi="黑体" w:eastAsia="黑体" w:cs="黑体"/>
          <w:color w:val="000000"/>
          <w:sz w:val="32"/>
        </w:rPr>
      </w:pPr>
    </w:p>
    <w:p>
      <w:pPr>
        <w:spacing w:before="10" w:after="10"/>
        <w:ind w:firstLine="640"/>
        <w:outlineLvl w:val="9"/>
        <w:rPr>
          <w:rFonts w:ascii="黑体" w:hAnsi="黑体" w:eastAsia="黑体" w:cs="黑体"/>
          <w:color w:val="000000"/>
          <w:sz w:val="32"/>
        </w:rPr>
      </w:pPr>
    </w:p>
    <w:p>
      <w:pPr>
        <w:spacing w:before="10" w:after="10"/>
        <w:ind w:firstLine="640"/>
        <w:outlineLvl w:val="9"/>
        <w:rPr>
          <w:rFonts w:ascii="黑体" w:hAnsi="黑体" w:eastAsia="黑体" w:cs="黑体"/>
          <w:color w:val="000000"/>
          <w:sz w:val="32"/>
        </w:rPr>
      </w:pPr>
    </w:p>
    <w:p>
      <w:pPr>
        <w:spacing w:before="10" w:after="10"/>
        <w:ind w:firstLine="640"/>
        <w:outlineLvl w:val="0"/>
        <w:rPr>
          <w:b/>
          <w:bCs/>
        </w:rPr>
      </w:pPr>
      <w:bookmarkStart w:id="20" w:name="_Toc20395"/>
      <w:r>
        <w:rPr>
          <w:rFonts w:ascii="黑体" w:hAnsi="黑体" w:eastAsia="黑体" w:cs="黑体"/>
          <w:b/>
          <w:bCs/>
          <w:color w:val="000000"/>
          <w:sz w:val="32"/>
        </w:rPr>
        <w:t>七、国有资产信息</w:t>
      </w:r>
      <w:bookmarkEnd w:id="20"/>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截止到202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年年底我院国有资产总额2</w:t>
      </w:r>
      <w:r>
        <w:rPr>
          <w:rFonts w:hint="eastAsia" w:ascii="仿宋" w:hAnsi="仿宋" w:eastAsia="仿宋" w:cs="仿宋"/>
          <w:b/>
          <w:bCs/>
          <w:sz w:val="32"/>
          <w:szCs w:val="32"/>
          <w:lang w:val="en-US" w:eastAsia="zh-CN"/>
        </w:rPr>
        <w:t>289.32</w:t>
      </w:r>
      <w:r>
        <w:rPr>
          <w:rFonts w:hint="eastAsia" w:ascii="仿宋" w:hAnsi="仿宋" w:eastAsia="仿宋" w:cs="仿宋"/>
          <w:b/>
          <w:bCs/>
          <w:sz w:val="32"/>
          <w:szCs w:val="32"/>
        </w:rPr>
        <w:t>万元，其中业务用房(包括7个基层人民法庭)共计92</w:t>
      </w:r>
      <w:r>
        <w:rPr>
          <w:rFonts w:hint="eastAsia" w:ascii="仿宋" w:hAnsi="仿宋" w:eastAsia="仿宋" w:cs="仿宋"/>
          <w:b/>
          <w:bCs/>
          <w:sz w:val="32"/>
          <w:szCs w:val="32"/>
          <w:lang w:val="en-US" w:eastAsia="zh-CN"/>
        </w:rPr>
        <w:t>00</w:t>
      </w: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平米，价值</w:t>
      </w:r>
      <w:r>
        <w:rPr>
          <w:rFonts w:hint="eastAsia" w:ascii="仿宋" w:hAnsi="仿宋" w:eastAsia="仿宋" w:cs="仿宋"/>
          <w:b/>
          <w:bCs/>
          <w:sz w:val="32"/>
          <w:szCs w:val="32"/>
          <w:lang w:val="en-US" w:eastAsia="zh-CN"/>
        </w:rPr>
        <w:t>798.67</w:t>
      </w:r>
      <w:r>
        <w:rPr>
          <w:rFonts w:hint="eastAsia" w:ascii="仿宋" w:hAnsi="仿宋" w:eastAsia="仿宋" w:cs="仿宋"/>
          <w:b/>
          <w:bCs/>
          <w:sz w:val="32"/>
          <w:szCs w:val="32"/>
        </w:rPr>
        <w:t>万元；车辆共计18辆，价值200.2</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万元;单价在20万元以上的设备16件，436.40万元，其他资产</w:t>
      </w:r>
      <w:r>
        <w:rPr>
          <w:rFonts w:hint="eastAsia" w:ascii="仿宋" w:hAnsi="仿宋" w:eastAsia="仿宋" w:cs="仿宋"/>
          <w:b/>
          <w:bCs/>
          <w:sz w:val="32"/>
          <w:szCs w:val="32"/>
          <w:lang w:val="en-US" w:eastAsia="zh-CN"/>
        </w:rPr>
        <w:t>854</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05</w:t>
      </w:r>
      <w:r>
        <w:rPr>
          <w:rFonts w:hint="eastAsia" w:ascii="仿宋" w:hAnsi="仿宋" w:eastAsia="仿宋" w:cs="仿宋"/>
          <w:b/>
          <w:bCs/>
          <w:sz w:val="32"/>
          <w:szCs w:val="32"/>
        </w:rPr>
        <w:t>万元。202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年我院拟增固定资产</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0万元，包括</w:t>
      </w:r>
      <w:r>
        <w:rPr>
          <w:rFonts w:hint="eastAsia" w:ascii="仿宋" w:hAnsi="仿宋" w:eastAsia="仿宋" w:cs="仿宋"/>
          <w:b/>
          <w:bCs/>
          <w:sz w:val="32"/>
          <w:szCs w:val="32"/>
          <w:lang w:val="en-US" w:eastAsia="zh-CN"/>
        </w:rPr>
        <w:t>信息</w:t>
      </w:r>
      <w:r>
        <w:rPr>
          <w:rFonts w:hint="eastAsia" w:ascii="仿宋" w:hAnsi="仿宋" w:eastAsia="仿宋" w:cs="仿宋"/>
          <w:b/>
          <w:bCs/>
          <w:sz w:val="32"/>
          <w:szCs w:val="32"/>
        </w:rPr>
        <w:t>中心升级改造</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0</w:t>
      </w:r>
      <w:r>
        <w:rPr>
          <w:rFonts w:hint="eastAsia" w:ascii="仿宋" w:hAnsi="仿宋" w:eastAsia="仿宋" w:cs="仿宋"/>
          <w:b/>
          <w:bCs/>
          <w:sz w:val="32"/>
          <w:szCs w:val="32"/>
          <w:lang w:val="en-US" w:eastAsia="zh-CN"/>
        </w:rPr>
        <w:t>.00</w:t>
      </w:r>
      <w:r>
        <w:rPr>
          <w:rFonts w:hint="eastAsia" w:ascii="仿宋" w:hAnsi="仿宋" w:eastAsia="仿宋" w:cs="仿宋"/>
          <w:b/>
          <w:bCs/>
          <w:sz w:val="32"/>
          <w:szCs w:val="32"/>
        </w:rPr>
        <w:t>万元；法警装备1批，</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0</w:t>
      </w:r>
      <w:r>
        <w:rPr>
          <w:rFonts w:hint="eastAsia" w:ascii="仿宋" w:hAnsi="仿宋" w:eastAsia="仿宋" w:cs="仿宋"/>
          <w:b/>
          <w:bCs/>
          <w:sz w:val="32"/>
          <w:szCs w:val="32"/>
          <w:lang w:val="en-US" w:eastAsia="zh-CN"/>
        </w:rPr>
        <w:t>.00</w:t>
      </w:r>
      <w:r>
        <w:rPr>
          <w:rFonts w:hint="eastAsia" w:ascii="仿宋" w:hAnsi="仿宋" w:eastAsia="仿宋" w:cs="仿宋"/>
          <w:b/>
          <w:bCs/>
          <w:sz w:val="32"/>
          <w:szCs w:val="32"/>
        </w:rPr>
        <w:t>万元</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科技法庭升级改造30.00万元</w:t>
      </w:r>
      <w:r>
        <w:rPr>
          <w:rFonts w:hint="eastAsia" w:ascii="仿宋" w:hAnsi="仿宋" w:eastAsia="仿宋" w:cs="仿宋"/>
          <w:b/>
          <w:bCs/>
          <w:sz w:val="32"/>
          <w:szCs w:val="32"/>
        </w:rPr>
        <w:t>。</w:t>
      </w:r>
    </w:p>
    <w:p>
      <w:pPr>
        <w:spacing w:line="500" w:lineRule="exact"/>
        <w:ind w:firstLine="560"/>
        <w:rPr>
          <w:rFonts w:hint="eastAsia" w:eastAsia="方正仿宋_GBK"/>
          <w:color w:val="000000"/>
          <w:sz w:val="28"/>
          <w:lang w:eastAsia="zh-CN"/>
        </w:rPr>
      </w:pPr>
    </w:p>
    <w:p>
      <w:pPr>
        <w:jc w:val="center"/>
        <w:outlineLvl w:val="0"/>
        <w:rPr>
          <w:rFonts w:ascii="方正小标宋_GBK" w:hAnsi="方正小标宋_GBK" w:eastAsia="方正小标宋_GBK" w:cs="方正小标宋_GBK"/>
          <w:color w:val="000000"/>
          <w:sz w:val="36"/>
          <w:lang w:eastAsia="zh-CN"/>
        </w:rPr>
      </w:pPr>
      <w:bookmarkStart w:id="21" w:name="_Toc10726"/>
      <w:r>
        <w:rPr>
          <w:rFonts w:ascii="方正小标宋_GBK" w:hAnsi="方正小标宋_GBK" w:eastAsia="方正小标宋_GBK" w:cs="方正小标宋_GBK"/>
          <w:color w:val="000000"/>
          <w:sz w:val="36"/>
        </w:rPr>
        <w:t>部门固定资产占用情况表</w:t>
      </w:r>
      <w:bookmarkEnd w:id="21"/>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pStyle w:val="8"/>
        <w:shd w:val="clear" w:color="auto" w:fill="FFFFFF"/>
        <w:spacing w:before="0" w:beforeAutospacing="0" w:after="0" w:afterAutospacing="0" w:line="520" w:lineRule="exact"/>
        <w:ind w:firstLine="640"/>
        <w:rPr>
          <w:rFonts w:hint="eastAsia"/>
          <w:sz w:val="20"/>
          <w:szCs w:val="20"/>
        </w:rPr>
      </w:pPr>
      <w:r>
        <w:rPr>
          <w:rFonts w:hint="eastAsia" w:ascii="仿宋" w:hAnsi="仿宋" w:eastAsia="仿宋" w:cs="仿宋"/>
          <w:sz w:val="32"/>
          <w:szCs w:val="32"/>
        </w:rPr>
        <w:t xml:space="preserve">                       </w:t>
      </w:r>
      <w:r>
        <w:rPr>
          <w:rFonts w:hint="eastAsia"/>
          <w:sz w:val="20"/>
          <w:szCs w:val="20"/>
        </w:rPr>
        <w:t xml:space="preserve">                       </w:t>
      </w:r>
      <w:r>
        <w:rPr>
          <w:rFonts w:hint="eastAsia" w:eastAsia="宋体"/>
          <w:sz w:val="20"/>
          <w:szCs w:val="20"/>
          <w:lang w:val="en-US" w:eastAsia="zh-CN"/>
        </w:rPr>
        <w:t xml:space="preserve">                                </w:t>
      </w:r>
      <w:r>
        <w:rPr>
          <w:rFonts w:hint="eastAsia"/>
          <w:bCs/>
          <w:color w:val="000000"/>
          <w:sz w:val="20"/>
          <w:szCs w:val="20"/>
        </w:rPr>
        <w:t>截止时间：20</w:t>
      </w:r>
      <w:r>
        <w:rPr>
          <w:rFonts w:hint="eastAsia"/>
          <w:bCs/>
          <w:color w:val="000000"/>
          <w:sz w:val="20"/>
          <w:szCs w:val="20"/>
          <w:lang w:val="en-US" w:eastAsia="zh-CN"/>
        </w:rPr>
        <w:t>21</w:t>
      </w:r>
      <w:r>
        <w:rPr>
          <w:rFonts w:hint="eastAsia"/>
          <w:bCs/>
          <w:color w:val="000000"/>
          <w:sz w:val="20"/>
          <w:szCs w:val="20"/>
        </w:rPr>
        <w:t>年12月31日</w:t>
      </w:r>
      <w:r>
        <w:rPr>
          <w:rFonts w:hint="eastAsia"/>
          <w:sz w:val="20"/>
          <w:szCs w:val="20"/>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7"/>
        <w:gridCol w:w="1512"/>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57" w:type="dxa"/>
            <w:noWrap w:val="0"/>
            <w:vAlign w:val="center"/>
          </w:tcPr>
          <w:p>
            <w:pPr>
              <w:widowControl/>
              <w:jc w:val="center"/>
              <w:rPr>
                <w:rFonts w:hint="eastAsia" w:ascii="宋体" w:hAnsi="宋体" w:cs="宋体"/>
                <w:sz w:val="20"/>
                <w:szCs w:val="20"/>
              </w:rPr>
            </w:pPr>
            <w:r>
              <w:rPr>
                <w:rFonts w:hint="eastAsia" w:ascii="宋体" w:hAnsi="宋体" w:cs="宋体"/>
                <w:b/>
                <w:bCs/>
                <w:color w:val="000000"/>
                <w:kern w:val="0"/>
                <w:sz w:val="20"/>
                <w:szCs w:val="20"/>
              </w:rPr>
              <w:t>项　　目</w:t>
            </w:r>
          </w:p>
        </w:tc>
        <w:tc>
          <w:tcPr>
            <w:tcW w:w="1512" w:type="dxa"/>
            <w:noWrap w:val="0"/>
            <w:vAlign w:val="center"/>
          </w:tcPr>
          <w:p>
            <w:pPr>
              <w:widowControl/>
              <w:jc w:val="center"/>
              <w:rPr>
                <w:rFonts w:hint="eastAsia" w:ascii="宋体" w:hAnsi="宋体" w:cs="宋体"/>
                <w:sz w:val="20"/>
                <w:szCs w:val="20"/>
              </w:rPr>
            </w:pPr>
            <w:r>
              <w:rPr>
                <w:rFonts w:hint="eastAsia" w:ascii="宋体" w:hAnsi="宋体" w:cs="宋体"/>
                <w:b/>
                <w:bCs/>
                <w:color w:val="000000"/>
                <w:kern w:val="0"/>
                <w:sz w:val="20"/>
                <w:szCs w:val="20"/>
              </w:rPr>
              <w:t>数量</w:t>
            </w:r>
          </w:p>
        </w:tc>
        <w:tc>
          <w:tcPr>
            <w:tcW w:w="4210" w:type="dxa"/>
            <w:noWrap w:val="0"/>
            <w:vAlign w:val="center"/>
          </w:tcPr>
          <w:p>
            <w:pPr>
              <w:widowControl/>
              <w:jc w:val="center"/>
              <w:rPr>
                <w:rFonts w:hint="eastAsia" w:ascii="宋体" w:hAnsi="宋体" w:cs="宋体"/>
                <w:sz w:val="20"/>
                <w:szCs w:val="20"/>
              </w:rPr>
            </w:pPr>
            <w:r>
              <w:rPr>
                <w:rFonts w:hint="eastAsia" w:ascii="宋体" w:hAnsi="宋体" w:cs="宋体"/>
                <w:b/>
                <w:bCs/>
                <w:color w:val="000000"/>
                <w:kern w:val="0"/>
                <w:sz w:val="20"/>
                <w:szCs w:val="2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57" w:type="dxa"/>
            <w:noWrap w:val="0"/>
            <w:vAlign w:val="center"/>
          </w:tcPr>
          <w:p>
            <w:pPr>
              <w:widowControl/>
              <w:jc w:val="center"/>
              <w:rPr>
                <w:rFonts w:hint="eastAsia" w:ascii="宋体" w:hAnsi="宋体" w:cs="宋体"/>
                <w:sz w:val="20"/>
                <w:szCs w:val="20"/>
              </w:rPr>
            </w:pPr>
            <w:r>
              <w:rPr>
                <w:rFonts w:hint="eastAsia" w:ascii="宋体" w:hAnsi="宋体" w:cs="宋体"/>
                <w:b/>
                <w:bCs/>
                <w:color w:val="000000"/>
                <w:kern w:val="0"/>
                <w:sz w:val="20"/>
                <w:szCs w:val="20"/>
              </w:rPr>
              <w:t>固定资产总额</w:t>
            </w:r>
          </w:p>
        </w:tc>
        <w:tc>
          <w:tcPr>
            <w:tcW w:w="1512" w:type="dxa"/>
            <w:noWrap w:val="0"/>
            <w:vAlign w:val="center"/>
          </w:tcPr>
          <w:p>
            <w:pPr>
              <w:widowControl/>
              <w:jc w:val="center"/>
              <w:rPr>
                <w:rFonts w:hint="eastAsia" w:ascii="宋体" w:hAnsi="宋体" w:cs="宋体"/>
                <w:sz w:val="20"/>
                <w:szCs w:val="20"/>
              </w:rPr>
            </w:pPr>
            <w:r>
              <w:rPr>
                <w:rFonts w:hint="eastAsia" w:ascii="宋体" w:hAnsi="宋体" w:cs="宋体"/>
                <w:color w:val="000000"/>
                <w:kern w:val="0"/>
                <w:sz w:val="20"/>
                <w:szCs w:val="20"/>
              </w:rPr>
              <w:t>—</w:t>
            </w:r>
          </w:p>
        </w:tc>
        <w:tc>
          <w:tcPr>
            <w:tcW w:w="4210" w:type="dxa"/>
            <w:noWrap w:val="0"/>
            <w:vAlign w:val="center"/>
          </w:tcPr>
          <w:p>
            <w:pPr>
              <w:widowControl/>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2289.32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57" w:type="dxa"/>
            <w:noWrap w:val="0"/>
            <w:vAlign w:val="center"/>
          </w:tcPr>
          <w:p>
            <w:pPr>
              <w:widowControl/>
              <w:jc w:val="left"/>
              <w:rPr>
                <w:rFonts w:hint="eastAsia" w:ascii="宋体" w:hAnsi="宋体" w:cs="宋体"/>
                <w:sz w:val="20"/>
                <w:szCs w:val="20"/>
              </w:rPr>
            </w:pPr>
            <w:r>
              <w:rPr>
                <w:rFonts w:hint="eastAsia" w:ascii="宋体" w:hAnsi="宋体" w:cs="宋体"/>
                <w:color w:val="000000"/>
                <w:kern w:val="0"/>
                <w:sz w:val="20"/>
                <w:szCs w:val="20"/>
              </w:rPr>
              <w:t xml:space="preserve">  1、房屋（平方米）</w:t>
            </w:r>
          </w:p>
        </w:tc>
        <w:tc>
          <w:tcPr>
            <w:tcW w:w="1512" w:type="dxa"/>
            <w:noWrap w:val="0"/>
            <w:vAlign w:val="center"/>
          </w:tcPr>
          <w:p>
            <w:pPr>
              <w:widowControl/>
              <w:jc w:val="center"/>
              <w:rPr>
                <w:rFonts w:hint="eastAsia" w:ascii="宋体" w:hAnsi="宋体" w:cs="宋体"/>
                <w:sz w:val="20"/>
                <w:szCs w:val="20"/>
              </w:rPr>
            </w:pPr>
            <w:r>
              <w:rPr>
                <w:rFonts w:hint="eastAsia" w:ascii="宋体" w:hAnsi="宋体" w:cs="宋体"/>
                <w:sz w:val="20"/>
                <w:szCs w:val="20"/>
              </w:rPr>
              <w:t>92</w:t>
            </w:r>
            <w:r>
              <w:rPr>
                <w:rFonts w:hint="eastAsia" w:ascii="宋体" w:hAnsi="宋体" w:cs="宋体"/>
                <w:sz w:val="20"/>
                <w:szCs w:val="20"/>
                <w:lang w:val="en-US" w:eastAsia="zh-CN"/>
              </w:rPr>
              <w:t>00</w:t>
            </w:r>
            <w:r>
              <w:rPr>
                <w:rFonts w:hint="eastAsia" w:ascii="宋体" w:hAnsi="宋体" w:cs="宋体"/>
                <w:sz w:val="20"/>
                <w:szCs w:val="20"/>
              </w:rPr>
              <w:t>.3</w:t>
            </w:r>
          </w:p>
        </w:tc>
        <w:tc>
          <w:tcPr>
            <w:tcW w:w="4210" w:type="dxa"/>
            <w:noWrap w:val="0"/>
            <w:vAlign w:val="center"/>
          </w:tcPr>
          <w:p>
            <w:pPr>
              <w:widowControl/>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798.67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57" w:type="dxa"/>
            <w:noWrap w:val="0"/>
            <w:vAlign w:val="center"/>
          </w:tcPr>
          <w:p>
            <w:pPr>
              <w:jc w:val="left"/>
              <w:rPr>
                <w:rFonts w:hint="eastAsia" w:ascii="宋体" w:hAnsi="宋体" w:cs="宋体"/>
                <w:sz w:val="20"/>
                <w:szCs w:val="20"/>
              </w:rPr>
            </w:pPr>
            <w:r>
              <w:rPr>
                <w:rFonts w:hint="eastAsia" w:ascii="宋体" w:hAnsi="宋体" w:cs="宋体"/>
                <w:color w:val="000000"/>
                <w:kern w:val="0"/>
                <w:sz w:val="20"/>
                <w:szCs w:val="20"/>
              </w:rPr>
              <w:t xml:space="preserve">   其中：办公用房（平方米）</w:t>
            </w:r>
          </w:p>
        </w:tc>
        <w:tc>
          <w:tcPr>
            <w:tcW w:w="1512" w:type="dxa"/>
            <w:noWrap w:val="0"/>
            <w:vAlign w:val="center"/>
          </w:tcPr>
          <w:p>
            <w:pPr>
              <w:jc w:val="center"/>
              <w:rPr>
                <w:rFonts w:hint="eastAsia" w:ascii="宋体" w:hAnsi="宋体" w:cs="宋体"/>
                <w:sz w:val="20"/>
                <w:szCs w:val="20"/>
              </w:rPr>
            </w:pPr>
            <w:r>
              <w:rPr>
                <w:rFonts w:hint="eastAsia" w:ascii="宋体" w:hAnsi="宋体" w:cs="宋体"/>
                <w:sz w:val="20"/>
                <w:szCs w:val="20"/>
              </w:rPr>
              <w:t>864.40</w:t>
            </w:r>
          </w:p>
        </w:tc>
        <w:tc>
          <w:tcPr>
            <w:tcW w:w="4210" w:type="dxa"/>
            <w:noWrap w:val="0"/>
            <w:vAlign w:val="center"/>
          </w:tcPr>
          <w:p>
            <w:pPr>
              <w:jc w:val="center"/>
              <w:rPr>
                <w:rFonts w:hint="eastAsia" w:ascii="宋体" w:hAnsi="宋体" w:cs="宋体"/>
                <w:sz w:val="20"/>
                <w:szCs w:val="20"/>
              </w:rPr>
            </w:pPr>
            <w:r>
              <w:rPr>
                <w:rFonts w:hint="eastAsia" w:ascii="宋体" w:hAnsi="宋体" w:cs="宋体"/>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57" w:type="dxa"/>
            <w:noWrap w:val="0"/>
            <w:vAlign w:val="center"/>
          </w:tcPr>
          <w:p>
            <w:pPr>
              <w:widowControl/>
              <w:jc w:val="left"/>
              <w:rPr>
                <w:rFonts w:hint="eastAsia" w:ascii="宋体" w:hAnsi="宋体" w:cs="宋体"/>
                <w:sz w:val="20"/>
                <w:szCs w:val="20"/>
              </w:rPr>
            </w:pPr>
            <w:r>
              <w:rPr>
                <w:rFonts w:hint="eastAsia" w:ascii="宋体" w:hAnsi="宋体" w:cs="宋体"/>
                <w:color w:val="000000"/>
                <w:kern w:val="0"/>
                <w:sz w:val="20"/>
                <w:szCs w:val="20"/>
              </w:rPr>
              <w:t xml:space="preserve">  2、车辆（台、辆）</w:t>
            </w:r>
          </w:p>
        </w:tc>
        <w:tc>
          <w:tcPr>
            <w:tcW w:w="1512" w:type="dxa"/>
            <w:noWrap w:val="0"/>
            <w:vAlign w:val="center"/>
          </w:tcPr>
          <w:p>
            <w:pPr>
              <w:widowControl/>
              <w:jc w:val="center"/>
              <w:rPr>
                <w:rFonts w:hint="eastAsia" w:ascii="宋体" w:hAnsi="宋体" w:cs="宋体"/>
                <w:sz w:val="20"/>
                <w:szCs w:val="20"/>
              </w:rPr>
            </w:pPr>
            <w:r>
              <w:rPr>
                <w:rFonts w:hint="eastAsia" w:ascii="宋体" w:hAnsi="宋体" w:cs="宋体"/>
                <w:color w:val="000000"/>
                <w:kern w:val="0"/>
                <w:sz w:val="20"/>
                <w:szCs w:val="20"/>
              </w:rPr>
              <w:t>18</w:t>
            </w:r>
          </w:p>
        </w:tc>
        <w:tc>
          <w:tcPr>
            <w:tcW w:w="4210" w:type="dxa"/>
            <w:noWrap w:val="0"/>
            <w:vAlign w:val="center"/>
          </w:tcPr>
          <w:p>
            <w:pPr>
              <w:widowControl/>
              <w:jc w:val="center"/>
              <w:rPr>
                <w:rFonts w:hint="eastAsia" w:ascii="宋体" w:hAnsi="宋体" w:eastAsia="宋体" w:cs="宋体"/>
                <w:sz w:val="20"/>
                <w:szCs w:val="20"/>
                <w:lang w:eastAsia="zh-CN"/>
              </w:rPr>
            </w:pPr>
            <w:r>
              <w:rPr>
                <w:rFonts w:hint="eastAsia" w:ascii="宋体" w:hAnsi="宋体" w:cs="宋体"/>
                <w:color w:val="000000"/>
                <w:kern w:val="0"/>
                <w:sz w:val="20"/>
                <w:szCs w:val="20"/>
              </w:rPr>
              <w:t>200.2</w:t>
            </w:r>
            <w:r>
              <w:rPr>
                <w:rFonts w:hint="eastAsia" w:ascii="宋体" w:hAnsi="宋体" w:cs="宋体"/>
                <w:color w:val="00000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457" w:type="dxa"/>
            <w:noWrap w:val="0"/>
            <w:vAlign w:val="center"/>
          </w:tcPr>
          <w:p>
            <w:pPr>
              <w:widowControl/>
              <w:jc w:val="left"/>
              <w:rPr>
                <w:rFonts w:hint="eastAsia" w:ascii="宋体" w:hAnsi="宋体" w:cs="宋体"/>
                <w:sz w:val="20"/>
                <w:szCs w:val="20"/>
              </w:rPr>
            </w:pPr>
            <w:r>
              <w:rPr>
                <w:rFonts w:hint="eastAsia" w:ascii="宋体" w:hAnsi="宋体" w:cs="宋体"/>
                <w:color w:val="000000"/>
                <w:kern w:val="0"/>
                <w:sz w:val="20"/>
                <w:szCs w:val="20"/>
              </w:rPr>
              <w:t xml:space="preserve">  3、单价在20万元以上的设备</w:t>
            </w:r>
          </w:p>
        </w:tc>
        <w:tc>
          <w:tcPr>
            <w:tcW w:w="1512" w:type="dxa"/>
            <w:noWrap w:val="0"/>
            <w:vAlign w:val="center"/>
          </w:tcPr>
          <w:p>
            <w:pPr>
              <w:widowControl/>
              <w:jc w:val="center"/>
              <w:rPr>
                <w:rFonts w:hint="eastAsia" w:ascii="宋体" w:hAnsi="宋体" w:cs="宋体"/>
                <w:sz w:val="20"/>
                <w:szCs w:val="20"/>
              </w:rPr>
            </w:pPr>
            <w:r>
              <w:rPr>
                <w:rFonts w:hint="eastAsia" w:ascii="宋体" w:hAnsi="宋体" w:cs="宋体"/>
                <w:color w:val="000000"/>
                <w:kern w:val="0"/>
                <w:sz w:val="20"/>
                <w:szCs w:val="20"/>
              </w:rPr>
              <w:t>16</w:t>
            </w:r>
          </w:p>
        </w:tc>
        <w:tc>
          <w:tcPr>
            <w:tcW w:w="4210" w:type="dxa"/>
            <w:noWrap w:val="0"/>
            <w:vAlign w:val="center"/>
          </w:tcPr>
          <w:p>
            <w:pPr>
              <w:widowControl/>
              <w:jc w:val="center"/>
              <w:rPr>
                <w:rFonts w:hint="eastAsia" w:ascii="宋体" w:hAnsi="宋体" w:cs="宋体"/>
                <w:sz w:val="20"/>
                <w:szCs w:val="20"/>
              </w:rPr>
            </w:pPr>
            <w:r>
              <w:rPr>
                <w:rFonts w:hint="eastAsia" w:ascii="宋体" w:hAnsi="宋体" w:cs="宋体"/>
                <w:color w:val="000000"/>
                <w:kern w:val="0"/>
                <w:sz w:val="20"/>
                <w:szCs w:val="20"/>
              </w:rPr>
              <w:t>436.40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457" w:type="dxa"/>
            <w:noWrap w:val="0"/>
            <w:vAlign w:val="center"/>
          </w:tcPr>
          <w:p>
            <w:pPr>
              <w:jc w:val="left"/>
              <w:rPr>
                <w:rFonts w:hint="eastAsia" w:ascii="宋体" w:hAnsi="宋体" w:cs="宋体"/>
                <w:sz w:val="20"/>
                <w:szCs w:val="20"/>
              </w:rPr>
            </w:pPr>
            <w:r>
              <w:rPr>
                <w:rFonts w:hint="eastAsia" w:ascii="宋体" w:hAnsi="宋体" w:cs="宋体"/>
                <w:color w:val="000000"/>
                <w:kern w:val="0"/>
                <w:sz w:val="20"/>
                <w:szCs w:val="20"/>
              </w:rPr>
              <w:t xml:space="preserve">  4、其他固定资产</w:t>
            </w:r>
          </w:p>
        </w:tc>
        <w:tc>
          <w:tcPr>
            <w:tcW w:w="1512" w:type="dxa"/>
            <w:noWrap w:val="0"/>
            <w:vAlign w:val="center"/>
          </w:tcPr>
          <w:p>
            <w:pPr>
              <w:jc w:val="center"/>
              <w:rPr>
                <w:rFonts w:hint="eastAsia" w:ascii="宋体" w:hAnsi="宋体" w:cs="宋体"/>
                <w:sz w:val="20"/>
                <w:szCs w:val="20"/>
              </w:rPr>
            </w:pPr>
            <w:r>
              <w:rPr>
                <w:rFonts w:hint="eastAsia" w:ascii="宋体" w:hAnsi="宋体" w:cs="宋体"/>
                <w:color w:val="000000"/>
                <w:kern w:val="0"/>
                <w:sz w:val="20"/>
                <w:szCs w:val="20"/>
              </w:rPr>
              <w:t>—</w:t>
            </w:r>
          </w:p>
        </w:tc>
        <w:tc>
          <w:tcPr>
            <w:tcW w:w="4210" w:type="dxa"/>
            <w:noWrap w:val="0"/>
            <w:vAlign w:val="center"/>
          </w:tcPr>
          <w:p>
            <w:pPr>
              <w:jc w:val="center"/>
              <w:rPr>
                <w:rFonts w:hint="eastAsia" w:ascii="宋体" w:hAnsi="宋体" w:cs="宋体"/>
                <w:sz w:val="20"/>
                <w:szCs w:val="20"/>
              </w:rPr>
            </w:pPr>
            <w:r>
              <w:rPr>
                <w:rFonts w:hint="eastAsia" w:ascii="宋体" w:hAnsi="宋体" w:cs="宋体"/>
                <w:sz w:val="20"/>
                <w:szCs w:val="20"/>
                <w:lang w:val="en-US" w:eastAsia="zh-CN"/>
              </w:rPr>
              <w:t>854.05</w:t>
            </w:r>
          </w:p>
        </w:tc>
      </w:tr>
    </w:tbl>
    <w:p>
      <w:pPr>
        <w:ind w:firstLine="640"/>
      </w:pPr>
    </w:p>
    <w:p>
      <w:pPr>
        <w:spacing w:before="10" w:after="10"/>
        <w:ind w:firstLine="640"/>
        <w:outlineLvl w:val="9"/>
        <w:rPr>
          <w:rFonts w:ascii="黑体" w:hAnsi="黑体" w:eastAsia="黑体" w:cs="黑体"/>
          <w:color w:val="000000"/>
          <w:sz w:val="32"/>
        </w:rPr>
      </w:pPr>
    </w:p>
    <w:p>
      <w:pPr>
        <w:spacing w:before="10" w:after="10"/>
        <w:ind w:firstLine="640"/>
        <w:outlineLvl w:val="9"/>
        <w:rPr>
          <w:rFonts w:ascii="黑体" w:hAnsi="黑体" w:eastAsia="黑体" w:cs="黑体"/>
          <w:color w:val="000000"/>
          <w:sz w:val="32"/>
        </w:rPr>
      </w:pPr>
    </w:p>
    <w:p>
      <w:pPr>
        <w:spacing w:before="10" w:after="10"/>
        <w:ind w:firstLine="640"/>
        <w:outlineLvl w:val="0"/>
        <w:rPr>
          <w:rFonts w:ascii="黑体" w:hAnsi="黑体" w:eastAsia="黑体" w:cs="黑体"/>
          <w:b/>
          <w:bCs/>
          <w:color w:val="000000"/>
          <w:sz w:val="32"/>
        </w:rPr>
      </w:pPr>
      <w:bookmarkStart w:id="22" w:name="_Toc12851"/>
    </w:p>
    <w:p>
      <w:pPr>
        <w:spacing w:before="10" w:after="10"/>
        <w:ind w:firstLine="640"/>
        <w:outlineLvl w:val="0"/>
        <w:rPr>
          <w:b/>
          <w:bCs/>
        </w:rPr>
      </w:pPr>
      <w:r>
        <w:rPr>
          <w:rFonts w:ascii="黑体" w:hAnsi="黑体" w:eastAsia="黑体" w:cs="黑体"/>
          <w:b/>
          <w:bCs/>
          <w:color w:val="000000"/>
          <w:sz w:val="32"/>
        </w:rPr>
        <w:t>八、名词解释</w:t>
      </w:r>
      <w:bookmarkEnd w:id="22"/>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1、一般公共预算拨款收入：指省级财政当年拨付的资金。</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2、事业收入：指事业单位开展专业业务活动及辅助活动所取得的收入。</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3、其他收入：指除“一般公共预算拨款收入”、“事业收入”等以外的收入。主要是按规定动用的租房收入、存款利息收入等。</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4、基本支出：指为保障机构正常运转、完成日常工作任务而发生的人员支出和公用支出。</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5、项目支出：指在基本支出之外为完成特定行政任务和事业发展目标所发生的支出。</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6、上缴上级支出：指下级单位上缴上级的支出。</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9、上年结转：指以前年度尚未完成、结转到本年仍按原规定用途继续使用的资金。</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10、事业单位经营支出：指事业单位在专业业务活动及其辅助活动之外开展非独立核算经营活动发生的支出。</w:t>
      </w:r>
    </w:p>
    <w:p>
      <w:pPr>
        <w:spacing w:before="10" w:after="10"/>
        <w:ind w:firstLine="640"/>
        <w:outlineLvl w:val="0"/>
        <w:rPr>
          <w:b/>
          <w:bCs/>
        </w:rPr>
      </w:pPr>
      <w:bookmarkStart w:id="23" w:name="_Toc4159"/>
      <w:r>
        <w:rPr>
          <w:rFonts w:ascii="黑体" w:hAnsi="黑体" w:eastAsia="黑体" w:cs="黑体"/>
          <w:b/>
          <w:bCs/>
          <w:color w:val="000000"/>
          <w:sz w:val="32"/>
        </w:rPr>
        <w:t>九、其他需要说明的事项</w:t>
      </w:r>
      <w:bookmarkEnd w:id="23"/>
    </w:p>
    <w:p>
      <w:pPr>
        <w:spacing w:line="500" w:lineRule="exact"/>
        <w:ind w:firstLine="560"/>
        <w:rPr>
          <w:rFonts w:hint="eastAsia" w:ascii="仿宋" w:hAnsi="仿宋" w:eastAsia="仿宋" w:cs="仿宋"/>
          <w:b/>
          <w:bCs/>
          <w:sz w:val="32"/>
          <w:szCs w:val="32"/>
          <w:lang w:eastAsia="zh-CN"/>
        </w:rPr>
      </w:pPr>
      <w:r>
        <w:rPr>
          <w:rFonts w:hint="eastAsia" w:ascii="仿宋" w:hAnsi="仿宋" w:eastAsia="仿宋" w:cs="仿宋"/>
          <w:b/>
          <w:bCs/>
          <w:color w:val="000000"/>
          <w:sz w:val="32"/>
          <w:szCs w:val="32"/>
        </w:rPr>
        <w:t>我部门无其他需要说明的事项</w:t>
      </w:r>
      <w:r>
        <w:rPr>
          <w:rFonts w:hint="eastAsia" w:ascii="仿宋" w:hAnsi="仿宋" w:eastAsia="仿宋" w:cs="仿宋"/>
          <w:b/>
          <w:bCs/>
          <w:color w:val="000000"/>
          <w:sz w:val="32"/>
          <w:szCs w:val="32"/>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00000" w:csb1="00000000"/>
  </w:font>
  <w:font w:name="方正书宋_GBK">
    <w:altName w:val="微软雅黑"/>
    <w:panose1 w:val="02000000000000000000"/>
    <w:charset w:val="86"/>
    <w:family w:val="roman"/>
    <w:pitch w:val="default"/>
    <w:sig w:usb0="00000000" w:usb1="00000000" w:usb2="00000000" w:usb3="00000000" w:csb0="00000000" w:csb1="00000000"/>
  </w:font>
  <w:font w:name="方正新楷体_GBK">
    <w:altName w:val="楷体_GB2312"/>
    <w:panose1 w:val="02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MThlM2MyODBjMGE2MzUzNTc0NjJjMDM0NDVjMG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6F70782"/>
    <w:rsid w:val="0D007145"/>
    <w:rsid w:val="17F57993"/>
    <w:rsid w:val="18E81F09"/>
    <w:rsid w:val="1F001077"/>
    <w:rsid w:val="27012596"/>
    <w:rsid w:val="2C2B5572"/>
    <w:rsid w:val="2D1F4FE9"/>
    <w:rsid w:val="33F259F1"/>
    <w:rsid w:val="37497566"/>
    <w:rsid w:val="37CF26CA"/>
    <w:rsid w:val="41274E68"/>
    <w:rsid w:val="48BA73C9"/>
    <w:rsid w:val="4A6E08DD"/>
    <w:rsid w:val="548152EE"/>
    <w:rsid w:val="5B01542B"/>
    <w:rsid w:val="5CCA54AA"/>
    <w:rsid w:val="5FC83D59"/>
    <w:rsid w:val="618868A7"/>
    <w:rsid w:val="719D00D0"/>
    <w:rsid w:val="744D2D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 w:type="paragraph" w:customStyle="1" w:styleId="36">
    <w:name w:val="WPSOffice手动目录 1"/>
    <w:qFormat/>
    <w:uiPriority w:val="0"/>
    <w:pPr>
      <w:ind w:leftChars="0"/>
    </w:pPr>
    <w:rPr>
      <w:rFonts w:ascii="Times New Roman" w:hAnsi="Times New Roman" w:cs="Times New Roman" w:eastAsiaTheme="minorEastAsia"/>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3300B263-A8B2-4577-A8B1-07D060066AC1}">
  <ds:schemaRefs/>
</ds:datastoreItem>
</file>

<file path=customXml/itemProps12.xml><?xml version="1.0" encoding="utf-8"?>
<ds:datastoreItem xmlns:ds="http://schemas.openxmlformats.org/officeDocument/2006/customXml" ds:itemID="{1C4E702D-2594-4689-8404-84AFD7E73E52}">
  <ds:schemaRefs/>
</ds:datastoreItem>
</file>

<file path=customXml/itemProps13.xml><?xml version="1.0" encoding="utf-8"?>
<ds:datastoreItem xmlns:ds="http://schemas.openxmlformats.org/officeDocument/2006/customXml" ds:itemID="{C593EC27-B89C-46A8-9CF9-3B5AE2B23C20}">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C486A553-0F69-4945-B340-E49BCA32411A}">
  <ds:schemaRefs/>
</ds:datastoreItem>
</file>

<file path=customXml/itemProps16.xml><?xml version="1.0" encoding="utf-8"?>
<ds:datastoreItem xmlns:ds="http://schemas.openxmlformats.org/officeDocument/2006/customXml" ds:itemID="{C66F43F9-0AB8-4241-BA67-D8AE60CF6C21}">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127F30A9-AC64-4000-970B-04BBBAF6782F}">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6C8F0DDD-DA95-49D7-BEC9-54BED6023821}">
  <ds:schemaRefs/>
</ds:datastoreItem>
</file>

<file path=customXml/itemProps29.xml><?xml version="1.0" encoding="utf-8"?>
<ds:datastoreItem xmlns:ds="http://schemas.openxmlformats.org/officeDocument/2006/customXml" ds:itemID="{DD8D39B1-E032-4B64-9020-66CD65ABCD3B}">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240D75C0-5405-407A-9D88-451A6C53325C}">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B8034E79-3EC9-4FB4-8900-8DB566ED87F2}">
  <ds:schemaRefs/>
</ds:datastoreItem>
</file>

<file path=customXml/itemProps35.xml><?xml version="1.0" encoding="utf-8"?>
<ds:datastoreItem xmlns:ds="http://schemas.openxmlformats.org/officeDocument/2006/customXml" ds:itemID="{4D21B174-EFD5-481F-8023-ECD2C99EA6A5}">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55A60376-5F1A-4B58-BE70-A0B8CD8AC393}">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9413</Words>
  <Characters>11084</Characters>
  <Lines>107</Lines>
  <Paragraphs>30</Paragraphs>
  <TotalTime>1</TotalTime>
  <ScaleCrop>false</ScaleCrop>
  <LinksUpToDate>false</LinksUpToDate>
  <CharactersWithSpaces>11368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2022-06-26T03:00:04Z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