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line="270" w:lineRule="atLeast"/>
        <w:jc w:val="center"/>
        <w:rPr>
          <w:rFonts w:ascii="Tahoma" w:hAnsi="Tahoma" w:eastAsia="宋体" w:cs="Tahoma"/>
          <w:color w:val="000000"/>
          <w:kern w:val="0"/>
          <w:sz w:val="18"/>
          <w:szCs w:val="18"/>
        </w:rPr>
      </w:pPr>
      <w:r>
        <w:rPr>
          <w:rFonts w:ascii="黑体" w:hAnsi="黑体" w:eastAsia="黑体" w:cs="Tahoma"/>
          <w:color w:val="000000"/>
          <w:kern w:val="0"/>
          <w:sz w:val="44"/>
          <w:szCs w:val="44"/>
        </w:rPr>
        <w:t>涞水县民政局</w:t>
      </w:r>
      <w:r>
        <w:rPr>
          <w:rFonts w:hint="eastAsia" w:ascii="黑体" w:hAnsi="黑体" w:eastAsia="黑体" w:cs="Tahoma"/>
          <w:color w:val="000000"/>
          <w:kern w:val="0"/>
          <w:sz w:val="44"/>
          <w:szCs w:val="44"/>
        </w:rPr>
        <w:t>责任清单</w:t>
      </w:r>
    </w:p>
    <w:p>
      <w:pPr>
        <w:widowControl/>
        <w:shd w:val="clear" w:color="auto" w:fill="FFFFFF"/>
        <w:spacing w:before="75" w:after="75" w:line="270" w:lineRule="atLeast"/>
        <w:jc w:val="left"/>
        <w:rPr>
          <w:rFonts w:ascii="黑体" w:hAnsi="黑体" w:eastAsia="黑体" w:cs="Tahoma"/>
          <w:b/>
          <w:bCs/>
          <w:color w:val="000000"/>
          <w:kern w:val="0"/>
          <w:sz w:val="32"/>
          <w:szCs w:val="28"/>
        </w:rPr>
      </w:pPr>
      <w:r>
        <w:rPr>
          <w:rFonts w:ascii="黑体" w:hAnsi="黑体" w:eastAsia="黑体" w:cs="Tahoma"/>
          <w:b/>
          <w:bCs/>
          <w:color w:val="000000"/>
          <w:kern w:val="0"/>
          <w:sz w:val="32"/>
          <w:szCs w:val="28"/>
        </w:rPr>
        <w:t>行政处罚类</w:t>
      </w:r>
    </w:p>
    <w:tbl>
      <w:tblPr>
        <w:tblStyle w:val="5"/>
        <w:tblW w:w="13978" w:type="dxa"/>
        <w:jc w:val="center"/>
        <w:tblLayout w:type="fixed"/>
        <w:tblCellMar>
          <w:top w:w="0" w:type="dxa"/>
          <w:left w:w="0" w:type="dxa"/>
          <w:bottom w:w="0" w:type="dxa"/>
          <w:right w:w="0" w:type="dxa"/>
        </w:tblCellMar>
      </w:tblPr>
      <w:tblGrid>
        <w:gridCol w:w="1032"/>
        <w:gridCol w:w="3559"/>
        <w:gridCol w:w="1656"/>
        <w:gridCol w:w="6811"/>
        <w:gridCol w:w="920"/>
      </w:tblGrid>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黑体" w:hAnsi="黑体" w:eastAsia="黑体" w:cs="宋体"/>
                <w:kern w:val="0"/>
                <w:sz w:val="22"/>
                <w:szCs w:val="21"/>
              </w:rPr>
            </w:pPr>
            <w:r>
              <w:rPr>
                <w:rFonts w:hint="eastAsia" w:ascii="黑体" w:hAnsi="黑体" w:eastAsia="黑体" w:cs="宋体"/>
                <w:kern w:val="0"/>
                <w:sz w:val="22"/>
                <w:szCs w:val="21"/>
              </w:rPr>
              <w:t>序号</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黑体" w:hAnsi="黑体" w:eastAsia="黑体" w:cs="宋体"/>
                <w:kern w:val="0"/>
                <w:sz w:val="22"/>
                <w:szCs w:val="21"/>
              </w:rPr>
            </w:pPr>
            <w:r>
              <w:rPr>
                <w:rFonts w:hint="eastAsia" w:ascii="黑体" w:hAnsi="黑体" w:eastAsia="黑体" w:cs="宋体"/>
                <w:kern w:val="0"/>
                <w:sz w:val="22"/>
                <w:szCs w:val="21"/>
              </w:rPr>
              <w:t>项目名称</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黑体" w:hAnsi="黑体" w:eastAsia="黑体" w:cs="宋体"/>
                <w:kern w:val="0"/>
                <w:sz w:val="22"/>
                <w:szCs w:val="21"/>
              </w:rPr>
            </w:pPr>
            <w:r>
              <w:rPr>
                <w:rFonts w:hint="eastAsia" w:ascii="黑体" w:hAnsi="黑体" w:eastAsia="黑体" w:cs="宋体"/>
                <w:kern w:val="0"/>
                <w:sz w:val="22"/>
                <w:szCs w:val="21"/>
              </w:rPr>
              <w:t>实施机构</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黑体" w:hAnsi="黑体" w:eastAsia="黑体" w:cs="宋体"/>
                <w:kern w:val="0"/>
                <w:sz w:val="22"/>
                <w:szCs w:val="21"/>
              </w:rPr>
            </w:pPr>
            <w:r>
              <w:rPr>
                <w:rFonts w:hint="eastAsia" w:ascii="黑体" w:hAnsi="黑体" w:eastAsia="黑体" w:cs="宋体"/>
                <w:kern w:val="0"/>
                <w:sz w:val="22"/>
                <w:szCs w:val="21"/>
              </w:rPr>
              <w:t>实施依据</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黑体" w:hAnsi="黑体" w:eastAsia="黑体" w:cs="宋体"/>
                <w:kern w:val="0"/>
                <w:sz w:val="22"/>
                <w:szCs w:val="21"/>
              </w:rPr>
            </w:pPr>
            <w:r>
              <w:rPr>
                <w:rFonts w:hint="eastAsia" w:ascii="黑体" w:hAnsi="黑体" w:eastAsia="黑体" w:cs="宋体"/>
                <w:kern w:val="0"/>
                <w:sz w:val="22"/>
                <w:szCs w:val="21"/>
              </w:rPr>
              <w:t>备注</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擅自编制行政区域界线详图，或者绘制的地图的行政区域界线的画法与行政区域界线详图的画法不一致的处罚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textAlignment w:val="center"/>
              <w:rPr>
                <w:rFonts w:ascii="仿宋" w:hAnsi="仿宋" w:eastAsia="仿宋" w:cs="宋体"/>
                <w:kern w:val="0"/>
                <w:szCs w:val="21"/>
              </w:rPr>
            </w:pPr>
            <w:r>
              <w:rPr>
                <w:rFonts w:hint="eastAsia" w:ascii="仿宋" w:hAnsi="仿宋" w:eastAsia="仿宋" w:cs="宋体"/>
                <w:kern w:val="0"/>
                <w:szCs w:val="21"/>
              </w:rPr>
              <w:t>地名管理所</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textAlignment w:val="center"/>
              <w:rPr>
                <w:rFonts w:ascii="仿宋" w:hAnsi="仿宋" w:eastAsia="仿宋" w:cs="宋体"/>
                <w:kern w:val="0"/>
                <w:szCs w:val="21"/>
              </w:rPr>
            </w:pPr>
            <w:r>
              <w:rPr>
                <w:rFonts w:hint="eastAsia" w:ascii="仿宋" w:hAnsi="仿宋" w:eastAsia="仿宋" w:cs="宋体"/>
                <w:kern w:val="0"/>
                <w:szCs w:val="21"/>
              </w:rPr>
              <w:t>《行政区域界线管理条例》（国务院令第353号）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trHeight w:val="3463" w:hRule="atLeast"/>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2</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故意损毁或者擅自移动界桩或者其他行政区域界线标志物的处罚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地名管理所</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行政区域界线管理条例》（国务院令第353号）第十七条：“违反本条例的规定，故意损毁或者擅自移动界桩或者其他行政区域界线标志物的，应当支付修复标志物的费用，并由所在地负责管理该行政区域界线标志物的人民政府民政部门处1000元以下的罚款；构成违反治安管理行为的，并依法给予治安管理处罚。”　</w:t>
            </w:r>
            <w:r>
              <w:rPr>
                <w:rFonts w:hint="eastAsia" w:ascii="仿宋" w:hAnsi="仿宋" w:eastAsia="仿宋" w:cs="宋体"/>
                <w:kern w:val="0"/>
                <w:szCs w:val="21"/>
              </w:rPr>
              <w:br w:type="textWrapping"/>
            </w:r>
            <w:r>
              <w:rPr>
                <w:rFonts w:hint="eastAsia" w:ascii="宋体" w:hAnsi="宋体" w:eastAsia="仿宋" w:cs="宋体"/>
                <w:kern w:val="0"/>
                <w:szCs w:val="21"/>
              </w:rPr>
              <w:t xml:space="preserve">    </w:t>
            </w:r>
            <w:r>
              <w:rPr>
                <w:rFonts w:hint="eastAsia" w:ascii="仿宋" w:hAnsi="仿宋" w:eastAsia="仿宋" w:cs="宋体"/>
                <w:kern w:val="0"/>
                <w:szCs w:val="21"/>
              </w:rPr>
              <w:t>《河北省行政区域界线管理办法》（河北省人民政府令第123号）第十九条：“违反本办法的规定，故意损毁或者擅自移动界桩或者其他行政区域界线标志物的，应当支付修复标志物的费用，并由所在地负责管理该行政区域界线标志物的人民政府民政部门处1000元以下的罚款；构成违反治安管理行为的，并依法给予治安管理处罚。”</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trHeight w:val="1299" w:hRule="atLeast"/>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3</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社会团体在申请登记时弄虚作假，骗取登记的，或者自取得《社会团体法人登记证书》之日起1年未开展活动的处罚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《社会团体登记管理条例》（国务院令第250号）第三十二条：“社会团体在申请登记时弄虚作假，骗取登记的，或者自取得《社会团体法人登记证书》之日起１年未开展活动的，由登记管理机关予以撤销登记。”</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4</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社会团体涂改、出租、出借《社会团体法人证书》，或者出租、出借社会团体印章，超出章程规定的宗旨和业务范围进行活动，拒不接受或者不按照规定接受监督检查，不按照规定办理变更登记的，擅自设立分支机构、代表机构，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社会团体登记管理条例》（国务院令第250号）第三十三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擅自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１倍以上３倍以下或者违法所得３倍以上５倍以下的罚款。</w:t>
            </w:r>
            <w:r>
              <w:rPr>
                <w:rFonts w:hint="eastAsia" w:ascii="宋体" w:hAnsi="宋体" w:eastAsia="仿宋" w:cs="宋体"/>
                <w:kern w:val="0"/>
                <w:szCs w:val="21"/>
              </w:rPr>
              <w:t> </w:t>
            </w:r>
            <w:r>
              <w:rPr>
                <w:rFonts w:hint="eastAsia" w:ascii="仿宋" w:hAnsi="仿宋" w:eastAsia="仿宋" w:cs="宋体"/>
                <w:kern w:val="0"/>
                <w:szCs w:val="21"/>
              </w:rPr>
              <w:t>”</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5</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社会团体的活动违反其他法律、法规的；有关国家机关认为应当撤销登记的处罚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《社会团体登记管理条例》（国务院令第250号） 第三十四条：“社会团体的活动违反其他法律、法规的，由有关国家机关依法处理；有关国家机关认为应当撤销登记的，由登记管理机关撤销登记。”</w:t>
            </w:r>
            <w:r>
              <w:rPr>
                <w:rFonts w:hint="eastAsia" w:ascii="宋体" w:hAnsi="宋体" w:eastAsia="仿宋" w:cs="宋体"/>
                <w:kern w:val="0"/>
                <w:szCs w:val="21"/>
              </w:rPr>
              <w:t> </w:t>
            </w:r>
            <w:r>
              <w:rPr>
                <w:rFonts w:hint="eastAsia" w:ascii="仿宋" w:hAnsi="仿宋" w:eastAsia="仿宋" w:cs="宋体"/>
                <w:kern w:val="0"/>
                <w:szCs w:val="21"/>
              </w:rPr>
              <w:t>　</w:t>
            </w:r>
            <w:r>
              <w:rPr>
                <w:rFonts w:hint="eastAsia" w:ascii="仿宋" w:hAnsi="仿宋" w:eastAsia="仿宋" w:cs="宋体"/>
                <w:kern w:val="0"/>
                <w:szCs w:val="21"/>
              </w:rPr>
              <w:br w:type="textWrapping"/>
            </w:r>
            <w:r>
              <w:rPr>
                <w:rFonts w:hint="eastAsia" w:ascii="宋体" w:hAnsi="宋体" w:eastAsia="仿宋" w:cs="宋体"/>
                <w:kern w:val="0"/>
                <w:szCs w:val="21"/>
              </w:rPr>
              <w:t>   </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6</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未经批准，擅自开展社会团体筹备活动，或者未经登记，擅自以社会团体名义进行活动，以及被撤消登记的社会团体继续以社会团体的名义进行活动的处罚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社会团体登记管理条例》（国务院令第250号）第三十五条：“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trHeight w:val="1357" w:hRule="atLeast"/>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7</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民办非企业单位在申请登记时弄虚作假，骗取登记的，或者业务主管单位撤销批准的处罚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《民办非企业单位登记管理暂行条例》（国务院令第251号）第二十四条：“民办非企业单位在申请登记时弄虚作假，骗取登记的，或者业务主管单位撤销批准的，由登记管理机关予以撤销登记。”</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8</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涂改、出租、出借民办非企业单位登记证书，或者出租出借民办非企业单位印章的处罚；民办非企业单位超出章程规定的宗旨和业务范围进行活动的，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民办非企业单位登记管理暂行条例》（国务院令第251号）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9</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未经登记，擅自以民办非企业单位的名义进行活动的，或者被撤销登记的民办非企业单位继续以民办非企业单位的名义进行活动的处罚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民办非企业单位登记管理暂行条例》（国务院令第251号）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auto" w:sz="8" w:space="0"/>
              <w:left w:val="single" w:color="auto" w:sz="8" w:space="0"/>
              <w:bottom w:val="single" w:color="auto" w:sz="8" w:space="0"/>
              <w:right w:val="single" w:color="auto"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10</w:t>
            </w:r>
          </w:p>
        </w:tc>
        <w:tc>
          <w:tcPr>
            <w:tcW w:w="3559" w:type="dxa"/>
            <w:tcBorders>
              <w:top w:val="single" w:color="auto" w:sz="8" w:space="0"/>
              <w:left w:val="single" w:color="auto" w:sz="8" w:space="0"/>
              <w:bottom w:val="single" w:color="auto" w:sz="8" w:space="0"/>
              <w:right w:val="single" w:color="auto"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民办非企业单位的活动违反其他法律、法规，有关国家机关认为应当撤销登记的处罚</w:t>
            </w:r>
          </w:p>
        </w:tc>
        <w:tc>
          <w:tcPr>
            <w:tcW w:w="1656" w:type="dxa"/>
            <w:tcBorders>
              <w:top w:val="single" w:color="auto" w:sz="8" w:space="0"/>
              <w:left w:val="single" w:color="auto" w:sz="8" w:space="0"/>
              <w:bottom w:val="single" w:color="auto" w:sz="8" w:space="0"/>
              <w:right w:val="single" w:color="auto"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社会组织管理办</w:t>
            </w:r>
          </w:p>
        </w:tc>
        <w:tc>
          <w:tcPr>
            <w:tcW w:w="6811" w:type="dxa"/>
            <w:tcBorders>
              <w:top w:val="single" w:color="auto" w:sz="8" w:space="0"/>
              <w:left w:val="single" w:color="auto" w:sz="8" w:space="0"/>
              <w:bottom w:val="single" w:color="auto" w:sz="8" w:space="0"/>
              <w:right w:val="single" w:color="auto" w:sz="8"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民办非企业单位登记管理暂行条例》（国务院令第251号）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第二十六条：“民办非企业单位的活动违反其他法律、法规的，由有关国家机关依法处理；有关国家机关认为应当撤销登记的，由登记管理机关撤销登记。”</w:t>
            </w:r>
          </w:p>
          <w:p>
            <w:pPr>
              <w:widowControl/>
              <w:spacing w:before="75" w:after="75"/>
              <w:ind w:firstLine="420" w:firstLineChars="200"/>
              <w:jc w:val="left"/>
              <w:textAlignment w:val="center"/>
              <w:rPr>
                <w:rFonts w:ascii="仿宋" w:hAnsi="仿宋" w:eastAsia="仿宋" w:cs="宋体"/>
                <w:kern w:val="0"/>
                <w:szCs w:val="21"/>
              </w:rPr>
            </w:pP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auto" w:sz="8" w:space="0"/>
              <w:left w:val="single" w:color="auto" w:sz="8" w:space="0"/>
              <w:bottom w:val="single" w:color="auto" w:sz="8" w:space="0"/>
              <w:right w:val="single" w:color="auto"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11</w:t>
            </w:r>
          </w:p>
        </w:tc>
        <w:tc>
          <w:tcPr>
            <w:tcW w:w="3559" w:type="dxa"/>
            <w:tcBorders>
              <w:top w:val="single" w:color="auto" w:sz="8" w:space="0"/>
              <w:left w:val="single" w:color="auto" w:sz="8" w:space="0"/>
              <w:bottom w:val="single" w:color="auto" w:sz="8" w:space="0"/>
              <w:right w:val="single" w:color="auto" w:sz="8" w:space="0"/>
            </w:tcBorders>
            <w:vAlign w:val="center"/>
          </w:tcPr>
          <w:p>
            <w:pPr>
              <w:widowControl/>
              <w:spacing w:before="75" w:after="75"/>
              <w:jc w:val="left"/>
              <w:textAlignment w:val="center"/>
              <w:rPr>
                <w:rFonts w:ascii="仿宋" w:hAnsi="仿宋" w:eastAsia="仿宋" w:cs="宋体"/>
                <w:kern w:val="0"/>
                <w:szCs w:val="21"/>
              </w:rPr>
            </w:pPr>
            <w:r>
              <w:rPr>
                <w:rFonts w:hint="eastAsia" w:ascii="宋体" w:hAnsi="宋体" w:eastAsia="仿宋" w:cs="宋体"/>
                <w:kern w:val="0"/>
                <w:szCs w:val="21"/>
              </w:rPr>
              <w:t> </w:t>
            </w:r>
            <w:r>
              <w:rPr>
                <w:rFonts w:hint="eastAsia" w:ascii="仿宋" w:hAnsi="仿宋" w:eastAsia="仿宋" w:cs="宋体"/>
                <w:kern w:val="0"/>
                <w:szCs w:val="21"/>
              </w:rPr>
              <w:t>未经批准，擅自兴建殡葬设施的处罚</w:t>
            </w:r>
          </w:p>
        </w:tc>
        <w:tc>
          <w:tcPr>
            <w:tcW w:w="1656" w:type="dxa"/>
            <w:tcBorders>
              <w:top w:val="single" w:color="auto" w:sz="8" w:space="0"/>
              <w:left w:val="single" w:color="auto" w:sz="8" w:space="0"/>
              <w:bottom w:val="single" w:color="auto" w:sz="8" w:space="0"/>
              <w:right w:val="single" w:color="auto"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社会事务股</w:t>
            </w:r>
          </w:p>
        </w:tc>
        <w:tc>
          <w:tcPr>
            <w:tcW w:w="6811" w:type="dxa"/>
            <w:tcBorders>
              <w:top w:val="single" w:color="auto" w:sz="8" w:space="0"/>
              <w:left w:val="single" w:color="auto" w:sz="8" w:space="0"/>
              <w:bottom w:val="single" w:color="auto" w:sz="4" w:space="0"/>
              <w:right w:val="single" w:color="auto" w:sz="8" w:space="0"/>
            </w:tcBorders>
            <w:vAlign w:val="center"/>
          </w:tcPr>
          <w:p>
            <w:pPr>
              <w:widowControl/>
              <w:spacing w:before="75" w:after="240"/>
              <w:jc w:val="left"/>
              <w:textAlignment w:val="center"/>
              <w:rPr>
                <w:rFonts w:ascii="仿宋" w:hAnsi="仿宋" w:eastAsia="仿宋" w:cs="宋体"/>
                <w:kern w:val="0"/>
                <w:szCs w:val="21"/>
              </w:rPr>
            </w:pPr>
            <w:r>
              <w:rPr>
                <w:rFonts w:hint="eastAsia" w:ascii="仿宋" w:hAnsi="仿宋" w:eastAsia="仿宋" w:cs="宋体"/>
                <w:kern w:val="0"/>
                <w:szCs w:val="21"/>
              </w:rPr>
              <w:t>　　《殡葬管理条例》（1997年7月21日</w:t>
            </w:r>
            <w:bookmarkStart w:id="0" w:name="_GoBack"/>
            <w:bookmarkEnd w:id="0"/>
            <w:r>
              <w:rPr>
                <w:rFonts w:hint="eastAsia" w:ascii="仿宋" w:hAnsi="仿宋" w:eastAsia="仿宋" w:cs="宋体"/>
                <w:kern w:val="0"/>
                <w:szCs w:val="21"/>
              </w:rPr>
              <w:t>中华人民共和</w:t>
            </w:r>
            <w:r>
              <w:rPr>
                <w:rFonts w:hint="eastAsia" w:ascii="仿宋" w:hAnsi="仿宋" w:eastAsia="仿宋" w:cs="宋体"/>
                <w:kern w:val="0"/>
                <w:szCs w:val="21"/>
                <w:lang w:val="en-US" w:eastAsia="zh-CN"/>
              </w:rPr>
              <w:t>国</w:t>
            </w:r>
            <w:r>
              <w:rPr>
                <w:rFonts w:hint="eastAsia" w:ascii="仿宋" w:hAnsi="仿宋" w:eastAsia="仿宋" w:cs="宋体"/>
                <w:kern w:val="0"/>
                <w:szCs w:val="21"/>
              </w:rPr>
              <w:t>国务院令第225号发布自发布之日起施行。经国务院令第628号修改从2013年1月1日起施行)第十八条：“未经批准，擅自兴建殡葬设施的，由民政部门会同建设、土地行政管理部门予以取缔，责令恢复原状，没收违法所得，可以并处违法所得l倍以上3倍以下的罚款”。</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12</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墓穴占地面积超过省、自治区、直辖市人民政府规定的标准的处罚</w:t>
            </w:r>
          </w:p>
        </w:tc>
        <w:tc>
          <w:tcPr>
            <w:tcW w:w="1656" w:type="dxa"/>
            <w:tcBorders>
              <w:top w:val="single" w:color="000000" w:sz="8" w:space="0"/>
              <w:left w:val="single" w:color="000000" w:sz="8" w:space="0"/>
              <w:bottom w:val="single" w:color="000000" w:sz="8" w:space="0"/>
              <w:right w:val="single" w:color="auto" w:sz="4"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社会事务股</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《殡葬管理条例》（1997年7月21日中华人民共和国</w:t>
            </w:r>
            <w:r>
              <w:rPr>
                <w:rFonts w:hint="eastAsia" w:ascii="仿宋" w:hAnsi="仿宋" w:eastAsia="仿宋" w:cs="宋体"/>
                <w:kern w:val="0"/>
                <w:szCs w:val="21"/>
                <w:lang w:val="en-US" w:eastAsia="zh-CN"/>
              </w:rPr>
              <w:t>国</w:t>
            </w:r>
            <w:r>
              <w:rPr>
                <w:rFonts w:hint="eastAsia" w:ascii="仿宋" w:hAnsi="仿宋" w:eastAsia="仿宋" w:cs="宋体"/>
                <w:kern w:val="0"/>
                <w:szCs w:val="21"/>
              </w:rPr>
              <w:t>务院令第225号发布自发布之日起施行。经国务院令第628号修改从2013年1月1日起施行)第十九条：“墓穴占地面积超过省、自治区、直辖市人民政府规定的标准的，由民政部门责令限期改正，没收违法所得，可以并处违法所得1倍以上3倍以下的罚款”。</w:t>
            </w:r>
          </w:p>
        </w:tc>
        <w:tc>
          <w:tcPr>
            <w:tcW w:w="920" w:type="dxa"/>
            <w:tcBorders>
              <w:top w:val="single" w:color="000000" w:sz="8" w:space="0"/>
              <w:left w:val="single" w:color="auto" w:sz="4"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13</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制造、销售不符合国家技术标准的殡葬设备，制造、销售封建迷信殡葬用品的处罚</w:t>
            </w:r>
          </w:p>
        </w:tc>
        <w:tc>
          <w:tcPr>
            <w:tcW w:w="1656" w:type="dxa"/>
            <w:tcBorders>
              <w:top w:val="single" w:color="000000" w:sz="8" w:space="0"/>
              <w:left w:val="single" w:color="000000" w:sz="8" w:space="0"/>
              <w:bottom w:val="single" w:color="000000" w:sz="8" w:space="0"/>
              <w:right w:val="single" w:color="auto" w:sz="4"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社会事务股</w:t>
            </w:r>
          </w:p>
        </w:tc>
        <w:tc>
          <w:tcPr>
            <w:tcW w:w="6811" w:type="dxa"/>
            <w:tcBorders>
              <w:top w:val="single" w:color="auto" w:sz="4" w:space="0"/>
              <w:left w:val="single" w:color="auto" w:sz="4" w:space="0"/>
              <w:bottom w:val="single" w:color="auto" w:sz="4" w:space="0"/>
              <w:right w:val="single" w:color="auto" w:sz="4" w:space="0"/>
            </w:tcBorders>
            <w:vAlign w:val="center"/>
          </w:tcPr>
          <w:p>
            <w:pPr>
              <w:widowControl/>
              <w:spacing w:before="75" w:after="75"/>
              <w:ind w:firstLine="420" w:firstLineChars="200"/>
              <w:jc w:val="left"/>
              <w:textAlignment w:val="center"/>
              <w:rPr>
                <w:rFonts w:ascii="仿宋" w:hAnsi="仿宋" w:eastAsia="仿宋" w:cs="宋体"/>
                <w:kern w:val="0"/>
                <w:szCs w:val="21"/>
              </w:rPr>
            </w:pPr>
            <w:r>
              <w:rPr>
                <w:rFonts w:hint="eastAsia" w:ascii="仿宋" w:hAnsi="仿宋" w:eastAsia="仿宋" w:cs="宋体"/>
                <w:kern w:val="0"/>
                <w:szCs w:val="21"/>
              </w:rPr>
              <w:t>《殡葬管理条例》（1997年7月21日中华人民共和国</w:t>
            </w:r>
            <w:r>
              <w:rPr>
                <w:rFonts w:hint="eastAsia" w:ascii="仿宋" w:hAnsi="仿宋" w:eastAsia="仿宋" w:cs="宋体"/>
                <w:kern w:val="0"/>
                <w:szCs w:val="21"/>
                <w:lang w:val="en-US" w:eastAsia="zh-CN"/>
              </w:rPr>
              <w:t>国</w:t>
            </w:r>
            <w:r>
              <w:rPr>
                <w:rFonts w:hint="eastAsia" w:ascii="仿宋" w:hAnsi="仿宋" w:eastAsia="仿宋" w:cs="宋体"/>
                <w:kern w:val="0"/>
                <w:szCs w:val="21"/>
              </w:rPr>
              <w:t>务院令第225号发布自发布之日起施行。经国务院令第628号修改从2013年1月1日起施行)第二十二条：“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920" w:type="dxa"/>
            <w:tcBorders>
              <w:top w:val="single" w:color="000000" w:sz="8" w:space="0"/>
              <w:left w:val="single" w:color="auto" w:sz="4"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14</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对养老机构违规的处罚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养老服务办</w:t>
            </w:r>
          </w:p>
        </w:tc>
        <w:tc>
          <w:tcPr>
            <w:tcW w:w="6811" w:type="dxa"/>
            <w:tcBorders>
              <w:top w:val="single" w:color="auto" w:sz="4"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宋体" w:hAnsi="宋体" w:eastAsia="仿宋" w:cs="宋体"/>
                <w:kern w:val="0"/>
                <w:szCs w:val="21"/>
              </w:rPr>
              <w:t>  </w:t>
            </w:r>
            <w:r>
              <w:rPr>
                <w:rFonts w:hint="eastAsia" w:ascii="仿宋" w:hAnsi="仿宋" w:eastAsia="仿宋" w:cs="宋体"/>
                <w:kern w:val="0"/>
                <w:szCs w:val="21"/>
              </w:rPr>
              <w:t>《养老机构设立许可办法》（民政部令第48号）第26条：养老机构有下列情形之一的，许可机关应当依法给予警告，并处以3万元以下罚款；构成犯罪的，依法追究刑事责任：（一）未依法履行变更、终止手续的；（二）涂改、倒卖、出租、出借、转让设立许可证的。</w:t>
            </w:r>
            <w:r>
              <w:rPr>
                <w:rFonts w:hint="eastAsia" w:ascii="仿宋" w:hAnsi="仿宋" w:eastAsia="仿宋" w:cs="宋体"/>
                <w:kern w:val="0"/>
                <w:szCs w:val="21"/>
              </w:rPr>
              <w:br w:type="textWrapping"/>
            </w:r>
            <w:r>
              <w:rPr>
                <w:rFonts w:hint="eastAsia" w:ascii="宋体" w:hAnsi="宋体" w:eastAsia="仿宋" w:cs="宋体"/>
                <w:kern w:val="0"/>
                <w:szCs w:val="21"/>
              </w:rPr>
              <w:t>  </w:t>
            </w:r>
            <w:r>
              <w:rPr>
                <w:rFonts w:hint="eastAsia" w:ascii="仿宋" w:hAnsi="仿宋" w:eastAsia="仿宋" w:cs="宋体"/>
                <w:kern w:val="0"/>
                <w:szCs w:val="21"/>
              </w:rPr>
              <w:t>《河北省养老机构设立许可管理办法》第36条：“养老机构有下列行为之一的，由实施许可的民政部门责令改正；情节严重的，处以3万元以下的罚款；构成犯罪的，依法移送有关部门追究刑事责任：（一）未与老年人或者其代理人签订服务协议，或者协议不符合规定的；（二）未按照国家有关标准和规定开展服务的；（三）配备人员的资格不符合规定的；（四）向负责监督检查的民政部门隐瞒有关情况、提供虚假材料或者拒绝提供反映其活动情况真实材料的；（五）利用养老机构的房屋、场地、设施开展与养老服务宗旨无关的活动的；（六）歧视、侮辱、虐待或遗弃老年人以及其他侵犯老年人合法权益行为的；（七）擅自暂停或者终止服务的；（八）未依法履行变更、终止手续的； （九）涂改、倒卖、出租、出借、转让设立许可证的。（十）法律、法规、规章规定的其他违法行为。”</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r>
        <w:tblPrEx>
          <w:tblCellMar>
            <w:top w:w="0" w:type="dxa"/>
            <w:left w:w="0" w:type="dxa"/>
            <w:bottom w:w="0" w:type="dxa"/>
            <w:right w:w="0" w:type="dxa"/>
          </w:tblCellMar>
        </w:tblPrEx>
        <w:trPr>
          <w:jc w:val="center"/>
        </w:trPr>
        <w:tc>
          <w:tcPr>
            <w:tcW w:w="1032"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15</w:t>
            </w:r>
          </w:p>
        </w:tc>
        <w:tc>
          <w:tcPr>
            <w:tcW w:w="3559"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仿宋" w:hAnsi="仿宋" w:eastAsia="仿宋" w:cs="宋体"/>
                <w:kern w:val="0"/>
                <w:szCs w:val="21"/>
              </w:rPr>
              <w:t>擅自对地名进行命名、更名与销名,公开使用未经批准的地名,擅自设置、移动、涂改、遮盖、损毁地名标志的处罚</w:t>
            </w:r>
          </w:p>
        </w:tc>
        <w:tc>
          <w:tcPr>
            <w:tcW w:w="1656"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hint="eastAsia" w:ascii="仿宋" w:hAnsi="仿宋" w:eastAsia="仿宋" w:cs="宋体"/>
                <w:kern w:val="0"/>
                <w:szCs w:val="21"/>
              </w:rPr>
              <w:t>地名管理所</w:t>
            </w:r>
          </w:p>
        </w:tc>
        <w:tc>
          <w:tcPr>
            <w:tcW w:w="6811"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left"/>
              <w:textAlignment w:val="center"/>
              <w:rPr>
                <w:rFonts w:ascii="仿宋" w:hAnsi="仿宋" w:eastAsia="仿宋" w:cs="宋体"/>
                <w:kern w:val="0"/>
                <w:szCs w:val="21"/>
              </w:rPr>
            </w:pPr>
            <w:r>
              <w:rPr>
                <w:rFonts w:hint="eastAsia" w:ascii="宋体" w:hAnsi="宋体" w:eastAsia="仿宋" w:cs="宋体"/>
                <w:kern w:val="0"/>
                <w:szCs w:val="21"/>
              </w:rPr>
              <w:t>    </w:t>
            </w:r>
            <w:r>
              <w:rPr>
                <w:rFonts w:hint="eastAsia" w:ascii="仿宋" w:hAnsi="仿宋" w:eastAsia="仿宋" w:cs="宋体"/>
                <w:kern w:val="0"/>
                <w:szCs w:val="21"/>
              </w:rPr>
              <w:t>《河北省地名管理办法》（河北省人民政府令第156号）第三十二条：“违反本办法规定，有下列行为之一的，由当地县级以上民政部门责令限期改正；逾期不改正的，处以200元以上1000元以下罚款：（一）擅自对地名进行命名、更名与销名的；（二）公开使用未经批准的地名的；（三）擅自设置、移动、涂改、遮盖、损毁地名标志的。”</w:t>
            </w:r>
          </w:p>
        </w:tc>
        <w:tc>
          <w:tcPr>
            <w:tcW w:w="920" w:type="dxa"/>
            <w:tcBorders>
              <w:top w:val="single" w:color="000000" w:sz="8" w:space="0"/>
              <w:left w:val="single" w:color="000000" w:sz="8" w:space="0"/>
              <w:bottom w:val="single" w:color="000000" w:sz="8" w:space="0"/>
              <w:right w:val="single" w:color="000000" w:sz="8" w:space="0"/>
            </w:tcBorders>
            <w:vAlign w:val="center"/>
          </w:tcPr>
          <w:p>
            <w:pPr>
              <w:widowControl/>
              <w:spacing w:before="75" w:after="75"/>
              <w:jc w:val="center"/>
              <w:textAlignment w:val="center"/>
              <w:rPr>
                <w:rFonts w:ascii="仿宋" w:hAnsi="仿宋" w:eastAsia="仿宋" w:cs="宋体"/>
                <w:kern w:val="0"/>
                <w:szCs w:val="21"/>
              </w:rPr>
            </w:pPr>
            <w:r>
              <w:rPr>
                <w:rFonts w:ascii="宋体" w:hAnsi="宋体" w:eastAsia="仿宋" w:cs="宋体"/>
                <w:kern w:val="0"/>
                <w:szCs w:val="21"/>
              </w:rPr>
              <w:t> </w:t>
            </w:r>
          </w:p>
        </w:tc>
      </w:tr>
    </w:tbl>
    <w:p>
      <w:pPr>
        <w:widowControl/>
        <w:shd w:val="clear" w:color="auto" w:fill="FFFFFF"/>
        <w:spacing w:before="75" w:after="75" w:line="270" w:lineRule="atLeast"/>
        <w:jc w:val="left"/>
        <w:rPr>
          <w:rFonts w:ascii="Tahoma" w:hAnsi="Tahoma" w:eastAsia="宋体" w:cs="Tahoma"/>
          <w:color w:val="000000"/>
          <w:kern w:val="0"/>
          <w:sz w:val="18"/>
          <w:szCs w:val="18"/>
        </w:rPr>
      </w:pPr>
    </w:p>
    <w:p>
      <w:pPr>
        <w:widowControl/>
        <w:shd w:val="clear" w:color="auto" w:fill="FFFFFF"/>
        <w:spacing w:before="75" w:after="75" w:line="270" w:lineRule="atLeast"/>
        <w:jc w:val="left"/>
        <w:rPr>
          <w:rFonts w:ascii="Tahoma" w:hAnsi="Tahoma" w:eastAsia="宋体" w:cs="Tahoma"/>
          <w:color w:val="000000"/>
          <w:kern w:val="0"/>
          <w:sz w:val="18"/>
          <w:szCs w:val="18"/>
        </w:rPr>
      </w:pPr>
    </w:p>
    <w:p>
      <w:pPr>
        <w:widowControl/>
        <w:shd w:val="clear" w:color="auto" w:fill="FFFFFF"/>
        <w:spacing w:before="75" w:after="75" w:line="270" w:lineRule="atLeast"/>
        <w:jc w:val="left"/>
        <w:rPr>
          <w:rFonts w:ascii="Tahoma" w:hAnsi="Tahoma" w:eastAsia="宋体" w:cs="Tahoma"/>
          <w:color w:val="000000"/>
          <w:kern w:val="0"/>
          <w:sz w:val="18"/>
          <w:szCs w:val="18"/>
        </w:rPr>
      </w:pPr>
    </w:p>
    <w:p>
      <w:pPr>
        <w:widowControl/>
        <w:shd w:val="clear" w:color="auto" w:fill="FFFFFF"/>
        <w:spacing w:before="75" w:after="75" w:line="270" w:lineRule="atLeast"/>
        <w:jc w:val="left"/>
        <w:rPr>
          <w:rFonts w:ascii="Tahoma" w:hAnsi="Tahoma" w:eastAsia="宋体" w:cs="Tahoma"/>
          <w:color w:val="000000"/>
          <w:kern w:val="0"/>
          <w:sz w:val="18"/>
          <w:szCs w:val="18"/>
        </w:rPr>
      </w:pPr>
    </w:p>
    <w:tbl>
      <w:tblPr>
        <w:tblStyle w:val="5"/>
        <w:tblW w:w="14580" w:type="dxa"/>
        <w:tblInd w:w="0" w:type="dxa"/>
        <w:shd w:val="clear" w:color="auto" w:fill="FFFFFF"/>
        <w:tblLayout w:type="fixed"/>
        <w:tblCellMar>
          <w:top w:w="0" w:type="dxa"/>
          <w:left w:w="0" w:type="dxa"/>
          <w:bottom w:w="0" w:type="dxa"/>
          <w:right w:w="0" w:type="dxa"/>
        </w:tblCellMar>
      </w:tblPr>
      <w:tblGrid>
        <w:gridCol w:w="649"/>
        <w:gridCol w:w="17"/>
        <w:gridCol w:w="1205"/>
        <w:gridCol w:w="183"/>
        <w:gridCol w:w="746"/>
        <w:gridCol w:w="571"/>
        <w:gridCol w:w="7837"/>
        <w:gridCol w:w="1842"/>
        <w:gridCol w:w="21"/>
        <w:gridCol w:w="1342"/>
        <w:gridCol w:w="56"/>
        <w:gridCol w:w="111"/>
      </w:tblGrid>
      <w:tr>
        <w:tblPrEx>
          <w:tblCellMar>
            <w:top w:w="0" w:type="dxa"/>
            <w:left w:w="0" w:type="dxa"/>
            <w:bottom w:w="0" w:type="dxa"/>
            <w:right w:w="0" w:type="dxa"/>
          </w:tblCellMar>
        </w:tblPrEx>
        <w:trPr>
          <w:trHeight w:val="975" w:hRule="atLeast"/>
        </w:trPr>
        <w:tc>
          <w:tcPr>
            <w:tcW w:w="14413"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hd w:val="clear" w:color="auto" w:fill="FFFFFF"/>
              <w:spacing w:before="75" w:after="75" w:line="270" w:lineRule="atLeast"/>
              <w:jc w:val="left"/>
              <w:rPr>
                <w:rFonts w:ascii="黑体" w:hAnsi="黑体" w:eastAsia="黑体" w:cs="宋体"/>
                <w:color w:val="000000"/>
                <w:kern w:val="0"/>
                <w:sz w:val="22"/>
                <w:szCs w:val="21"/>
              </w:rPr>
            </w:pPr>
            <w:r>
              <w:rPr>
                <w:rFonts w:hint="eastAsia" w:ascii="楷体_GB2312" w:hAnsi="宋体" w:eastAsia="楷体_GB2312" w:cs="宋体"/>
                <w:b/>
                <w:bCs/>
                <w:color w:val="000000"/>
                <w:kern w:val="0"/>
                <w:sz w:val="32"/>
                <w:szCs w:val="32"/>
              </w:rPr>
              <w:t>行政强制类</w:t>
            </w:r>
          </w:p>
        </w:tc>
        <w:tc>
          <w:tcPr>
            <w:tcW w:w="167" w:type="dxa"/>
            <w:gridSpan w:val="2"/>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tc>
      </w:tr>
      <w:tr>
        <w:tblPrEx>
          <w:shd w:val="clear" w:color="auto" w:fill="FFFFFF"/>
          <w:tblCellMar>
            <w:top w:w="0" w:type="dxa"/>
            <w:left w:w="0" w:type="dxa"/>
            <w:bottom w:w="0" w:type="dxa"/>
            <w:right w:w="0" w:type="dxa"/>
          </w:tblCellMar>
        </w:tblPrEx>
        <w:trPr>
          <w:trHeight w:val="974" w:hRule="atLeast"/>
        </w:trPr>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序号</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项目名称</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实施机构</w:t>
            </w:r>
          </w:p>
        </w:tc>
        <w:tc>
          <w:tcPr>
            <w:tcW w:w="78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实施依据</w:t>
            </w:r>
          </w:p>
        </w:tc>
        <w:tc>
          <w:tcPr>
            <w:tcW w:w="32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备注</w:t>
            </w:r>
          </w:p>
        </w:tc>
        <w:tc>
          <w:tcPr>
            <w:tcW w:w="167" w:type="dxa"/>
            <w:gridSpan w:val="2"/>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tc>
      </w:tr>
      <w:tr>
        <w:tblPrEx>
          <w:shd w:val="clear" w:color="auto" w:fill="FFFFFF"/>
          <w:tblCellMar>
            <w:top w:w="0" w:type="dxa"/>
            <w:left w:w="0" w:type="dxa"/>
            <w:bottom w:w="0" w:type="dxa"/>
            <w:right w:w="0" w:type="dxa"/>
          </w:tblCellMar>
        </w:tblPrEx>
        <w:trPr>
          <w:trHeight w:val="1537" w:hRule="atLeast"/>
        </w:trPr>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封存《社会团体法人登记证书》、印章、财务 凭证</w:t>
            </w:r>
            <w:r>
              <w:rPr>
                <w:rFonts w:hint="eastAsia" w:ascii="宋体" w:hAnsi="宋体" w:eastAsia="仿宋" w:cs="宋体"/>
                <w:color w:val="000000"/>
                <w:kern w:val="0"/>
                <w:szCs w:val="21"/>
              </w:rPr>
              <w:t>  </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kern w:val="0"/>
                <w:szCs w:val="21"/>
              </w:rPr>
              <w:t>社会组织管理办</w:t>
            </w:r>
          </w:p>
        </w:tc>
        <w:tc>
          <w:tcPr>
            <w:tcW w:w="78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《社会团体登记管理条例》（国务院令第250号）第三十六条第一款：“社会团体被责令限期停止活动的，由登记管理机关封存其《社会团体法人登记证书》、印章和财务凭证。”</w:t>
            </w:r>
          </w:p>
        </w:tc>
        <w:tc>
          <w:tcPr>
            <w:tcW w:w="32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ascii="宋体" w:hAnsi="宋体" w:eastAsia="仿宋" w:cs="宋体"/>
                <w:color w:val="000000"/>
                <w:kern w:val="0"/>
                <w:szCs w:val="21"/>
              </w:rPr>
              <w:t> </w:t>
            </w:r>
          </w:p>
        </w:tc>
        <w:tc>
          <w:tcPr>
            <w:tcW w:w="167" w:type="dxa"/>
            <w:gridSpan w:val="2"/>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tc>
      </w:tr>
      <w:tr>
        <w:tblPrEx>
          <w:shd w:val="clear" w:color="auto" w:fill="FFFFFF"/>
        </w:tblPrEx>
        <w:trPr>
          <w:trHeight w:val="1262" w:hRule="atLeast"/>
        </w:trPr>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收缴《社会团体法人登记证书》和印章</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kern w:val="0"/>
                <w:szCs w:val="21"/>
              </w:rPr>
              <w:t>社会组织管理办</w:t>
            </w:r>
          </w:p>
        </w:tc>
        <w:tc>
          <w:tcPr>
            <w:tcW w:w="78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《社会团体登记管理条例》（国务院令第250号）第三十六条第二款：“社会团体被撤销登记的，由登记管理机关封存其《社会团体法人登记证书》、和印章。”</w:t>
            </w:r>
          </w:p>
        </w:tc>
        <w:tc>
          <w:tcPr>
            <w:tcW w:w="32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ascii="宋体" w:hAnsi="宋体" w:eastAsia="仿宋" w:cs="宋体"/>
                <w:color w:val="000000"/>
                <w:kern w:val="0"/>
                <w:szCs w:val="21"/>
              </w:rPr>
              <w:t> </w:t>
            </w:r>
          </w:p>
        </w:tc>
        <w:tc>
          <w:tcPr>
            <w:tcW w:w="167" w:type="dxa"/>
            <w:gridSpan w:val="2"/>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tc>
      </w:tr>
      <w:tr>
        <w:tblPrEx>
          <w:shd w:val="clear" w:color="auto" w:fill="FFFFFF"/>
          <w:tblCellMar>
            <w:top w:w="0" w:type="dxa"/>
            <w:left w:w="0" w:type="dxa"/>
            <w:bottom w:w="0" w:type="dxa"/>
            <w:right w:w="0" w:type="dxa"/>
          </w:tblCellMar>
        </w:tblPrEx>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封存民办非企业单位登记证书、印章、财务凭证</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kern w:val="0"/>
                <w:szCs w:val="21"/>
              </w:rPr>
              <w:t>社会组织管理办</w:t>
            </w:r>
          </w:p>
        </w:tc>
        <w:tc>
          <w:tcPr>
            <w:tcW w:w="78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《民办非企业单位登记管理暂行条例》（国务院令第251号）第二十八条第一款：“民办非企业单位被限期停止活动的，由登记管理机关封存其登记证书、印章和财务凭证。”</w:t>
            </w:r>
          </w:p>
        </w:tc>
        <w:tc>
          <w:tcPr>
            <w:tcW w:w="32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ascii="宋体" w:hAnsi="宋体" w:eastAsia="仿宋" w:cs="宋体"/>
                <w:color w:val="000000"/>
                <w:kern w:val="0"/>
                <w:szCs w:val="21"/>
              </w:rPr>
              <w:t> </w:t>
            </w:r>
          </w:p>
        </w:tc>
        <w:tc>
          <w:tcPr>
            <w:tcW w:w="167" w:type="dxa"/>
            <w:gridSpan w:val="2"/>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tc>
      </w:tr>
      <w:tr>
        <w:tblPrEx>
          <w:shd w:val="clear" w:color="auto" w:fill="FFFFFF"/>
        </w:tblPrEx>
        <w:trPr>
          <w:trHeight w:val="1245" w:hRule="atLeast"/>
        </w:trPr>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38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收缴民办非企业单位登记证书、印章</w:t>
            </w:r>
          </w:p>
        </w:tc>
        <w:tc>
          <w:tcPr>
            <w:tcW w:w="131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kern w:val="0"/>
                <w:szCs w:val="21"/>
              </w:rPr>
              <w:t>社会组织管理办</w:t>
            </w:r>
          </w:p>
        </w:tc>
        <w:tc>
          <w:tcPr>
            <w:tcW w:w="78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《民办非企业单位登记管理暂行条例》（国务院令第251号）第二十八条第二款：“民办非企业单位被撤销登记的，由登记管理机关收缴登记证书和印章。”</w:t>
            </w:r>
          </w:p>
        </w:tc>
        <w:tc>
          <w:tcPr>
            <w:tcW w:w="320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ascii="宋体" w:hAnsi="宋体" w:eastAsia="仿宋" w:cs="宋体"/>
                <w:color w:val="000000"/>
                <w:kern w:val="0"/>
                <w:szCs w:val="21"/>
              </w:rPr>
              <w:t> </w:t>
            </w:r>
          </w:p>
        </w:tc>
        <w:tc>
          <w:tcPr>
            <w:tcW w:w="167" w:type="dxa"/>
            <w:gridSpan w:val="2"/>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tc>
      </w:tr>
      <w:tr>
        <w:tblPrEx>
          <w:shd w:val="clear" w:color="auto" w:fill="FFFFFF"/>
        </w:tblPrEx>
        <w:trPr>
          <w:trHeight w:val="1258" w:hRule="atLeast"/>
        </w:trPr>
        <w:tc>
          <w:tcPr>
            <w:tcW w:w="14469"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黑体" w:hAnsi="黑体" w:eastAsia="黑体" w:cs="宋体"/>
                <w:color w:val="000000"/>
                <w:kern w:val="0"/>
                <w:szCs w:val="21"/>
              </w:rPr>
            </w:pPr>
            <w:r>
              <w:rPr>
                <w:rFonts w:hint="eastAsia" w:ascii="黑体" w:hAnsi="黑体" w:eastAsia="黑体" w:cs="宋体"/>
                <w:b/>
                <w:bCs/>
                <w:color w:val="000000"/>
                <w:kern w:val="0"/>
                <w:sz w:val="32"/>
                <w:szCs w:val="21"/>
              </w:rPr>
              <w:t>行政给付类</w:t>
            </w:r>
          </w:p>
        </w:tc>
        <w:tc>
          <w:tcPr>
            <w:tcW w:w="111" w:type="dxa"/>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tc>
      </w:tr>
      <w:tr>
        <w:tblPrEx>
          <w:shd w:val="clear" w:color="auto" w:fill="FFFFFF"/>
          <w:tblCellMar>
            <w:top w:w="0" w:type="dxa"/>
            <w:left w:w="0" w:type="dxa"/>
            <w:bottom w:w="0" w:type="dxa"/>
            <w:right w:w="0" w:type="dxa"/>
          </w:tblCellMar>
        </w:tblPrEx>
        <w:trPr>
          <w:trHeight w:val="1091" w:hRule="atLeast"/>
        </w:trPr>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序号</w:t>
            </w:r>
          </w:p>
        </w:tc>
        <w:tc>
          <w:tcPr>
            <w:tcW w:w="1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项目名称</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实施机构</w:t>
            </w:r>
          </w:p>
        </w:tc>
        <w:tc>
          <w:tcPr>
            <w:tcW w:w="1027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实施依据</w:t>
            </w:r>
          </w:p>
        </w:tc>
        <w:tc>
          <w:tcPr>
            <w:tcW w:w="139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备注</w:t>
            </w:r>
          </w:p>
        </w:tc>
        <w:tc>
          <w:tcPr>
            <w:tcW w:w="111" w:type="dxa"/>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tc>
      </w:tr>
      <w:tr>
        <w:tblPrEx>
          <w:shd w:val="clear" w:color="auto" w:fill="FFFFFF"/>
        </w:tblPrEx>
        <w:trPr>
          <w:trHeight w:val="2539" w:hRule="atLeast"/>
        </w:trPr>
        <w:tc>
          <w:tcPr>
            <w:tcW w:w="66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2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对城市生活无着的流浪乞讨人员救助</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社会事务股</w:t>
            </w:r>
          </w:p>
        </w:tc>
        <w:tc>
          <w:tcPr>
            <w:tcW w:w="1027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《城市生活无着的流浪乞讨人员救助管理办法》(国务院令第381号)第四条：“县级以上人民政府民政部门负责流浪乞讨人员的救助工作，并对救助站进行指导、监督。”</w:t>
            </w:r>
          </w:p>
        </w:tc>
        <w:tc>
          <w:tcPr>
            <w:tcW w:w="139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ascii="宋体" w:hAnsi="宋体" w:eastAsia="仿宋" w:cs="宋体"/>
                <w:color w:val="000000"/>
                <w:kern w:val="0"/>
                <w:szCs w:val="21"/>
              </w:rPr>
              <w:t> </w:t>
            </w:r>
          </w:p>
        </w:tc>
        <w:tc>
          <w:tcPr>
            <w:tcW w:w="111" w:type="dxa"/>
            <w:tcBorders>
              <w:top w:val="nil"/>
              <w:left w:val="nil"/>
              <w:bottom w:val="nil"/>
              <w:right w:val="nil"/>
            </w:tcBorders>
            <w:shd w:val="clear" w:color="auto" w:fill="FFFFFF"/>
            <w:vAlign w:val="center"/>
          </w:tcPr>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p>
            <w:pPr>
              <w:widowControl/>
              <w:spacing w:before="75" w:after="75"/>
              <w:jc w:val="left"/>
              <w:rPr>
                <w:rFonts w:ascii="仿宋" w:hAnsi="仿宋" w:eastAsia="仿宋" w:cs="宋体"/>
                <w:color w:val="000000"/>
                <w:kern w:val="0"/>
                <w:szCs w:val="21"/>
              </w:rPr>
            </w:pPr>
          </w:p>
        </w:tc>
      </w:tr>
      <w:tr>
        <w:tblPrEx>
          <w:shd w:val="clear" w:color="auto" w:fill="FFFFFF"/>
        </w:tblPrEx>
        <w:trPr>
          <w:trHeight w:val="1262" w:hRule="atLeast"/>
        </w:trPr>
        <w:tc>
          <w:tcPr>
            <w:tcW w:w="14580" w:type="dxa"/>
            <w:gridSpan w:val="12"/>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before="75" w:after="75"/>
              <w:jc w:val="left"/>
              <w:rPr>
                <w:rFonts w:ascii="仿宋" w:hAnsi="仿宋" w:eastAsia="仿宋" w:cs="宋体"/>
                <w:color w:val="000000"/>
                <w:kern w:val="0"/>
                <w:szCs w:val="21"/>
              </w:rPr>
            </w:pPr>
            <w:r>
              <w:rPr>
                <w:rFonts w:ascii="宋体" w:hAnsi="宋体" w:eastAsia="仿宋" w:cs="宋体"/>
                <w:color w:val="000000"/>
                <w:kern w:val="0"/>
                <w:szCs w:val="21"/>
              </w:rPr>
              <w:t> </w:t>
            </w:r>
            <w:r>
              <w:rPr>
                <w:rFonts w:hint="eastAsia" w:ascii="黑体" w:hAnsi="黑体" w:eastAsia="黑体" w:cs="宋体"/>
                <w:b/>
                <w:bCs/>
                <w:color w:val="000000"/>
                <w:kern w:val="0"/>
                <w:sz w:val="32"/>
                <w:szCs w:val="32"/>
              </w:rPr>
              <w:t>行政确认类</w:t>
            </w:r>
          </w:p>
        </w:tc>
      </w:tr>
      <w:tr>
        <w:tblPrEx>
          <w:shd w:val="clear" w:color="auto" w:fill="FFFFFF"/>
        </w:tblPrEx>
        <w:trPr>
          <w:trHeight w:val="1116" w:hRule="atLeast"/>
        </w:trPr>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序号</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项目名称</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实施机构</w:t>
            </w:r>
          </w:p>
        </w:tc>
        <w:tc>
          <w:tcPr>
            <w:tcW w:w="1027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实施依据</w:t>
            </w:r>
          </w:p>
        </w:tc>
        <w:tc>
          <w:tcPr>
            <w:tcW w:w="1509"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before="75" w:after="75"/>
              <w:jc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备注</w:t>
            </w:r>
          </w:p>
        </w:tc>
      </w:tr>
      <w:tr>
        <w:tblPrEx>
          <w:shd w:val="clear" w:color="auto" w:fill="FFFFFF"/>
        </w:tblPrEx>
        <w:trPr>
          <w:trHeight w:val="1958" w:hRule="atLeast"/>
        </w:trPr>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涞水县居民办理结婚、离婚登记、补办结婚登记</w:t>
            </w:r>
          </w:p>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婚姻登记处</w:t>
            </w:r>
          </w:p>
        </w:tc>
        <w:tc>
          <w:tcPr>
            <w:tcW w:w="1027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 xml:space="preserve"> </w:t>
            </w:r>
            <w:r>
              <w:rPr>
                <w:rFonts w:hint="eastAsia" w:ascii="宋体" w:hAnsi="宋体" w:eastAsia="仿宋" w:cs="宋体"/>
                <w:color w:val="000000"/>
                <w:kern w:val="0"/>
                <w:szCs w:val="21"/>
              </w:rPr>
              <w:t> </w:t>
            </w:r>
            <w:r>
              <w:rPr>
                <w:rFonts w:hint="eastAsia" w:ascii="仿宋" w:hAnsi="仿宋" w:eastAsia="仿宋" w:cs="宋体"/>
                <w:color w:val="000000"/>
                <w:kern w:val="0"/>
                <w:szCs w:val="21"/>
              </w:rPr>
              <w:t>《婚姻登记条例》（国务院令第387号）第二条　内地居民办理婚姻登记的机关是县级人民政府民政部门或者乡（镇）人民政府，省、自治区、直辖市人民政府可以按照便民原则确定农村居民办理婚姻登记的具体机关。第四条　内地居民结婚，男女双方应当共同到一方当事人常住户口所在地的婚姻登记机关办理结婚登记。第八条　男女双方补办结婚登记的，适用本条例结婚登记的规定。　第十条　内地居民自愿离婚的，男女双方应当共同到一方当事人常住户口所在地的婚姻登记机关办理离婚登记。</w:t>
            </w:r>
          </w:p>
        </w:tc>
        <w:tc>
          <w:tcPr>
            <w:tcW w:w="1509" w:type="dxa"/>
            <w:gridSpan w:val="3"/>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spacing w:before="75" w:after="75"/>
              <w:jc w:val="left"/>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CellMar>
            <w:top w:w="0" w:type="dxa"/>
            <w:left w:w="0" w:type="dxa"/>
            <w:bottom w:w="0" w:type="dxa"/>
            <w:right w:w="0" w:type="dxa"/>
          </w:tblCellMar>
        </w:tblPrEx>
        <w:trPr>
          <w:trHeight w:val="1401" w:hRule="atLeast"/>
        </w:trPr>
        <w:tc>
          <w:tcPr>
            <w:tcW w:w="14580" w:type="dxa"/>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黑体" w:hAnsi="黑体" w:eastAsia="黑体" w:cs="宋体"/>
                <w:color w:val="000000"/>
                <w:kern w:val="0"/>
                <w:sz w:val="44"/>
                <w:szCs w:val="44"/>
              </w:rPr>
            </w:pPr>
            <w:r>
              <w:rPr>
                <w:rFonts w:ascii="宋体" w:hAnsi="宋体" w:eastAsia="仿宋" w:cs="宋体"/>
                <w:color w:val="000000"/>
                <w:kern w:val="0"/>
                <w:sz w:val="16"/>
                <w:szCs w:val="21"/>
              </w:rPr>
              <w:t> </w:t>
            </w:r>
            <w:r>
              <w:rPr>
                <w:rFonts w:hint="eastAsia" w:ascii="黑体" w:hAnsi="黑体" w:eastAsia="黑体" w:cs="宋体"/>
                <w:b/>
                <w:bCs/>
                <w:color w:val="000000"/>
                <w:kern w:val="0"/>
                <w:sz w:val="32"/>
                <w:szCs w:val="44"/>
              </w:rPr>
              <w:t>其他职权类</w:t>
            </w:r>
          </w:p>
        </w:tc>
      </w:tr>
      <w:tr>
        <w:tblPrEx>
          <w:shd w:val="clear" w:color="auto" w:fill="FFFFFF"/>
          <w:tblCellMar>
            <w:top w:w="0" w:type="dxa"/>
            <w:left w:w="0" w:type="dxa"/>
            <w:bottom w:w="0" w:type="dxa"/>
            <w:right w:w="0" w:type="dxa"/>
          </w:tblCellMar>
        </w:tblPrEx>
        <w:trPr>
          <w:trHeight w:val="968" w:hRule="atLeast"/>
        </w:trPr>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序号</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项目名称</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实施机构</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实施依据</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黑体" w:hAnsi="黑体" w:eastAsia="黑体" w:cs="宋体"/>
                <w:color w:val="000000"/>
                <w:kern w:val="0"/>
                <w:sz w:val="22"/>
                <w:szCs w:val="21"/>
              </w:rPr>
            </w:pPr>
            <w:r>
              <w:rPr>
                <w:rFonts w:hint="eastAsia" w:ascii="黑体" w:hAnsi="黑体" w:eastAsia="黑体" w:cs="宋体"/>
                <w:color w:val="000000"/>
                <w:kern w:val="0"/>
                <w:sz w:val="22"/>
                <w:szCs w:val="21"/>
              </w:rPr>
              <w:t>备注</w:t>
            </w:r>
          </w:p>
        </w:tc>
      </w:tr>
      <w:tr>
        <w:tblPrEx>
          <w:shd w:val="clear" w:color="auto" w:fill="FFFFFF"/>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地名的命名、更名审核及转报</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地名管理条例》（国发〔1986〕11号）第六条“地名的命名、更名工作，可以交地名机构或管理地名工作的单位承办，也可以交其他部门承办；其他部门承办的，应征求地名机构或管理地名工作单位的意见。”《地名管理条例实施细则》第七条“县级以上民政管理部门（或地名委员会）主管本行政区域的地名工作。其职责是：贯彻执行国家关于地名工作的方针、政策、法律、法规；落实全国地名工作规划；审核、承办本辖区地名的命名、更名；推行地名的标准化、规范化；设置地名标志；管理地名档案；完成国家其它地名工作任务。”</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PrEx>
        <w:trPr>
          <w:trHeight w:val="1330" w:hRule="atLeast"/>
        </w:trPr>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社会团体的年度检查</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社会组织管理办</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社会团体登记管理条例》（国务院令第250号）第三十一条第一款：“社会团体应当于每年3月31日前向业务主管单位报送上一年度的工作报告，经业务主管单位初审同意后，于5月31日前报送登记管理机关，接受年度检查。”</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民办非企业单位的年度检查</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社会组织管理办</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民办非企业单位登记管理暂行条例》（国务院令第251号）第二十三条：“民办非企业单位应当于每年3月31日前向业务主管单位报送上一年度的工作报告，经业务主管单位初审同意后，于5月31日前报送登记管理机关，接受年度检查。”</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CellMar>
            <w:top w:w="0" w:type="dxa"/>
            <w:left w:w="0" w:type="dxa"/>
            <w:bottom w:w="0" w:type="dxa"/>
            <w:right w:w="0" w:type="dxa"/>
          </w:tblCellMar>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县所辖乡镇设立、撤销、更名。政府驻地迁移、部分行政区域界线变更</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xml:space="preserve">   </w:t>
            </w:r>
            <w:r>
              <w:rPr>
                <w:rFonts w:hint="eastAsia" w:ascii="仿宋" w:hAnsi="仿宋" w:eastAsia="仿宋" w:cs="宋体"/>
                <w:color w:val="000000"/>
                <w:kern w:val="0"/>
                <w:szCs w:val="21"/>
              </w:rPr>
              <w:t>《国务院关于行政区划管理的规定》（国发〔1985〕8号）第八条：“各级民政部门分级负责行政区划的管理工作。各级民政部门在承办行政区划变更的工作时，应根据情况分别同民族、人事、财政、外事、城乡建设、地名等有关部门联系洽商；在承办民族自治地方的行政区划变更的工作时，应同民族自治地方的自治机关和有关民族的代表充分协商拟定。”</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街道办事处的更名、驻地迁移。</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国务院关于行政区划管理的规定》（国发〔1985〕8号）第八条：“各级民政部门分级负责行政区划的管理工作。各级民政部门在承办行政区划变更的工作时，应根据情况分别同民族、人事、财政、外事、城乡建设、地名等有关部门联系洽商；在承办民族自治地方的行政区划变更的工作时，应同民族自治地方的自治机关和有关民族的代表充分协商拟定。”</w:t>
            </w:r>
          </w:p>
          <w:p>
            <w:pPr>
              <w:widowControl/>
              <w:spacing w:before="75" w:after="75"/>
              <w:jc w:val="left"/>
              <w:textAlignment w:val="center"/>
              <w:rPr>
                <w:rFonts w:ascii="仿宋" w:hAnsi="仿宋" w:eastAsia="仿宋" w:cs="宋体"/>
                <w:color w:val="000000"/>
                <w:kern w:val="0"/>
                <w:szCs w:val="21"/>
              </w:rPr>
            </w:pP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大型建筑物及居民区名称的命名、更名、备案</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ind w:firstLine="420" w:firstLineChars="200"/>
              <w:jc w:val="left"/>
              <w:textAlignment w:val="center"/>
              <w:rPr>
                <w:rFonts w:ascii="仿宋" w:hAnsi="仿宋" w:eastAsia="仿宋" w:cs="宋体"/>
                <w:color w:val="000000"/>
                <w:kern w:val="0"/>
                <w:szCs w:val="21"/>
              </w:rPr>
            </w:pPr>
            <w:r>
              <w:rPr>
                <w:rFonts w:hint="eastAsia" w:ascii="仿宋" w:hAnsi="仿宋" w:eastAsia="仿宋" w:cs="宋体"/>
                <w:color w:val="000000"/>
                <w:kern w:val="0"/>
                <w:szCs w:val="21"/>
              </w:rPr>
              <w:t>《河北省地名管理办法》（河北省人民政府令第156号）第十八条：“</w:t>
            </w:r>
            <w:r>
              <w:rPr>
                <w:rFonts w:hint="eastAsia" w:ascii="宋体" w:hAnsi="宋体" w:eastAsia="仿宋" w:cs="宋体"/>
                <w:color w:val="000000"/>
                <w:kern w:val="0"/>
                <w:szCs w:val="21"/>
              </w:rPr>
              <w:t> </w:t>
            </w:r>
            <w:r>
              <w:rPr>
                <w:rFonts w:hint="eastAsia" w:ascii="仿宋" w:hAnsi="仿宋" w:eastAsia="仿宋" w:cs="宋体"/>
                <w:color w:val="000000"/>
                <w:kern w:val="0"/>
                <w:szCs w:val="21"/>
              </w:rPr>
              <w:t>宾馆(酒店)、商场、写字楼等大型建筑物及居民住宅区名称的命名、更名,由其产权人或者管理人将拟用名称向所在地省辖市、县(市)民政部门备案”。</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textAlignment w:val="center"/>
              <w:rPr>
                <w:rFonts w:ascii="仿宋" w:hAnsi="仿宋" w:eastAsia="仿宋" w:cs="宋体"/>
                <w:color w:val="000000"/>
                <w:kern w:val="0"/>
                <w:szCs w:val="21"/>
              </w:rPr>
            </w:pPr>
            <w:r>
              <w:rPr>
                <w:rFonts w:hint="eastAsia" w:ascii="仿宋" w:hAnsi="仿宋" w:eastAsia="仿宋" w:cs="宋体"/>
                <w:color w:val="000000"/>
                <w:kern w:val="0"/>
                <w:szCs w:val="21"/>
              </w:rPr>
              <w:t>自然地理实体的命名、更名</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rPr>
              <w:t>《河北省地名管理办法》（河北省人民政府令第156号）第十条：“自然地理实体名称的命名、更名按照下列程序和权限审批:</w:t>
            </w:r>
            <w:r>
              <w:rPr>
                <w:rFonts w:hint="eastAsia" w:ascii="宋体" w:hAnsi="宋体" w:eastAsia="仿宋" w:cs="宋体"/>
                <w:color w:val="000000"/>
                <w:kern w:val="0"/>
                <w:szCs w:val="21"/>
              </w:rPr>
              <w:t> </w:t>
            </w:r>
            <w:r>
              <w:rPr>
                <w:rFonts w:hint="eastAsia" w:ascii="仿宋" w:hAnsi="仿宋" w:eastAsia="仿宋" w:cs="宋体"/>
                <w:color w:val="000000"/>
                <w:kern w:val="0"/>
                <w:szCs w:val="21"/>
              </w:rPr>
              <w:t>县级行政区域内的自然地理实体名称,由所在地县级民政部门提出意见,报本级人民政府审批。</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CellMar>
            <w:top w:w="0" w:type="dxa"/>
            <w:left w:w="0" w:type="dxa"/>
            <w:bottom w:w="0" w:type="dxa"/>
            <w:right w:w="0" w:type="dxa"/>
          </w:tblCellMar>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textAlignment w:val="center"/>
              <w:rPr>
                <w:rFonts w:ascii="仿宋" w:hAnsi="仿宋" w:eastAsia="仿宋" w:cs="宋体"/>
                <w:color w:val="000000"/>
                <w:kern w:val="0"/>
                <w:szCs w:val="21"/>
              </w:rPr>
            </w:pPr>
            <w:r>
              <w:rPr>
                <w:rFonts w:hint="eastAsia" w:ascii="仿宋" w:hAnsi="仿宋" w:eastAsia="仿宋" w:cs="宋体"/>
                <w:color w:val="000000"/>
                <w:kern w:val="0"/>
                <w:szCs w:val="21"/>
              </w:rPr>
              <w:t>道路（街巷）的命名、更名</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河北省地名管理办法》（河北省人民政府令第156号）第十三条：“居民地名称的命名、更名按照下列程序和权限审批:城市和乡、镇人民政府所在地的道路(街、巷)名称的命名、更名,由所在地省辖市、县(市)民政部门提出申请,报本级人民政府审批”。</w:t>
            </w:r>
            <w:r>
              <w:rPr>
                <w:rFonts w:hint="eastAsia" w:ascii="宋体" w:hAnsi="宋体" w:eastAsia="仿宋" w:cs="宋体"/>
                <w:color w:val="000000"/>
                <w:kern w:val="0"/>
                <w:szCs w:val="21"/>
              </w:rPr>
              <w:t> </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r>
        <w:tblPrEx>
          <w:shd w:val="clear" w:color="auto" w:fill="FFFFFF"/>
          <w:tblCellMar>
            <w:top w:w="0" w:type="dxa"/>
            <w:left w:w="0" w:type="dxa"/>
            <w:bottom w:w="0" w:type="dxa"/>
            <w:right w:w="0" w:type="dxa"/>
          </w:tblCellMar>
        </w:tblPrEx>
        <w:tc>
          <w:tcPr>
            <w:tcW w:w="6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center"/>
              <w:textAlignment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22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textAlignment w:val="center"/>
              <w:rPr>
                <w:rFonts w:ascii="仿宋" w:hAnsi="仿宋" w:eastAsia="仿宋" w:cs="宋体"/>
                <w:color w:val="000000"/>
                <w:kern w:val="0"/>
                <w:szCs w:val="21"/>
              </w:rPr>
            </w:pPr>
            <w:r>
              <w:rPr>
                <w:rFonts w:hint="eastAsia" w:ascii="仿宋" w:hAnsi="仿宋" w:eastAsia="仿宋" w:cs="宋体"/>
                <w:color w:val="000000"/>
                <w:kern w:val="0"/>
                <w:szCs w:val="21"/>
              </w:rPr>
              <w:t>门牌号码的编制发放</w:t>
            </w:r>
          </w:p>
        </w:tc>
        <w:tc>
          <w:tcPr>
            <w:tcW w:w="92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textAlignment w:val="center"/>
              <w:rPr>
                <w:rFonts w:ascii="仿宋" w:hAnsi="仿宋" w:eastAsia="仿宋" w:cs="宋体"/>
                <w:color w:val="000000"/>
                <w:kern w:val="0"/>
                <w:szCs w:val="21"/>
              </w:rPr>
            </w:pPr>
            <w:r>
              <w:rPr>
                <w:rFonts w:hint="eastAsia" w:ascii="仿宋" w:hAnsi="仿宋" w:eastAsia="仿宋" w:cs="宋体"/>
                <w:color w:val="000000"/>
                <w:kern w:val="0"/>
                <w:szCs w:val="21"/>
              </w:rPr>
              <w:t>地名管理所</w:t>
            </w:r>
          </w:p>
        </w:tc>
        <w:tc>
          <w:tcPr>
            <w:tcW w:w="1025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hint="eastAsia" w:ascii="宋体" w:hAnsi="宋体" w:eastAsia="仿宋" w:cs="宋体"/>
                <w:color w:val="000000"/>
                <w:kern w:val="0"/>
                <w:szCs w:val="21"/>
              </w:rPr>
              <w:t>  </w:t>
            </w:r>
            <w:r>
              <w:rPr>
                <w:rFonts w:hint="eastAsia" w:ascii="仿宋" w:hAnsi="仿宋" w:eastAsia="仿宋" w:cs="宋体"/>
                <w:color w:val="000000"/>
                <w:kern w:val="0"/>
                <w:szCs w:val="21"/>
              </w:rPr>
              <w:t>《河北省地名管理办法》（河北省人民政府令第156号）第十四条：“居民院(楼、门户)和单位的门牌号由产权人或者管理人和单位向省辖市、县(市)民政部门提出申请,由民政部门统一编制号码后向申请人发放门牌号。”</w:t>
            </w:r>
          </w:p>
        </w:tc>
        <w:tc>
          <w:tcPr>
            <w:tcW w:w="153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before="75" w:after="75"/>
              <w:jc w:val="left"/>
              <w:textAlignment w:val="center"/>
              <w:rPr>
                <w:rFonts w:ascii="仿宋" w:hAnsi="仿宋" w:eastAsia="仿宋" w:cs="宋体"/>
                <w:color w:val="000000"/>
                <w:kern w:val="0"/>
                <w:szCs w:val="21"/>
              </w:rPr>
            </w:pPr>
            <w:r>
              <w:rPr>
                <w:rFonts w:ascii="宋体" w:hAnsi="宋体" w:eastAsia="仿宋" w:cs="宋体"/>
                <w:color w:val="000000"/>
                <w:kern w:val="0"/>
                <w:szCs w:val="21"/>
              </w:rPr>
              <w:t> </w:t>
            </w:r>
          </w:p>
        </w:tc>
      </w:tr>
    </w:tbl>
    <w:p/>
    <w:sectPr>
      <w:pgSz w:w="16838" w:h="11906" w:orient="landscape"/>
      <w:pgMar w:top="851"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07B5"/>
    <w:rsid w:val="00023BB4"/>
    <w:rsid w:val="00070A5F"/>
    <w:rsid w:val="00073E48"/>
    <w:rsid w:val="000D007D"/>
    <w:rsid w:val="000D0F78"/>
    <w:rsid w:val="000F402E"/>
    <w:rsid w:val="002135D6"/>
    <w:rsid w:val="002607B5"/>
    <w:rsid w:val="002759E7"/>
    <w:rsid w:val="003E14FA"/>
    <w:rsid w:val="00463793"/>
    <w:rsid w:val="004F4CE8"/>
    <w:rsid w:val="00502BBC"/>
    <w:rsid w:val="005324B8"/>
    <w:rsid w:val="0057588D"/>
    <w:rsid w:val="00587CE5"/>
    <w:rsid w:val="00610065"/>
    <w:rsid w:val="00675CA3"/>
    <w:rsid w:val="00685149"/>
    <w:rsid w:val="006E53B5"/>
    <w:rsid w:val="006F3BDD"/>
    <w:rsid w:val="00787D5F"/>
    <w:rsid w:val="00871838"/>
    <w:rsid w:val="008F24A3"/>
    <w:rsid w:val="00AB22CA"/>
    <w:rsid w:val="00B07CB0"/>
    <w:rsid w:val="00B21F8D"/>
    <w:rsid w:val="00B5767A"/>
    <w:rsid w:val="00B65C18"/>
    <w:rsid w:val="00BE329A"/>
    <w:rsid w:val="00C271A8"/>
    <w:rsid w:val="00DC7634"/>
    <w:rsid w:val="00E618EF"/>
    <w:rsid w:val="00E716DA"/>
    <w:rsid w:val="00E90B51"/>
    <w:rsid w:val="00EA3D75"/>
    <w:rsid w:val="00EB4862"/>
    <w:rsid w:val="00F4289A"/>
    <w:rsid w:val="00F83ACF"/>
    <w:rsid w:val="00FB528A"/>
    <w:rsid w:val="13A137BD"/>
    <w:rsid w:val="29B15212"/>
    <w:rsid w:val="2F4D11B0"/>
    <w:rsid w:val="36E17CC5"/>
    <w:rsid w:val="77E35383"/>
    <w:rsid w:val="7BA2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apple-converted-space"/>
    <w:basedOn w:val="6"/>
    <w:qFormat/>
    <w:uiPriority w:val="0"/>
  </w:style>
  <w:style w:type="paragraph" w:customStyle="1" w:styleId="8">
    <w:name w:val="列出段落1"/>
    <w:basedOn w:val="1"/>
    <w:qFormat/>
    <w:uiPriority w:val="34"/>
    <w:pPr>
      <w:ind w:firstLine="420" w:firstLineChars="200"/>
    </w:p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semiHidden/>
    <w:uiPriority w:val="99"/>
    <w:rPr>
      <w:kern w:val="2"/>
      <w:sz w:val="18"/>
      <w:szCs w:val="18"/>
    </w:rPr>
  </w:style>
  <w:style w:type="character" w:customStyle="1" w:styleId="11">
    <w:name w:val="页脚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1192</Words>
  <Characters>6801</Characters>
  <Lines>56</Lines>
  <Paragraphs>15</Paragraphs>
  <TotalTime>116</TotalTime>
  <ScaleCrop>false</ScaleCrop>
  <LinksUpToDate>false</LinksUpToDate>
  <CharactersWithSpaces>7978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2017-07-31T01:15:00Z</dcterms:created>
  <dc:creator>dreamsummit</dc:creator>
  <cp:lastModifiedBy>八爪小鱼</cp:lastModifiedBy>
  <cp:lastPrinted>2017-07-31T01:15:00Z</cp:lastPrinted>
  <dcterms:modified xsi:type="dcterms:W3CDTF">2022-01-21T09:39:23Z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68CC147864ED4B62B03CF1F99C8570C0</vt:lpwstr>
  </property>
</Properties>
</file>