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涞水县国家电子商务进农村综合示范项目2</w:t>
      </w:r>
      <w:r>
        <w:rPr>
          <w:rFonts w:asciiTheme="majorEastAsia" w:hAnsiTheme="majorEastAsia" w:eastAsiaTheme="majorEastAsia"/>
          <w:b/>
          <w:sz w:val="44"/>
          <w:szCs w:val="44"/>
        </w:rPr>
        <w:t>02</w:t>
      </w:r>
      <w:r>
        <w:rPr>
          <w:rFonts w:hint="eastAsia" w:asciiTheme="majorEastAsia" w:hAnsiTheme="majorEastAsia" w:eastAsiaTheme="majorEastAsia"/>
          <w:b/>
          <w:sz w:val="44"/>
          <w:szCs w:val="44"/>
        </w:rPr>
        <w:t>1年</w:t>
      </w:r>
      <w:r>
        <w:rPr>
          <w:rFonts w:hint="eastAsia" w:asciiTheme="majorEastAsia" w:hAnsiTheme="majorEastAsia" w:eastAsiaTheme="majorEastAsia"/>
          <w:b/>
          <w:sz w:val="44"/>
          <w:szCs w:val="44"/>
          <w:lang w:val="en-US" w:eastAsia="zh-CN"/>
        </w:rPr>
        <w:t>8</w:t>
      </w:r>
      <w:r>
        <w:rPr>
          <w:rFonts w:hint="eastAsia" w:asciiTheme="majorEastAsia" w:hAnsiTheme="majorEastAsia" w:eastAsiaTheme="majorEastAsia"/>
          <w:b/>
          <w:sz w:val="44"/>
          <w:szCs w:val="44"/>
        </w:rPr>
        <w:t>月份资金拨付与项目进度公示</w:t>
      </w:r>
    </w:p>
    <w:tbl>
      <w:tblPr>
        <w:tblStyle w:val="5"/>
        <w:tblW w:w="22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803"/>
        <w:gridCol w:w="2880"/>
        <w:gridCol w:w="1924"/>
        <w:gridCol w:w="1665"/>
        <w:gridCol w:w="1455"/>
        <w:gridCol w:w="1715"/>
        <w:gridCol w:w="2708"/>
        <w:gridCol w:w="1696"/>
        <w:gridCol w:w="166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62"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项目名称</w:t>
            </w:r>
          </w:p>
        </w:tc>
        <w:tc>
          <w:tcPr>
            <w:tcW w:w="2803" w:type="dxa"/>
            <w:vMerge w:val="restart"/>
            <w:vAlign w:val="center"/>
          </w:tcPr>
          <w:p>
            <w:pPr>
              <w:spacing w:after="0" w:line="220" w:lineRule="atLeast"/>
              <w:jc w:val="center"/>
            </w:pPr>
            <w:r>
              <w:rPr>
                <w:rFonts w:hint="eastAsia" w:ascii="仿宋" w:hAnsi="仿宋" w:eastAsia="仿宋"/>
                <w:b/>
                <w:sz w:val="28"/>
                <w:szCs w:val="24"/>
              </w:rPr>
              <w:t>决策文件</w:t>
            </w:r>
          </w:p>
        </w:tc>
        <w:tc>
          <w:tcPr>
            <w:tcW w:w="2880"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建设内容和要求</w:t>
            </w:r>
          </w:p>
        </w:tc>
        <w:tc>
          <w:tcPr>
            <w:tcW w:w="1924"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扶持资金额度</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66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已拨付金额</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45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完成时限</w:t>
            </w:r>
          </w:p>
        </w:tc>
        <w:tc>
          <w:tcPr>
            <w:tcW w:w="171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绩效目标</w:t>
            </w:r>
          </w:p>
        </w:tc>
        <w:tc>
          <w:tcPr>
            <w:tcW w:w="4404" w:type="dxa"/>
            <w:gridSpan w:val="2"/>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本月进度</w:t>
            </w:r>
          </w:p>
        </w:tc>
        <w:tc>
          <w:tcPr>
            <w:tcW w:w="1662"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承办企业</w:t>
            </w:r>
          </w:p>
        </w:tc>
        <w:tc>
          <w:tcPr>
            <w:tcW w:w="1405"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62" w:type="dxa"/>
            <w:vMerge w:val="continue"/>
            <w:vAlign w:val="center"/>
          </w:tcPr>
          <w:p>
            <w:pPr>
              <w:spacing w:after="0" w:line="220" w:lineRule="atLeast"/>
              <w:jc w:val="center"/>
            </w:pPr>
          </w:p>
        </w:tc>
        <w:tc>
          <w:tcPr>
            <w:tcW w:w="2803" w:type="dxa"/>
            <w:vMerge w:val="continue"/>
            <w:vAlign w:val="center"/>
          </w:tcPr>
          <w:p>
            <w:pPr>
              <w:spacing w:after="0" w:line="220" w:lineRule="atLeast"/>
              <w:jc w:val="center"/>
            </w:pPr>
          </w:p>
        </w:tc>
        <w:tc>
          <w:tcPr>
            <w:tcW w:w="2880" w:type="dxa"/>
            <w:vMerge w:val="continue"/>
            <w:vAlign w:val="center"/>
          </w:tcPr>
          <w:p>
            <w:pPr>
              <w:spacing w:after="0" w:line="220" w:lineRule="atLeast"/>
              <w:jc w:val="center"/>
            </w:pPr>
          </w:p>
        </w:tc>
        <w:tc>
          <w:tcPr>
            <w:tcW w:w="1924" w:type="dxa"/>
            <w:vMerge w:val="continue"/>
            <w:vAlign w:val="center"/>
          </w:tcPr>
          <w:p>
            <w:pPr>
              <w:spacing w:after="0" w:line="220" w:lineRule="atLeast"/>
              <w:jc w:val="center"/>
            </w:pPr>
          </w:p>
        </w:tc>
        <w:tc>
          <w:tcPr>
            <w:tcW w:w="1665" w:type="dxa"/>
            <w:vMerge w:val="continue"/>
            <w:vAlign w:val="center"/>
          </w:tcPr>
          <w:p>
            <w:pPr>
              <w:spacing w:after="0" w:line="220" w:lineRule="atLeast"/>
              <w:jc w:val="center"/>
            </w:pPr>
          </w:p>
        </w:tc>
        <w:tc>
          <w:tcPr>
            <w:tcW w:w="1455" w:type="dxa"/>
            <w:vMerge w:val="continue"/>
            <w:vAlign w:val="center"/>
          </w:tcPr>
          <w:p>
            <w:pPr>
              <w:spacing w:after="0" w:line="220" w:lineRule="atLeast"/>
              <w:jc w:val="center"/>
            </w:pPr>
          </w:p>
        </w:tc>
        <w:tc>
          <w:tcPr>
            <w:tcW w:w="1715" w:type="dxa"/>
            <w:vMerge w:val="continue"/>
            <w:vAlign w:val="center"/>
          </w:tcPr>
          <w:p>
            <w:pPr>
              <w:spacing w:after="0" w:line="220" w:lineRule="atLeast"/>
              <w:jc w:val="center"/>
            </w:pPr>
          </w:p>
        </w:tc>
        <w:tc>
          <w:tcPr>
            <w:tcW w:w="2708"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工作情况</w:t>
            </w:r>
          </w:p>
        </w:tc>
        <w:tc>
          <w:tcPr>
            <w:tcW w:w="1696"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资金拨付额</w:t>
            </w:r>
          </w:p>
        </w:tc>
        <w:tc>
          <w:tcPr>
            <w:tcW w:w="1662" w:type="dxa"/>
            <w:vAlign w:val="center"/>
          </w:tcPr>
          <w:p>
            <w:pPr>
              <w:spacing w:after="0" w:line="220" w:lineRule="atLeast"/>
              <w:jc w:val="center"/>
            </w:pPr>
          </w:p>
        </w:tc>
        <w:tc>
          <w:tcPr>
            <w:tcW w:w="1405" w:type="dxa"/>
            <w:vAlign w:val="center"/>
          </w:tcPr>
          <w:p>
            <w:pPr>
              <w:spacing w:after="0"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21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县级公共服务中心</w:t>
            </w: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建设或改造600平米以上的县级农村电商公共服务中心，设置交流室、电教室、会议室、办公室、农产品研发体验中心（100—200平米），</w:t>
            </w:r>
            <w:r>
              <w:rPr>
                <w:rFonts w:hint="eastAsia" w:ascii="仿宋" w:hAnsi="仿宋" w:eastAsia="仿宋" w:cs="宋体"/>
                <w:color w:val="000000"/>
                <w:sz w:val="24"/>
                <w:szCs w:val="24"/>
              </w:rPr>
              <w:t>其它必要的办公设施设备</w:t>
            </w:r>
          </w:p>
        </w:tc>
        <w:tc>
          <w:tcPr>
            <w:tcW w:w="1924"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1个中心建设改造</w:t>
            </w:r>
          </w:p>
          <w:p>
            <w:pPr>
              <w:spacing w:after="0" w:line="220" w:lineRule="atLeast"/>
              <w:jc w:val="center"/>
              <w:rPr>
                <w:rFonts w:ascii="仿宋" w:hAnsi="仿宋" w:eastAsia="仿宋"/>
                <w:sz w:val="24"/>
                <w:szCs w:val="24"/>
              </w:rPr>
            </w:pPr>
          </w:p>
        </w:tc>
        <w:tc>
          <w:tcPr>
            <w:tcW w:w="2708" w:type="dxa"/>
          </w:tcPr>
          <w:p>
            <w:pPr>
              <w:numPr>
                <w:ilvl w:val="0"/>
                <w:numId w:val="0"/>
              </w:num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1、8月18日参加电商直播聚力，乡村振兴发展系列直播活动—明义镇樊家台村黄桃助销活动</w:t>
            </w:r>
          </w:p>
        </w:tc>
        <w:tc>
          <w:tcPr>
            <w:tcW w:w="1696" w:type="dxa"/>
          </w:tcPr>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村级服务站</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常住人口500人以上的行政村或建档立卡贫困村建设面积10平米以上；常住人口500人以下的行政村或建档立卡贫困村建设面积5-10平米。室内有电商区，并配备电脑、背景墙、电视42寸、上网行为数据管理器、收发货物流筐、公告牌及其它相关的设施设备。室外有门头、灯箱、WIFI标识牌。同一行政村，中央财政支持不超过1个，建档立卡贫困村和行政村覆盖率达到50%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284个服务站升级改造</w:t>
            </w:r>
          </w:p>
        </w:tc>
        <w:tc>
          <w:tcPr>
            <w:tcW w:w="2708" w:type="dxa"/>
          </w:tcPr>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p>
          <w:p>
            <w:pPr>
              <w:numPr>
                <w:ilvl w:val="0"/>
                <w:numId w:val="0"/>
              </w:numPr>
              <w:rPr>
                <w:rFonts w:hint="default" w:ascii="仿宋" w:hAnsi="仿宋" w:eastAsia="仿宋"/>
                <w:sz w:val="24"/>
                <w:szCs w:val="24"/>
                <w:lang w:val="en-US" w:eastAsia="zh-CN"/>
              </w:rPr>
            </w:pPr>
            <w:r>
              <w:rPr>
                <w:rFonts w:hint="eastAsia" w:ascii="仿宋" w:hAnsi="仿宋" w:eastAsia="仿宋"/>
                <w:sz w:val="24"/>
                <w:szCs w:val="24"/>
                <w:lang w:val="en-US" w:eastAsia="zh-CN"/>
              </w:rPr>
              <w:t>维修天然气灶30台</w:t>
            </w: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培训</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225</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225</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2708" w:type="dxa"/>
          </w:tcPr>
          <w:p>
            <w:pPr>
              <w:spacing w:after="0" w:line="220" w:lineRule="atLeast"/>
              <w:jc w:val="both"/>
              <w:rPr>
                <w:rFonts w:ascii="仿宋" w:hAnsi="仿宋" w:eastAsia="仿宋"/>
                <w:sz w:val="24"/>
                <w:szCs w:val="24"/>
              </w:rPr>
            </w:pPr>
            <w:r>
              <w:rPr>
                <w:rFonts w:hint="eastAsia" w:ascii="仿宋" w:hAnsi="仿宋" w:eastAsia="仿宋"/>
                <w:sz w:val="24"/>
                <w:szCs w:val="24"/>
              </w:rPr>
              <w:t xml:space="preserve"> </w:t>
            </w:r>
          </w:p>
          <w:p>
            <w:pPr>
              <w:spacing w:after="0" w:line="220" w:lineRule="atLeast"/>
              <w:jc w:val="both"/>
              <w:rPr>
                <w:rFonts w:ascii="仿宋" w:hAnsi="仿宋" w:eastAsia="仿宋"/>
                <w:sz w:val="24"/>
                <w:szCs w:val="24"/>
              </w:rPr>
            </w:pPr>
          </w:p>
          <w:p>
            <w:pPr>
              <w:spacing w:after="0" w:line="220" w:lineRule="atLeast"/>
              <w:jc w:val="both"/>
              <w:rPr>
                <w:rFonts w:ascii="仿宋" w:hAnsi="仿宋" w:eastAsia="仿宋"/>
                <w:sz w:val="24"/>
                <w:szCs w:val="24"/>
              </w:rPr>
            </w:pPr>
          </w:p>
          <w:p>
            <w:p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8月1日-31日累计开展培训11场次，57人次。</w:t>
            </w: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物流配送中心</w:t>
            </w:r>
          </w:p>
          <w:p>
            <w:pPr>
              <w:spacing w:after="0" w:line="220" w:lineRule="atLeast"/>
              <w:jc w:val="center"/>
              <w:rPr>
                <w:rFonts w:ascii="仿宋" w:hAnsi="仿宋" w:eastAsia="仿宋"/>
                <w:sz w:val="24"/>
                <w:szCs w:val="24"/>
              </w:rPr>
            </w:pP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县级仓储物流中心：面积800平米以上，打包台、货架、扫抢配送车辆。乡镇级配送中心按实际需求建设，面积100平米以上，打包台，货架，电脑，扫抢，配送车辆。同一物流线路，中央财政支持不超过1家。物流快递网点的乡镇覆盖率达到100%，能为村站提供服务，与村站实现资源共享。有需求和条件的地区，应建设冷冻库，冷藏柜、冷链物流车等设备设施。</w:t>
            </w:r>
          </w:p>
        </w:tc>
        <w:tc>
          <w:tcPr>
            <w:tcW w:w="1924"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450</w:t>
            </w:r>
          </w:p>
        </w:tc>
        <w:tc>
          <w:tcPr>
            <w:tcW w:w="166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450</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kern w:val="2"/>
                <w:sz w:val="24"/>
                <w:szCs w:val="24"/>
              </w:rPr>
              <w:t>1个县级仓储配送中心</w:t>
            </w:r>
          </w:p>
        </w:tc>
        <w:tc>
          <w:tcPr>
            <w:tcW w:w="2708" w:type="dxa"/>
            <w:vMerge w:val="restart"/>
          </w:tcPr>
          <w:p>
            <w:pPr>
              <w:spacing w:after="0" w:line="220" w:lineRule="atLeast"/>
              <w:rPr>
                <w:rFonts w:ascii="仿宋" w:hAnsi="仿宋" w:eastAsia="仿宋"/>
                <w:sz w:val="24"/>
                <w:szCs w:val="24"/>
              </w:rPr>
            </w:pPr>
          </w:p>
          <w:p>
            <w:pPr>
              <w:spacing w:after="0" w:line="220" w:lineRule="atLeast"/>
              <w:rPr>
                <w:rFonts w:ascii="仿宋" w:hAnsi="仿宋" w:eastAsia="仿宋"/>
                <w:sz w:val="24"/>
                <w:szCs w:val="24"/>
              </w:rPr>
            </w:pPr>
          </w:p>
          <w:p>
            <w:pPr>
              <w:spacing w:after="0" w:line="220" w:lineRule="atLeast"/>
              <w:rPr>
                <w:rFonts w:ascii="仿宋" w:hAnsi="仿宋" w:eastAsia="仿宋"/>
                <w:sz w:val="24"/>
                <w:szCs w:val="24"/>
              </w:rPr>
            </w:pPr>
          </w:p>
          <w:p>
            <w:p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1、走访三坡镇、九龙镇乡镇物流中心和村级网点，解决运行过程中存在的问题，检查核对国有资产设备。</w:t>
            </w:r>
          </w:p>
          <w:p>
            <w:pPr>
              <w:spacing w:after="0" w:line="220" w:lineRule="atLeast"/>
              <w:jc w:val="both"/>
              <w:rPr>
                <w:rFonts w:ascii="仿宋" w:hAnsi="仿宋" w:eastAsia="仿宋"/>
                <w:sz w:val="24"/>
                <w:szCs w:val="24"/>
              </w:rPr>
            </w:pPr>
            <w:r>
              <w:rPr>
                <w:rFonts w:hint="eastAsia" w:ascii="仿宋" w:hAnsi="仿宋" w:eastAsia="仿宋"/>
                <w:sz w:val="24"/>
                <w:szCs w:val="24"/>
                <w:lang w:val="en-US" w:eastAsia="zh-CN"/>
              </w:rPr>
              <w:t>2、配合参加电商办举办的电商直播助农销售苹果的活动。</w:t>
            </w:r>
          </w:p>
        </w:tc>
        <w:tc>
          <w:tcPr>
            <w:tcW w:w="1696" w:type="dxa"/>
            <w:vMerge w:val="restart"/>
            <w:vAlign w:val="center"/>
          </w:tcPr>
          <w:p>
            <w:pPr>
              <w:spacing w:after="0" w:line="220" w:lineRule="atLeast"/>
              <w:jc w:val="center"/>
              <w:rPr>
                <w:rFonts w:ascii="仿宋" w:hAnsi="仿宋" w:eastAsia="仿宋"/>
                <w:sz w:val="24"/>
                <w:szCs w:val="24"/>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涞水汇华商贸有限公司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晋春雨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2162"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乡镇物流配送中心</w:t>
            </w:r>
          </w:p>
        </w:tc>
        <w:tc>
          <w:tcPr>
            <w:tcW w:w="2803" w:type="dxa"/>
            <w:vMerge w:val="continue"/>
            <w:vAlign w:val="center"/>
          </w:tcPr>
          <w:p>
            <w:pPr>
              <w:spacing w:after="0" w:line="220" w:lineRule="atLeast"/>
              <w:jc w:val="center"/>
              <w:rPr>
                <w:rFonts w:ascii="仿宋" w:hAnsi="仿宋" w:eastAsia="仿宋"/>
                <w:sz w:val="24"/>
                <w:szCs w:val="24"/>
              </w:rPr>
            </w:pPr>
          </w:p>
        </w:tc>
        <w:tc>
          <w:tcPr>
            <w:tcW w:w="2880" w:type="dxa"/>
            <w:vMerge w:val="continue"/>
            <w:vAlign w:val="center"/>
          </w:tcPr>
          <w:p>
            <w:pPr>
              <w:spacing w:after="0" w:line="220" w:lineRule="atLeast"/>
              <w:jc w:val="center"/>
              <w:rPr>
                <w:rFonts w:ascii="仿宋" w:hAnsi="仿宋" w:eastAsia="仿宋"/>
                <w:sz w:val="24"/>
                <w:szCs w:val="24"/>
              </w:rPr>
            </w:pPr>
          </w:p>
        </w:tc>
        <w:tc>
          <w:tcPr>
            <w:tcW w:w="1924" w:type="dxa"/>
            <w:vMerge w:val="continue"/>
            <w:vAlign w:val="center"/>
          </w:tcPr>
          <w:p>
            <w:pPr>
              <w:spacing w:after="0" w:line="220" w:lineRule="atLeast"/>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14个乡</w:t>
            </w:r>
          </w:p>
          <w:p>
            <w:pPr>
              <w:spacing w:after="0" w:line="220" w:lineRule="atLeast"/>
              <w:jc w:val="center"/>
              <w:rPr>
                <w:rFonts w:ascii="仿宋" w:hAnsi="仿宋" w:eastAsia="仿宋"/>
                <w:sz w:val="24"/>
                <w:szCs w:val="24"/>
              </w:rPr>
            </w:pPr>
            <w:r>
              <w:rPr>
                <w:rFonts w:hint="eastAsia" w:ascii="仿宋" w:hAnsi="仿宋" w:eastAsia="仿宋"/>
                <w:sz w:val="24"/>
                <w:szCs w:val="24"/>
              </w:rPr>
              <w:t>镇配送中心</w:t>
            </w:r>
          </w:p>
        </w:tc>
        <w:tc>
          <w:tcPr>
            <w:tcW w:w="2708" w:type="dxa"/>
            <w:vMerge w:val="continue"/>
          </w:tcPr>
          <w:p>
            <w:pPr>
              <w:adjustRightInd/>
              <w:snapToGrid/>
              <w:spacing w:after="0"/>
              <w:jc w:val="both"/>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162" w:type="dxa"/>
            <w:vMerge w:val="restart"/>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农业产品上行体系</w:t>
            </w: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在县域范围内引入1-3家企业加入溯源系统，并取得销售成效，有力地推动农业制品上行。</w:t>
            </w:r>
          </w:p>
        </w:tc>
        <w:tc>
          <w:tcPr>
            <w:tcW w:w="1924"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525</w:t>
            </w:r>
          </w:p>
        </w:tc>
        <w:tc>
          <w:tcPr>
            <w:tcW w:w="166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525</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农产品的标准化、生产认证、品牌培育、质量溯源等综合服务体系建设</w:t>
            </w:r>
          </w:p>
        </w:tc>
        <w:tc>
          <w:tcPr>
            <w:tcW w:w="2708" w:type="dxa"/>
            <w:vMerge w:val="restart"/>
          </w:tcPr>
          <w:p>
            <w:pPr>
              <w:spacing w:after="0" w:line="220" w:lineRule="atLeast"/>
              <w:jc w:val="both"/>
              <w:rPr>
                <w:rFonts w:ascii="仿宋" w:hAnsi="仿宋" w:eastAsia="仿宋"/>
                <w:sz w:val="24"/>
                <w:szCs w:val="24"/>
              </w:rPr>
            </w:pPr>
            <w:r>
              <w:rPr>
                <w:rFonts w:hint="eastAsia" w:ascii="仿宋" w:hAnsi="仿宋" w:eastAsia="仿宋"/>
                <w:sz w:val="24"/>
                <w:szCs w:val="24"/>
              </w:rPr>
              <w:t xml:space="preserve">  </w:t>
            </w:r>
          </w:p>
          <w:p>
            <w:pPr>
              <w:numPr>
                <w:ilvl w:val="0"/>
                <w:numId w:val="0"/>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调研桑葚标准化基地，对基地现有设备进行维护，联合桑葚产品种植标准化、流通标准化材料以及实际种植情况对桑葚智慧大棚相关数据进行调整。</w:t>
            </w:r>
            <w:bookmarkStart w:id="0" w:name="_GoBack"/>
            <w:bookmarkEnd w:id="0"/>
          </w:p>
        </w:tc>
        <w:tc>
          <w:tcPr>
            <w:tcW w:w="1696" w:type="dxa"/>
            <w:vMerge w:val="restart"/>
            <w:vAlign w:val="center"/>
          </w:tcPr>
          <w:p>
            <w:pPr>
              <w:spacing w:after="0" w:line="220" w:lineRule="atLeast"/>
              <w:jc w:val="center"/>
              <w:rPr>
                <w:rFonts w:ascii="仿宋" w:hAnsi="仿宋" w:eastAsia="仿宋"/>
                <w:sz w:val="24"/>
                <w:szCs w:val="24"/>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162" w:type="dxa"/>
            <w:vMerge w:val="continue"/>
            <w:vAlign w:val="center"/>
          </w:tcPr>
          <w:p>
            <w:pPr>
              <w:adjustRightInd/>
              <w:snapToGrid/>
              <w:spacing w:after="0"/>
              <w:jc w:val="center"/>
              <w:rPr>
                <w:rFonts w:ascii="仿宋" w:hAnsi="仿宋" w:eastAsia="仿宋" w:cs="宋体"/>
                <w:kern w:val="2"/>
                <w:sz w:val="24"/>
                <w:szCs w:val="24"/>
              </w:rPr>
            </w:pPr>
          </w:p>
        </w:tc>
        <w:tc>
          <w:tcPr>
            <w:tcW w:w="2803" w:type="dxa"/>
            <w:vMerge w:val="continue"/>
            <w:vAlign w:val="center"/>
          </w:tcPr>
          <w:p>
            <w:pPr>
              <w:adjustRightInd/>
              <w:snapToGrid/>
              <w:spacing w:after="0"/>
              <w:jc w:val="center"/>
              <w:rPr>
                <w:rFonts w:ascii="仿宋" w:hAnsi="仿宋" w:eastAsia="仿宋"/>
                <w:sz w:val="24"/>
                <w:szCs w:val="24"/>
              </w:rPr>
            </w:pPr>
          </w:p>
        </w:tc>
        <w:tc>
          <w:tcPr>
            <w:tcW w:w="2880" w:type="dxa"/>
            <w:vMerge w:val="continue"/>
            <w:vAlign w:val="center"/>
          </w:tcPr>
          <w:p>
            <w:pPr>
              <w:adjustRightInd/>
              <w:snapToGrid/>
              <w:spacing w:after="0"/>
              <w:jc w:val="center"/>
              <w:rPr>
                <w:rFonts w:ascii="仿宋" w:hAnsi="仿宋" w:eastAsia="仿宋" w:cs="宋体"/>
                <w:kern w:val="2"/>
                <w:sz w:val="24"/>
                <w:szCs w:val="24"/>
              </w:rPr>
            </w:pPr>
          </w:p>
        </w:tc>
        <w:tc>
          <w:tcPr>
            <w:tcW w:w="1924" w:type="dxa"/>
            <w:vMerge w:val="continue"/>
            <w:vAlign w:val="center"/>
          </w:tcPr>
          <w:p>
            <w:pPr>
              <w:adjustRightInd/>
              <w:snapToGrid/>
              <w:spacing w:after="0"/>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农产品分级、包装、预冷、初加工等基础设施建设</w:t>
            </w:r>
          </w:p>
        </w:tc>
        <w:tc>
          <w:tcPr>
            <w:tcW w:w="2708" w:type="dxa"/>
            <w:vMerge w:val="continue"/>
            <w:vAlign w:val="center"/>
          </w:tcPr>
          <w:p>
            <w:pPr>
              <w:adjustRightInd/>
              <w:snapToGrid/>
              <w:spacing w:after="0"/>
              <w:jc w:val="center"/>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bl>
    <w:p>
      <w:pPr>
        <w:spacing w:line="220" w:lineRule="atLeast"/>
        <w:rPr>
          <w:rFonts w:ascii="仿宋" w:hAnsi="仿宋" w:eastAsia="仿宋"/>
          <w:sz w:val="24"/>
          <w:szCs w:val="24"/>
        </w:rPr>
      </w:pPr>
    </w:p>
    <w:sectPr>
      <w:pgSz w:w="23757" w:h="16783" w:orient="landscape"/>
      <w:pgMar w:top="1797"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4635D"/>
    <w:rsid w:val="00151C58"/>
    <w:rsid w:val="001C582D"/>
    <w:rsid w:val="002D1C10"/>
    <w:rsid w:val="00320D7C"/>
    <w:rsid w:val="00323B43"/>
    <w:rsid w:val="003D37D8"/>
    <w:rsid w:val="003F7B69"/>
    <w:rsid w:val="004244A2"/>
    <w:rsid w:val="00426133"/>
    <w:rsid w:val="004358AB"/>
    <w:rsid w:val="00440ABE"/>
    <w:rsid w:val="006137F1"/>
    <w:rsid w:val="00682F14"/>
    <w:rsid w:val="00696879"/>
    <w:rsid w:val="006B611A"/>
    <w:rsid w:val="007D3DE9"/>
    <w:rsid w:val="00864072"/>
    <w:rsid w:val="00870161"/>
    <w:rsid w:val="008B7726"/>
    <w:rsid w:val="008E5B5C"/>
    <w:rsid w:val="009C0114"/>
    <w:rsid w:val="00B55646"/>
    <w:rsid w:val="00B90E66"/>
    <w:rsid w:val="00BC1BD4"/>
    <w:rsid w:val="00C057EB"/>
    <w:rsid w:val="00C07CC5"/>
    <w:rsid w:val="00D31D50"/>
    <w:rsid w:val="00EA629F"/>
    <w:rsid w:val="00F31EF9"/>
    <w:rsid w:val="022E284B"/>
    <w:rsid w:val="025608ED"/>
    <w:rsid w:val="0300200F"/>
    <w:rsid w:val="042B0140"/>
    <w:rsid w:val="092C17AA"/>
    <w:rsid w:val="0F3235C3"/>
    <w:rsid w:val="1435076D"/>
    <w:rsid w:val="149A3019"/>
    <w:rsid w:val="166F3FA0"/>
    <w:rsid w:val="1A340446"/>
    <w:rsid w:val="1E1A00C2"/>
    <w:rsid w:val="1F936869"/>
    <w:rsid w:val="21970658"/>
    <w:rsid w:val="226C516F"/>
    <w:rsid w:val="22747DBB"/>
    <w:rsid w:val="22E02B74"/>
    <w:rsid w:val="23CF233D"/>
    <w:rsid w:val="2B1B055B"/>
    <w:rsid w:val="2C094745"/>
    <w:rsid w:val="31D27D3C"/>
    <w:rsid w:val="39D247AC"/>
    <w:rsid w:val="3BAD70DD"/>
    <w:rsid w:val="3F973CC5"/>
    <w:rsid w:val="4231042E"/>
    <w:rsid w:val="43A22D43"/>
    <w:rsid w:val="49BA5BE7"/>
    <w:rsid w:val="506F5A80"/>
    <w:rsid w:val="5077187F"/>
    <w:rsid w:val="516B4657"/>
    <w:rsid w:val="53F9556E"/>
    <w:rsid w:val="551D2C9F"/>
    <w:rsid w:val="57037581"/>
    <w:rsid w:val="597E4D2F"/>
    <w:rsid w:val="5B801CC6"/>
    <w:rsid w:val="5FBA4C29"/>
    <w:rsid w:val="61D77C00"/>
    <w:rsid w:val="62C068B4"/>
    <w:rsid w:val="64E231C8"/>
    <w:rsid w:val="67C46391"/>
    <w:rsid w:val="6F361E1D"/>
    <w:rsid w:val="7B832EBE"/>
    <w:rsid w:val="7D1100A9"/>
    <w:rsid w:val="7E6F3EF9"/>
    <w:rsid w:val="7F56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ahoma" w:hAnsi="Tahoma" w:eastAsia="微软雅黑" w:cstheme="minorBidi"/>
      <w:sz w:val="18"/>
      <w:szCs w:val="18"/>
    </w:rPr>
  </w:style>
  <w:style w:type="character" w:customStyle="1" w:styleId="8">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1359</Characters>
  <Lines>11</Lines>
  <Paragraphs>3</Paragraphs>
  <TotalTime>0</TotalTime>
  <ScaleCrop>false</ScaleCrop>
  <LinksUpToDate>false</LinksUpToDate>
  <CharactersWithSpaces>1594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2020-11-02T05:24:00Z</dcterms:created>
  <dc:creator>Administrator</dc:creator>
  <cp:lastModifiedBy>Administrator</cp:lastModifiedBy>
  <cp:lastPrinted>2021-05-31T03:55:00Z</cp:lastPrinted>
  <dcterms:modified xsi:type="dcterms:W3CDTF">2022-01-17T09:11:16Z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C35E27C6BB0B4B90AB2D2989819FCA63</vt:lpwstr>
  </property>
</Properties>
</file>