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涞水县国家电子商务进农村综合示范项目2</w:t>
      </w:r>
      <w:r>
        <w:rPr>
          <w:rFonts w:asciiTheme="majorEastAsia" w:hAnsiTheme="majorEastAsia" w:eastAsiaTheme="majorEastAsia"/>
          <w:b/>
          <w:sz w:val="44"/>
          <w:szCs w:val="44"/>
        </w:rPr>
        <w:t>02</w:t>
      </w:r>
      <w:r>
        <w:rPr>
          <w:rFonts w:hint="eastAsia" w:asciiTheme="majorEastAsia" w:hAnsiTheme="majorEastAsia" w:eastAsiaTheme="majorEastAsia"/>
          <w:b/>
          <w:sz w:val="44"/>
          <w:szCs w:val="44"/>
        </w:rPr>
        <w:t>1年</w:t>
      </w:r>
      <w:r>
        <w:rPr>
          <w:rFonts w:hint="eastAsia" w:asciiTheme="majorEastAsia" w:hAnsiTheme="majorEastAsia" w:eastAsiaTheme="majorEastAsia"/>
          <w:b/>
          <w:sz w:val="44"/>
          <w:szCs w:val="44"/>
          <w:lang w:val="en-US" w:eastAsia="zh-CN"/>
        </w:rPr>
        <w:t>9</w:t>
      </w:r>
      <w:r>
        <w:rPr>
          <w:rFonts w:hint="eastAsia" w:asciiTheme="majorEastAsia" w:hAnsiTheme="majorEastAsia" w:eastAsiaTheme="majorEastAsia"/>
          <w:b/>
          <w:sz w:val="44"/>
          <w:szCs w:val="44"/>
        </w:rPr>
        <w:t>月份资金拨付与项目进度公示</w:t>
      </w:r>
    </w:p>
    <w:tbl>
      <w:tblPr>
        <w:tblStyle w:val="5"/>
        <w:tblW w:w="22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803"/>
        <w:gridCol w:w="2880"/>
        <w:gridCol w:w="1924"/>
        <w:gridCol w:w="1665"/>
        <w:gridCol w:w="1455"/>
        <w:gridCol w:w="1715"/>
        <w:gridCol w:w="2708"/>
        <w:gridCol w:w="1696"/>
        <w:gridCol w:w="166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62"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项目名称</w:t>
            </w:r>
          </w:p>
        </w:tc>
        <w:tc>
          <w:tcPr>
            <w:tcW w:w="2803" w:type="dxa"/>
            <w:vMerge w:val="restart"/>
            <w:vAlign w:val="center"/>
          </w:tcPr>
          <w:p>
            <w:pPr>
              <w:spacing w:after="0" w:line="220" w:lineRule="atLeast"/>
              <w:jc w:val="center"/>
            </w:pPr>
            <w:r>
              <w:rPr>
                <w:rFonts w:hint="eastAsia" w:ascii="仿宋" w:hAnsi="仿宋" w:eastAsia="仿宋"/>
                <w:b/>
                <w:sz w:val="28"/>
                <w:szCs w:val="24"/>
              </w:rPr>
              <w:t>决策文件</w:t>
            </w:r>
          </w:p>
        </w:tc>
        <w:tc>
          <w:tcPr>
            <w:tcW w:w="2880"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建设内容和要求</w:t>
            </w:r>
          </w:p>
        </w:tc>
        <w:tc>
          <w:tcPr>
            <w:tcW w:w="1924"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扶持资金额度</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66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已拨付金额</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45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完成时限</w:t>
            </w:r>
          </w:p>
        </w:tc>
        <w:tc>
          <w:tcPr>
            <w:tcW w:w="171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绩效目标</w:t>
            </w:r>
          </w:p>
        </w:tc>
        <w:tc>
          <w:tcPr>
            <w:tcW w:w="4404" w:type="dxa"/>
            <w:gridSpan w:val="2"/>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本月进度</w:t>
            </w:r>
          </w:p>
        </w:tc>
        <w:tc>
          <w:tcPr>
            <w:tcW w:w="1662"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承办企业</w:t>
            </w:r>
          </w:p>
        </w:tc>
        <w:tc>
          <w:tcPr>
            <w:tcW w:w="1405"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62" w:type="dxa"/>
            <w:vMerge w:val="continue"/>
            <w:vAlign w:val="center"/>
          </w:tcPr>
          <w:p>
            <w:pPr>
              <w:spacing w:after="0" w:line="220" w:lineRule="atLeast"/>
              <w:jc w:val="center"/>
            </w:pPr>
          </w:p>
        </w:tc>
        <w:tc>
          <w:tcPr>
            <w:tcW w:w="2803" w:type="dxa"/>
            <w:vMerge w:val="continue"/>
            <w:vAlign w:val="center"/>
          </w:tcPr>
          <w:p>
            <w:pPr>
              <w:spacing w:after="0" w:line="220" w:lineRule="atLeast"/>
              <w:jc w:val="center"/>
            </w:pPr>
          </w:p>
        </w:tc>
        <w:tc>
          <w:tcPr>
            <w:tcW w:w="2880" w:type="dxa"/>
            <w:vMerge w:val="continue"/>
            <w:vAlign w:val="center"/>
          </w:tcPr>
          <w:p>
            <w:pPr>
              <w:spacing w:after="0" w:line="220" w:lineRule="atLeast"/>
              <w:jc w:val="center"/>
            </w:pPr>
          </w:p>
        </w:tc>
        <w:tc>
          <w:tcPr>
            <w:tcW w:w="1924" w:type="dxa"/>
            <w:vMerge w:val="continue"/>
            <w:vAlign w:val="center"/>
          </w:tcPr>
          <w:p>
            <w:pPr>
              <w:spacing w:after="0" w:line="220" w:lineRule="atLeast"/>
              <w:jc w:val="center"/>
            </w:pPr>
          </w:p>
        </w:tc>
        <w:tc>
          <w:tcPr>
            <w:tcW w:w="1665" w:type="dxa"/>
            <w:vMerge w:val="continue"/>
            <w:vAlign w:val="center"/>
          </w:tcPr>
          <w:p>
            <w:pPr>
              <w:spacing w:after="0" w:line="220" w:lineRule="atLeast"/>
              <w:jc w:val="center"/>
            </w:pPr>
          </w:p>
        </w:tc>
        <w:tc>
          <w:tcPr>
            <w:tcW w:w="1455" w:type="dxa"/>
            <w:vMerge w:val="continue"/>
            <w:vAlign w:val="center"/>
          </w:tcPr>
          <w:p>
            <w:pPr>
              <w:spacing w:after="0" w:line="220" w:lineRule="atLeast"/>
              <w:jc w:val="center"/>
            </w:pPr>
          </w:p>
        </w:tc>
        <w:tc>
          <w:tcPr>
            <w:tcW w:w="1715" w:type="dxa"/>
            <w:vMerge w:val="continue"/>
            <w:vAlign w:val="center"/>
          </w:tcPr>
          <w:p>
            <w:pPr>
              <w:spacing w:after="0" w:line="220" w:lineRule="atLeast"/>
              <w:jc w:val="center"/>
            </w:pPr>
          </w:p>
        </w:tc>
        <w:tc>
          <w:tcPr>
            <w:tcW w:w="2708"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工作情况</w:t>
            </w:r>
          </w:p>
        </w:tc>
        <w:tc>
          <w:tcPr>
            <w:tcW w:w="1696"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资金拨付额</w:t>
            </w:r>
          </w:p>
        </w:tc>
        <w:tc>
          <w:tcPr>
            <w:tcW w:w="1662" w:type="dxa"/>
            <w:vAlign w:val="center"/>
          </w:tcPr>
          <w:p>
            <w:pPr>
              <w:spacing w:after="0" w:line="220" w:lineRule="atLeast"/>
              <w:jc w:val="center"/>
            </w:pPr>
          </w:p>
        </w:tc>
        <w:tc>
          <w:tcPr>
            <w:tcW w:w="1405" w:type="dxa"/>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1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县级公共服务中心</w:t>
            </w: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建设或改造600平米以上的县级农村电商公共服务中心，设置交流室、电教室、会议室、办公室、农产品研发体验中心（100—200平米），</w:t>
            </w:r>
            <w:r>
              <w:rPr>
                <w:rFonts w:hint="eastAsia" w:ascii="仿宋" w:hAnsi="仿宋" w:eastAsia="仿宋" w:cs="宋体"/>
                <w:color w:val="000000"/>
                <w:sz w:val="24"/>
                <w:szCs w:val="24"/>
              </w:rPr>
              <w:t>其它必要的办公设施设备</w:t>
            </w:r>
          </w:p>
        </w:tc>
        <w:tc>
          <w:tcPr>
            <w:tcW w:w="1924"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1个中心建设改造</w:t>
            </w:r>
          </w:p>
          <w:p>
            <w:pPr>
              <w:spacing w:after="0" w:line="220" w:lineRule="atLeast"/>
              <w:jc w:val="center"/>
              <w:rPr>
                <w:rFonts w:ascii="仿宋" w:hAnsi="仿宋" w:eastAsia="仿宋"/>
                <w:sz w:val="24"/>
                <w:szCs w:val="24"/>
              </w:rPr>
            </w:pPr>
          </w:p>
        </w:tc>
        <w:tc>
          <w:tcPr>
            <w:tcW w:w="2708" w:type="dxa"/>
          </w:tcPr>
          <w:p>
            <w:pPr>
              <w:numPr>
                <w:ilvl w:val="0"/>
                <w:numId w:val="0"/>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1、9月29日组织在北二环文玩核桃传媒中心开展涞水县文玩核桃助农直播大赛</w:t>
            </w:r>
          </w:p>
          <w:p>
            <w:pPr>
              <w:numPr>
                <w:ilvl w:val="0"/>
                <w:numId w:val="0"/>
              </w:numPr>
              <w:spacing w:after="0" w:line="220" w:lineRule="atLeast"/>
              <w:jc w:val="both"/>
              <w:rPr>
                <w:rFonts w:hint="default" w:ascii="仿宋" w:hAnsi="仿宋" w:eastAsia="仿宋"/>
                <w:sz w:val="24"/>
                <w:szCs w:val="24"/>
                <w:lang w:val="en-US" w:eastAsia="zh-CN"/>
              </w:rPr>
            </w:pPr>
            <w:r>
              <w:rPr>
                <w:rFonts w:hint="eastAsia" w:ascii="仿宋" w:hAnsi="仿宋" w:eastAsia="仿宋"/>
                <w:sz w:val="24"/>
                <w:szCs w:val="24"/>
                <w:lang w:val="en-US" w:eastAsia="zh-CN"/>
              </w:rPr>
              <w:t>2、9月29日组织近二十家企业在北二环麻核桃举办庆丰收感党恩农特产品展销会</w:t>
            </w:r>
          </w:p>
        </w:tc>
        <w:tc>
          <w:tcPr>
            <w:tcW w:w="1696" w:type="dxa"/>
          </w:tcPr>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村级服务站</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常住人口500人以上的行政村或建档立卡贫困村建设面积10平米以上；常住人口500人以下的行政村或建档立卡贫困村建设面积5-10平米。室内有电商区，并配备电脑、背景墙、电视42寸、上网行为数据管理器、收发货物流筐、公告牌及其它相关的设施设备。室外有门头、灯箱、WIFI标识牌。同一行政村，中央财政支持不超过1个，建档立卡贫困村和行政村覆盖率达到50%以上。</w:t>
            </w:r>
          </w:p>
        </w:tc>
        <w:tc>
          <w:tcPr>
            <w:tcW w:w="1924"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284个服务站升级改造</w:t>
            </w:r>
          </w:p>
        </w:tc>
        <w:tc>
          <w:tcPr>
            <w:tcW w:w="2708" w:type="dxa"/>
          </w:tcPr>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p>
          <w:p>
            <w:pPr>
              <w:numPr>
                <w:ilvl w:val="0"/>
                <w:numId w:val="0"/>
              </w:numPr>
              <w:rPr>
                <w:rFonts w:hint="default" w:ascii="仿宋" w:hAnsi="仿宋" w:eastAsia="仿宋"/>
                <w:sz w:val="24"/>
                <w:szCs w:val="24"/>
                <w:lang w:val="en-US" w:eastAsia="zh-CN"/>
              </w:rPr>
            </w:pPr>
            <w:r>
              <w:rPr>
                <w:rFonts w:hint="eastAsia" w:ascii="仿宋" w:hAnsi="仿宋" w:eastAsia="仿宋"/>
                <w:sz w:val="24"/>
                <w:szCs w:val="24"/>
                <w:lang w:val="en-US" w:eastAsia="zh-CN"/>
              </w:rPr>
              <w:t>维修天然气</w:t>
            </w:r>
            <w:bookmarkStart w:id="0" w:name="_GoBack"/>
            <w:bookmarkEnd w:id="0"/>
            <w:r>
              <w:rPr>
                <w:rFonts w:hint="eastAsia" w:ascii="仿宋" w:hAnsi="仿宋" w:eastAsia="仿宋"/>
                <w:sz w:val="24"/>
                <w:szCs w:val="24"/>
                <w:lang w:val="en-US" w:eastAsia="zh-CN"/>
              </w:rPr>
              <w:t>灶25台</w:t>
            </w:r>
          </w:p>
        </w:tc>
        <w:tc>
          <w:tcPr>
            <w:tcW w:w="1696" w:type="dxa"/>
            <w:vAlign w:val="center"/>
          </w:tcPr>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培训</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1924"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225</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225</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2708" w:type="dxa"/>
          </w:tcPr>
          <w:p>
            <w:pPr>
              <w:spacing w:after="0" w:line="220" w:lineRule="atLeast"/>
              <w:jc w:val="both"/>
              <w:rPr>
                <w:rFonts w:ascii="仿宋" w:hAnsi="仿宋" w:eastAsia="仿宋"/>
                <w:sz w:val="24"/>
                <w:szCs w:val="24"/>
              </w:rPr>
            </w:pPr>
            <w:r>
              <w:rPr>
                <w:rFonts w:hint="eastAsia" w:ascii="仿宋" w:hAnsi="仿宋" w:eastAsia="仿宋"/>
                <w:sz w:val="24"/>
                <w:szCs w:val="24"/>
              </w:rPr>
              <w:t xml:space="preserve"> </w:t>
            </w:r>
          </w:p>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p>
          <w:p>
            <w:pPr>
              <w:spacing w:after="0" w:line="220" w:lineRule="atLeast"/>
              <w:jc w:val="both"/>
              <w:rPr>
                <w:rFonts w:hint="default" w:ascii="仿宋" w:hAnsi="仿宋" w:eastAsia="仿宋"/>
                <w:sz w:val="24"/>
                <w:szCs w:val="24"/>
                <w:lang w:val="en-US" w:eastAsia="zh-CN"/>
              </w:rPr>
            </w:pPr>
            <w:r>
              <w:rPr>
                <w:rFonts w:hint="eastAsia" w:ascii="仿宋" w:hAnsi="仿宋" w:eastAsia="仿宋"/>
                <w:sz w:val="24"/>
                <w:szCs w:val="24"/>
                <w:lang w:val="en-US" w:eastAsia="zh-CN"/>
              </w:rPr>
              <w:t>9月1日-30日累计开展培训6场次，46人次。</w:t>
            </w:r>
          </w:p>
        </w:tc>
        <w:tc>
          <w:tcPr>
            <w:tcW w:w="1696" w:type="dxa"/>
            <w:vAlign w:val="center"/>
          </w:tcPr>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物流配送中心</w:t>
            </w:r>
          </w:p>
          <w:p>
            <w:pPr>
              <w:spacing w:after="0" w:line="220" w:lineRule="atLeast"/>
              <w:jc w:val="center"/>
              <w:rPr>
                <w:rFonts w:ascii="仿宋" w:hAnsi="仿宋" w:eastAsia="仿宋"/>
                <w:sz w:val="24"/>
                <w:szCs w:val="24"/>
              </w:rPr>
            </w:pP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县级仓储物流中心：面积800平米以上，打包台、货架、扫抢配送车辆。乡镇级配送中心按实际需求建设，面积100平米以上，打包台，货架，电脑，扫抢，配送车辆。同一物流线路，中央财政支持不超过1家。物流快递网点的乡镇覆盖率达到100%，能为村站提供服务，与村站实现资源共享。有需求和条件的地区，应建设冷冻库，冷藏柜、冷链物流车等设备设施。</w:t>
            </w:r>
          </w:p>
        </w:tc>
        <w:tc>
          <w:tcPr>
            <w:tcW w:w="1924"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450</w:t>
            </w:r>
          </w:p>
        </w:tc>
        <w:tc>
          <w:tcPr>
            <w:tcW w:w="166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450</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kern w:val="2"/>
                <w:sz w:val="24"/>
                <w:szCs w:val="24"/>
              </w:rPr>
              <w:t>1个县级仓储配送中心</w:t>
            </w:r>
          </w:p>
        </w:tc>
        <w:tc>
          <w:tcPr>
            <w:tcW w:w="2708" w:type="dxa"/>
            <w:vMerge w:val="restart"/>
          </w:tcPr>
          <w:p>
            <w:pPr>
              <w:spacing w:after="0" w:line="220" w:lineRule="atLeast"/>
              <w:rPr>
                <w:rFonts w:ascii="仿宋" w:hAnsi="仿宋" w:eastAsia="仿宋"/>
                <w:sz w:val="24"/>
                <w:szCs w:val="24"/>
              </w:rPr>
            </w:pPr>
          </w:p>
          <w:p>
            <w:pPr>
              <w:spacing w:after="0" w:line="220" w:lineRule="atLeast"/>
              <w:rPr>
                <w:rFonts w:ascii="仿宋" w:hAnsi="仿宋" w:eastAsia="仿宋"/>
                <w:sz w:val="24"/>
                <w:szCs w:val="24"/>
              </w:rPr>
            </w:pPr>
          </w:p>
          <w:p>
            <w:pPr>
              <w:spacing w:after="0" w:line="220" w:lineRule="atLeast"/>
              <w:rPr>
                <w:rFonts w:ascii="仿宋" w:hAnsi="仿宋" w:eastAsia="仿宋"/>
                <w:sz w:val="24"/>
                <w:szCs w:val="24"/>
              </w:rPr>
            </w:pPr>
          </w:p>
          <w:p>
            <w:pPr>
              <w:numPr>
                <w:ilvl w:val="0"/>
                <w:numId w:val="1"/>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到涞水镇、明义镇、胡家庄乡、永阳镇、东文山镇、娄村镇的生鲜配送网点进行走访，了解配送过程中存在的问题并完善配送线路</w:t>
            </w:r>
          </w:p>
          <w:p>
            <w:pPr>
              <w:numPr>
                <w:numId w:val="0"/>
              </w:numPr>
              <w:spacing w:after="0" w:line="220" w:lineRule="atLeast"/>
              <w:jc w:val="both"/>
              <w:rPr>
                <w:rFonts w:ascii="仿宋" w:hAnsi="仿宋" w:eastAsia="仿宋"/>
                <w:sz w:val="24"/>
                <w:szCs w:val="24"/>
              </w:rPr>
            </w:pPr>
            <w:r>
              <w:rPr>
                <w:rFonts w:hint="eastAsia" w:ascii="仿宋" w:hAnsi="仿宋" w:eastAsia="仿宋"/>
                <w:sz w:val="24"/>
                <w:szCs w:val="24"/>
                <w:lang w:val="en-US" w:eastAsia="zh-CN"/>
              </w:rPr>
              <w:t>2、配合参加电商办举办的电商直播助农到南郭下村销售薄皮核桃的活动。</w:t>
            </w:r>
          </w:p>
        </w:tc>
        <w:tc>
          <w:tcPr>
            <w:tcW w:w="1696" w:type="dxa"/>
            <w:vMerge w:val="restart"/>
            <w:vAlign w:val="center"/>
          </w:tcPr>
          <w:p>
            <w:pPr>
              <w:spacing w:after="0" w:line="220" w:lineRule="atLeast"/>
              <w:jc w:val="center"/>
              <w:rPr>
                <w:rFonts w:ascii="仿宋" w:hAnsi="仿宋" w:eastAsia="仿宋"/>
                <w:sz w:val="24"/>
                <w:szCs w:val="24"/>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涞水汇华商贸有限公司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晋春雨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2162"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乡镇物流配送中心</w:t>
            </w:r>
          </w:p>
        </w:tc>
        <w:tc>
          <w:tcPr>
            <w:tcW w:w="2803" w:type="dxa"/>
            <w:vMerge w:val="continue"/>
            <w:vAlign w:val="center"/>
          </w:tcPr>
          <w:p>
            <w:pPr>
              <w:spacing w:after="0" w:line="220" w:lineRule="atLeast"/>
              <w:jc w:val="center"/>
              <w:rPr>
                <w:rFonts w:ascii="仿宋" w:hAnsi="仿宋" w:eastAsia="仿宋"/>
                <w:sz w:val="24"/>
                <w:szCs w:val="24"/>
              </w:rPr>
            </w:pPr>
          </w:p>
        </w:tc>
        <w:tc>
          <w:tcPr>
            <w:tcW w:w="2880" w:type="dxa"/>
            <w:vMerge w:val="continue"/>
            <w:vAlign w:val="center"/>
          </w:tcPr>
          <w:p>
            <w:pPr>
              <w:spacing w:after="0" w:line="220" w:lineRule="atLeast"/>
              <w:jc w:val="center"/>
              <w:rPr>
                <w:rFonts w:ascii="仿宋" w:hAnsi="仿宋" w:eastAsia="仿宋"/>
                <w:sz w:val="24"/>
                <w:szCs w:val="24"/>
              </w:rPr>
            </w:pPr>
          </w:p>
        </w:tc>
        <w:tc>
          <w:tcPr>
            <w:tcW w:w="1924" w:type="dxa"/>
            <w:vMerge w:val="continue"/>
            <w:vAlign w:val="center"/>
          </w:tcPr>
          <w:p>
            <w:pPr>
              <w:spacing w:after="0" w:line="220" w:lineRule="atLeast"/>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14个乡</w:t>
            </w:r>
          </w:p>
          <w:p>
            <w:pPr>
              <w:spacing w:after="0" w:line="220" w:lineRule="atLeast"/>
              <w:jc w:val="center"/>
              <w:rPr>
                <w:rFonts w:ascii="仿宋" w:hAnsi="仿宋" w:eastAsia="仿宋"/>
                <w:sz w:val="24"/>
                <w:szCs w:val="24"/>
              </w:rPr>
            </w:pPr>
            <w:r>
              <w:rPr>
                <w:rFonts w:hint="eastAsia" w:ascii="仿宋" w:hAnsi="仿宋" w:eastAsia="仿宋"/>
                <w:sz w:val="24"/>
                <w:szCs w:val="24"/>
              </w:rPr>
              <w:t>镇配送中心</w:t>
            </w:r>
          </w:p>
        </w:tc>
        <w:tc>
          <w:tcPr>
            <w:tcW w:w="2708" w:type="dxa"/>
            <w:vMerge w:val="continue"/>
          </w:tcPr>
          <w:p>
            <w:pPr>
              <w:adjustRightInd/>
              <w:snapToGrid/>
              <w:spacing w:after="0"/>
              <w:jc w:val="both"/>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162" w:type="dxa"/>
            <w:vMerge w:val="restart"/>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农业产品上行体系</w:t>
            </w: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在县域范围内引入1-3家企业加入溯源系统，并取得销售成效，有力地推动农业制品上行。</w:t>
            </w:r>
          </w:p>
        </w:tc>
        <w:tc>
          <w:tcPr>
            <w:tcW w:w="1924"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525</w:t>
            </w:r>
          </w:p>
        </w:tc>
        <w:tc>
          <w:tcPr>
            <w:tcW w:w="166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525</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农产品的标准化、生产认证、品牌培育、质量溯源等综合服务体系建设</w:t>
            </w:r>
          </w:p>
        </w:tc>
        <w:tc>
          <w:tcPr>
            <w:tcW w:w="2708" w:type="dxa"/>
            <w:vMerge w:val="restart"/>
          </w:tcPr>
          <w:p>
            <w:pPr>
              <w:spacing w:after="0" w:line="220" w:lineRule="atLeast"/>
              <w:jc w:val="both"/>
              <w:rPr>
                <w:rFonts w:ascii="仿宋" w:hAnsi="仿宋" w:eastAsia="仿宋"/>
                <w:sz w:val="24"/>
                <w:szCs w:val="24"/>
              </w:rPr>
            </w:pPr>
            <w:r>
              <w:rPr>
                <w:rFonts w:hint="eastAsia" w:ascii="仿宋" w:hAnsi="仿宋" w:eastAsia="仿宋"/>
                <w:sz w:val="24"/>
                <w:szCs w:val="24"/>
              </w:rPr>
              <w:t xml:space="preserve">  </w:t>
            </w:r>
          </w:p>
          <w:p>
            <w:pPr>
              <w:numPr>
                <w:ilvl w:val="0"/>
                <w:numId w:val="2"/>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制作农旅融合方案、制定农旅融合建设标准；</w:t>
            </w:r>
          </w:p>
          <w:p>
            <w:pPr>
              <w:numPr>
                <w:ilvl w:val="0"/>
                <w:numId w:val="2"/>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产品目录图册增加文玩核桃、杂粮产品介绍，修改麻核桃、苹果等文字图片介绍。</w:t>
            </w:r>
          </w:p>
        </w:tc>
        <w:tc>
          <w:tcPr>
            <w:tcW w:w="1696" w:type="dxa"/>
            <w:vMerge w:val="restart"/>
            <w:vAlign w:val="center"/>
          </w:tcPr>
          <w:p>
            <w:pPr>
              <w:spacing w:after="0" w:line="220" w:lineRule="atLeast"/>
              <w:jc w:val="center"/>
              <w:rPr>
                <w:rFonts w:ascii="仿宋" w:hAnsi="仿宋" w:eastAsia="仿宋"/>
                <w:sz w:val="24"/>
                <w:szCs w:val="24"/>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162" w:type="dxa"/>
            <w:vMerge w:val="continue"/>
            <w:vAlign w:val="center"/>
          </w:tcPr>
          <w:p>
            <w:pPr>
              <w:adjustRightInd/>
              <w:snapToGrid/>
              <w:spacing w:after="0"/>
              <w:jc w:val="center"/>
              <w:rPr>
                <w:rFonts w:ascii="仿宋" w:hAnsi="仿宋" w:eastAsia="仿宋" w:cs="宋体"/>
                <w:kern w:val="2"/>
                <w:sz w:val="24"/>
                <w:szCs w:val="24"/>
              </w:rPr>
            </w:pPr>
          </w:p>
        </w:tc>
        <w:tc>
          <w:tcPr>
            <w:tcW w:w="2803" w:type="dxa"/>
            <w:vMerge w:val="continue"/>
            <w:vAlign w:val="center"/>
          </w:tcPr>
          <w:p>
            <w:pPr>
              <w:adjustRightInd/>
              <w:snapToGrid/>
              <w:spacing w:after="0"/>
              <w:jc w:val="center"/>
              <w:rPr>
                <w:rFonts w:ascii="仿宋" w:hAnsi="仿宋" w:eastAsia="仿宋"/>
                <w:sz w:val="24"/>
                <w:szCs w:val="24"/>
              </w:rPr>
            </w:pPr>
          </w:p>
        </w:tc>
        <w:tc>
          <w:tcPr>
            <w:tcW w:w="2880" w:type="dxa"/>
            <w:vMerge w:val="continue"/>
            <w:vAlign w:val="center"/>
          </w:tcPr>
          <w:p>
            <w:pPr>
              <w:adjustRightInd/>
              <w:snapToGrid/>
              <w:spacing w:after="0"/>
              <w:jc w:val="center"/>
              <w:rPr>
                <w:rFonts w:ascii="仿宋" w:hAnsi="仿宋" w:eastAsia="仿宋" w:cs="宋体"/>
                <w:kern w:val="2"/>
                <w:sz w:val="24"/>
                <w:szCs w:val="24"/>
              </w:rPr>
            </w:pPr>
          </w:p>
        </w:tc>
        <w:tc>
          <w:tcPr>
            <w:tcW w:w="1924" w:type="dxa"/>
            <w:vMerge w:val="continue"/>
            <w:vAlign w:val="center"/>
          </w:tcPr>
          <w:p>
            <w:pPr>
              <w:adjustRightInd/>
              <w:snapToGrid/>
              <w:spacing w:after="0"/>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农产品分级、包装、预冷、初加工等基础设施建设</w:t>
            </w:r>
          </w:p>
        </w:tc>
        <w:tc>
          <w:tcPr>
            <w:tcW w:w="2708" w:type="dxa"/>
            <w:vMerge w:val="continue"/>
            <w:vAlign w:val="center"/>
          </w:tcPr>
          <w:p>
            <w:pPr>
              <w:adjustRightInd/>
              <w:snapToGrid/>
              <w:spacing w:after="0"/>
              <w:jc w:val="center"/>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bl>
    <w:p>
      <w:pPr>
        <w:spacing w:line="220" w:lineRule="atLeast"/>
        <w:rPr>
          <w:rFonts w:ascii="仿宋" w:hAnsi="仿宋" w:eastAsia="仿宋"/>
          <w:sz w:val="24"/>
          <w:szCs w:val="24"/>
        </w:rPr>
      </w:pPr>
    </w:p>
    <w:sectPr>
      <w:pgSz w:w="23757" w:h="16783" w:orient="landscape"/>
      <w:pgMar w:top="1797"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AF583"/>
    <w:multiLevelType w:val="singleLevel"/>
    <w:tmpl w:val="9BFAF583"/>
    <w:lvl w:ilvl="0" w:tentative="0">
      <w:start w:val="1"/>
      <w:numFmt w:val="decimal"/>
      <w:suff w:val="nothing"/>
      <w:lvlText w:val="%1、"/>
      <w:lvlJc w:val="left"/>
    </w:lvl>
  </w:abstractNum>
  <w:abstractNum w:abstractNumId="1">
    <w:nsid w:val="C7BA3568"/>
    <w:multiLevelType w:val="singleLevel"/>
    <w:tmpl w:val="C7BA356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4635D"/>
    <w:rsid w:val="00151C58"/>
    <w:rsid w:val="001C582D"/>
    <w:rsid w:val="002D1C10"/>
    <w:rsid w:val="00320D7C"/>
    <w:rsid w:val="00323B43"/>
    <w:rsid w:val="003D37D8"/>
    <w:rsid w:val="003F7B69"/>
    <w:rsid w:val="004244A2"/>
    <w:rsid w:val="00426133"/>
    <w:rsid w:val="004358AB"/>
    <w:rsid w:val="00440ABE"/>
    <w:rsid w:val="006137F1"/>
    <w:rsid w:val="00682F14"/>
    <w:rsid w:val="00696879"/>
    <w:rsid w:val="006B611A"/>
    <w:rsid w:val="007D3DE9"/>
    <w:rsid w:val="00864072"/>
    <w:rsid w:val="00870161"/>
    <w:rsid w:val="008B7726"/>
    <w:rsid w:val="008E5B5C"/>
    <w:rsid w:val="009C0114"/>
    <w:rsid w:val="00B55646"/>
    <w:rsid w:val="00B90E66"/>
    <w:rsid w:val="00BC1BD4"/>
    <w:rsid w:val="00C057EB"/>
    <w:rsid w:val="00C07CC5"/>
    <w:rsid w:val="00D31D50"/>
    <w:rsid w:val="00EA629F"/>
    <w:rsid w:val="00F31EF9"/>
    <w:rsid w:val="022E284B"/>
    <w:rsid w:val="025608ED"/>
    <w:rsid w:val="0300200F"/>
    <w:rsid w:val="042B0140"/>
    <w:rsid w:val="092C17AA"/>
    <w:rsid w:val="0F3235C3"/>
    <w:rsid w:val="1435076D"/>
    <w:rsid w:val="149A3019"/>
    <w:rsid w:val="166F3FA0"/>
    <w:rsid w:val="1A340446"/>
    <w:rsid w:val="1E1A00C2"/>
    <w:rsid w:val="1F936869"/>
    <w:rsid w:val="21970658"/>
    <w:rsid w:val="226C516F"/>
    <w:rsid w:val="22747DBB"/>
    <w:rsid w:val="22E02B74"/>
    <w:rsid w:val="23CF233D"/>
    <w:rsid w:val="257E56BA"/>
    <w:rsid w:val="2B1B055B"/>
    <w:rsid w:val="2C094745"/>
    <w:rsid w:val="31D27D3C"/>
    <w:rsid w:val="39D247AC"/>
    <w:rsid w:val="3BAD70DD"/>
    <w:rsid w:val="3F973CC5"/>
    <w:rsid w:val="4231042E"/>
    <w:rsid w:val="43A22D43"/>
    <w:rsid w:val="49BA5BE7"/>
    <w:rsid w:val="506F5A80"/>
    <w:rsid w:val="5077187F"/>
    <w:rsid w:val="516B4657"/>
    <w:rsid w:val="53F9556E"/>
    <w:rsid w:val="54E325E6"/>
    <w:rsid w:val="551D2C9F"/>
    <w:rsid w:val="57037581"/>
    <w:rsid w:val="597E4D2F"/>
    <w:rsid w:val="59FF76FA"/>
    <w:rsid w:val="5B801CC6"/>
    <w:rsid w:val="5FBA4C29"/>
    <w:rsid w:val="61D77C00"/>
    <w:rsid w:val="64E231C8"/>
    <w:rsid w:val="67C46391"/>
    <w:rsid w:val="6F361E1D"/>
    <w:rsid w:val="7B832EBE"/>
    <w:rsid w:val="7D1100A9"/>
    <w:rsid w:val="7E6F3EF9"/>
    <w:rsid w:val="7F56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238</Words>
  <Characters>1359</Characters>
  <Lines>11</Lines>
  <Paragraphs>3</Paragraphs>
  <TotalTime>1</TotalTime>
  <ScaleCrop>false</ScaleCrop>
  <LinksUpToDate>false</LinksUpToDate>
  <CharactersWithSpaces>1594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2020-11-02T05:24:00Z</dcterms:created>
  <dc:creator>Administrator</dc:creator>
  <cp:lastModifiedBy>Administrator</cp:lastModifiedBy>
  <cp:lastPrinted>2021-05-31T03:55:00Z</cp:lastPrinted>
  <dcterms:modified xsi:type="dcterms:W3CDTF">2022-01-17T09:12:38Z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A0636F3039334AEC823099CA21BD65F0</vt:lpwstr>
  </property>
</Properties>
</file>