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涞水县国家电子商务进农村综合示范项目2</w:t>
      </w:r>
      <w:r>
        <w:rPr>
          <w:rFonts w:asciiTheme="majorEastAsia" w:hAnsiTheme="majorEastAsia" w:eastAsiaTheme="majorEastAsia"/>
          <w:b/>
          <w:sz w:val="44"/>
          <w:szCs w:val="44"/>
        </w:rPr>
        <w:t>02</w:t>
      </w:r>
      <w:r>
        <w:rPr>
          <w:rFonts w:hint="eastAsia" w:asciiTheme="majorEastAsia" w:hAnsiTheme="majorEastAsia" w:eastAsiaTheme="majorEastAsia"/>
          <w:b/>
          <w:sz w:val="44"/>
          <w:szCs w:val="44"/>
        </w:rPr>
        <w:t>1年</w:t>
      </w:r>
      <w:r>
        <w:rPr>
          <w:rFonts w:hint="eastAsia" w:asciiTheme="majorEastAsia" w:hAnsiTheme="majorEastAsia" w:eastAsiaTheme="majorEastAsia"/>
          <w:b/>
          <w:sz w:val="44"/>
          <w:szCs w:val="44"/>
          <w:lang w:val="en-US" w:eastAsia="zh-CN"/>
        </w:rPr>
        <w:t>9</w:t>
      </w:r>
      <w:r>
        <w:rPr>
          <w:rFonts w:hint="eastAsia" w:asciiTheme="majorEastAsia" w:hAnsiTheme="majorEastAsia" w:eastAsiaTheme="majorEastAsia"/>
          <w:b/>
          <w:sz w:val="44"/>
          <w:szCs w:val="44"/>
        </w:rPr>
        <w:t>月份资金拨付与项目进度公示</w:t>
      </w:r>
    </w:p>
    <w:tbl>
      <w:tblPr>
        <w:tblStyle w:val="5"/>
        <w:tblW w:w="22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2803"/>
        <w:gridCol w:w="2880"/>
        <w:gridCol w:w="1924"/>
        <w:gridCol w:w="1665"/>
        <w:gridCol w:w="1455"/>
        <w:gridCol w:w="1715"/>
        <w:gridCol w:w="2708"/>
        <w:gridCol w:w="1696"/>
        <w:gridCol w:w="166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162" w:type="dxa"/>
            <w:vMerge w:val="restart"/>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项目名称</w:t>
            </w:r>
          </w:p>
        </w:tc>
        <w:tc>
          <w:tcPr>
            <w:tcW w:w="2803" w:type="dxa"/>
            <w:vMerge w:val="restart"/>
            <w:vAlign w:val="center"/>
          </w:tcPr>
          <w:p>
            <w:pPr>
              <w:spacing w:after="0" w:line="220" w:lineRule="atLeast"/>
              <w:jc w:val="center"/>
            </w:pPr>
            <w:r>
              <w:rPr>
                <w:rFonts w:hint="eastAsia" w:ascii="仿宋" w:hAnsi="仿宋" w:eastAsia="仿宋"/>
                <w:b/>
                <w:sz w:val="28"/>
                <w:szCs w:val="24"/>
              </w:rPr>
              <w:t>决策文件</w:t>
            </w:r>
          </w:p>
        </w:tc>
        <w:tc>
          <w:tcPr>
            <w:tcW w:w="2880" w:type="dxa"/>
            <w:vMerge w:val="restart"/>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建设内容和要求</w:t>
            </w:r>
          </w:p>
        </w:tc>
        <w:tc>
          <w:tcPr>
            <w:tcW w:w="1924" w:type="dxa"/>
            <w:vMerge w:val="restart"/>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扶持资金额度</w:t>
            </w:r>
          </w:p>
          <w:p>
            <w:pPr>
              <w:spacing w:after="0" w:line="220" w:lineRule="atLeast"/>
              <w:jc w:val="center"/>
              <w:rPr>
                <w:rFonts w:ascii="仿宋" w:hAnsi="仿宋" w:eastAsia="仿宋"/>
                <w:b/>
                <w:sz w:val="28"/>
                <w:szCs w:val="24"/>
              </w:rPr>
            </w:pPr>
            <w:r>
              <w:rPr>
                <w:rFonts w:hint="eastAsia" w:ascii="仿宋" w:hAnsi="仿宋" w:eastAsia="仿宋"/>
                <w:b/>
                <w:sz w:val="28"/>
                <w:szCs w:val="24"/>
              </w:rPr>
              <w:t>（万元）</w:t>
            </w:r>
          </w:p>
        </w:tc>
        <w:tc>
          <w:tcPr>
            <w:tcW w:w="1665" w:type="dxa"/>
            <w:vMerge w:val="restart"/>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已拨付金额</w:t>
            </w:r>
          </w:p>
          <w:p>
            <w:pPr>
              <w:spacing w:after="0" w:line="220" w:lineRule="atLeast"/>
              <w:jc w:val="center"/>
              <w:rPr>
                <w:rFonts w:ascii="仿宋" w:hAnsi="仿宋" w:eastAsia="仿宋"/>
                <w:b/>
                <w:sz w:val="28"/>
                <w:szCs w:val="24"/>
              </w:rPr>
            </w:pPr>
            <w:r>
              <w:rPr>
                <w:rFonts w:hint="eastAsia" w:ascii="仿宋" w:hAnsi="仿宋" w:eastAsia="仿宋"/>
                <w:b/>
                <w:sz w:val="28"/>
                <w:szCs w:val="24"/>
              </w:rPr>
              <w:t>（万元）</w:t>
            </w:r>
          </w:p>
        </w:tc>
        <w:tc>
          <w:tcPr>
            <w:tcW w:w="1455" w:type="dxa"/>
            <w:vMerge w:val="restart"/>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完成时限</w:t>
            </w:r>
          </w:p>
        </w:tc>
        <w:tc>
          <w:tcPr>
            <w:tcW w:w="1715" w:type="dxa"/>
            <w:vMerge w:val="restart"/>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绩效目标</w:t>
            </w:r>
          </w:p>
        </w:tc>
        <w:tc>
          <w:tcPr>
            <w:tcW w:w="4404" w:type="dxa"/>
            <w:gridSpan w:val="2"/>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本月进度</w:t>
            </w:r>
          </w:p>
        </w:tc>
        <w:tc>
          <w:tcPr>
            <w:tcW w:w="1662" w:type="dxa"/>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承办企业</w:t>
            </w:r>
          </w:p>
        </w:tc>
        <w:tc>
          <w:tcPr>
            <w:tcW w:w="1405" w:type="dxa"/>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162" w:type="dxa"/>
            <w:vMerge w:val="continue"/>
            <w:vAlign w:val="center"/>
          </w:tcPr>
          <w:p>
            <w:pPr>
              <w:spacing w:after="0" w:line="220" w:lineRule="atLeast"/>
              <w:jc w:val="center"/>
            </w:pPr>
          </w:p>
        </w:tc>
        <w:tc>
          <w:tcPr>
            <w:tcW w:w="2803" w:type="dxa"/>
            <w:vMerge w:val="continue"/>
            <w:vAlign w:val="center"/>
          </w:tcPr>
          <w:p>
            <w:pPr>
              <w:spacing w:after="0" w:line="220" w:lineRule="atLeast"/>
              <w:jc w:val="center"/>
            </w:pPr>
          </w:p>
        </w:tc>
        <w:tc>
          <w:tcPr>
            <w:tcW w:w="2880" w:type="dxa"/>
            <w:vMerge w:val="continue"/>
            <w:vAlign w:val="center"/>
          </w:tcPr>
          <w:p>
            <w:pPr>
              <w:spacing w:after="0" w:line="220" w:lineRule="atLeast"/>
              <w:jc w:val="center"/>
            </w:pPr>
          </w:p>
        </w:tc>
        <w:tc>
          <w:tcPr>
            <w:tcW w:w="1924" w:type="dxa"/>
            <w:vMerge w:val="continue"/>
            <w:vAlign w:val="center"/>
          </w:tcPr>
          <w:p>
            <w:pPr>
              <w:spacing w:after="0" w:line="220" w:lineRule="atLeast"/>
              <w:jc w:val="center"/>
            </w:pPr>
          </w:p>
        </w:tc>
        <w:tc>
          <w:tcPr>
            <w:tcW w:w="1665" w:type="dxa"/>
            <w:vMerge w:val="continue"/>
            <w:vAlign w:val="center"/>
          </w:tcPr>
          <w:p>
            <w:pPr>
              <w:spacing w:after="0" w:line="220" w:lineRule="atLeast"/>
              <w:jc w:val="center"/>
            </w:pPr>
          </w:p>
        </w:tc>
        <w:tc>
          <w:tcPr>
            <w:tcW w:w="1455" w:type="dxa"/>
            <w:vMerge w:val="continue"/>
            <w:vAlign w:val="center"/>
          </w:tcPr>
          <w:p>
            <w:pPr>
              <w:spacing w:after="0" w:line="220" w:lineRule="atLeast"/>
              <w:jc w:val="center"/>
            </w:pPr>
          </w:p>
        </w:tc>
        <w:tc>
          <w:tcPr>
            <w:tcW w:w="1715" w:type="dxa"/>
            <w:vMerge w:val="continue"/>
            <w:vAlign w:val="center"/>
          </w:tcPr>
          <w:p>
            <w:pPr>
              <w:spacing w:after="0" w:line="220" w:lineRule="atLeast"/>
              <w:jc w:val="center"/>
            </w:pPr>
          </w:p>
        </w:tc>
        <w:tc>
          <w:tcPr>
            <w:tcW w:w="2708" w:type="dxa"/>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工作情况</w:t>
            </w:r>
          </w:p>
        </w:tc>
        <w:tc>
          <w:tcPr>
            <w:tcW w:w="1696" w:type="dxa"/>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资金拨付额</w:t>
            </w:r>
          </w:p>
        </w:tc>
        <w:tc>
          <w:tcPr>
            <w:tcW w:w="1662" w:type="dxa"/>
            <w:vAlign w:val="center"/>
          </w:tcPr>
          <w:p>
            <w:pPr>
              <w:spacing w:after="0" w:line="220" w:lineRule="atLeast"/>
              <w:jc w:val="center"/>
            </w:pPr>
          </w:p>
        </w:tc>
        <w:tc>
          <w:tcPr>
            <w:tcW w:w="1405" w:type="dxa"/>
            <w:vAlign w:val="center"/>
          </w:tcPr>
          <w:p>
            <w:pPr>
              <w:spacing w:after="0" w:line="2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2162"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县级公共服务中心</w:t>
            </w:r>
          </w:p>
        </w:tc>
        <w:tc>
          <w:tcPr>
            <w:tcW w:w="2803" w:type="dxa"/>
            <w:vAlign w:val="center"/>
          </w:tcPr>
          <w:p>
            <w:pPr>
              <w:adjustRightInd/>
              <w:snapToGrid/>
              <w:spacing w:after="0"/>
              <w:jc w:val="center"/>
              <w:rPr>
                <w:rFonts w:ascii="仿宋" w:hAnsi="仿宋" w:eastAsia="仿宋"/>
                <w:sz w:val="24"/>
                <w:szCs w:val="24"/>
              </w:rPr>
            </w:pPr>
            <w:r>
              <w:rPr>
                <w:rFonts w:hint="eastAsia" w:ascii="仿宋" w:hAnsi="仿宋" w:eastAsia="仿宋"/>
                <w:sz w:val="24"/>
                <w:szCs w:val="24"/>
              </w:rPr>
              <w:t>《涞水县电子商务进农村综合示范工作方案》</w:t>
            </w:r>
          </w:p>
        </w:tc>
        <w:tc>
          <w:tcPr>
            <w:tcW w:w="2880" w:type="dxa"/>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建设或改造600平米以上的县级农村电商公共服务中心，设置交流室、电教室、会议室、办公室、农产品研发体验中心（100—200平米），</w:t>
            </w:r>
            <w:r>
              <w:rPr>
                <w:rFonts w:hint="eastAsia" w:ascii="仿宋" w:hAnsi="仿宋" w:eastAsia="仿宋" w:cs="宋体"/>
                <w:color w:val="000000"/>
                <w:sz w:val="24"/>
                <w:szCs w:val="24"/>
              </w:rPr>
              <w:t>其它必要的办公设施设备</w:t>
            </w:r>
          </w:p>
        </w:tc>
        <w:tc>
          <w:tcPr>
            <w:tcW w:w="1924" w:type="dxa"/>
            <w:vAlign w:val="center"/>
          </w:tcPr>
          <w:p>
            <w:pPr>
              <w:adjustRightInd/>
              <w:snapToGrid/>
              <w:spacing w:after="0"/>
              <w:jc w:val="center"/>
              <w:rPr>
                <w:rFonts w:ascii="仿宋" w:hAnsi="仿宋" w:eastAsia="仿宋"/>
                <w:sz w:val="24"/>
                <w:szCs w:val="24"/>
              </w:rPr>
            </w:pPr>
            <w:r>
              <w:rPr>
                <w:rFonts w:hint="eastAsia" w:ascii="仿宋" w:hAnsi="仿宋" w:eastAsia="仿宋"/>
                <w:sz w:val="24"/>
                <w:szCs w:val="24"/>
              </w:rPr>
              <w:t>150</w:t>
            </w:r>
          </w:p>
        </w:tc>
        <w:tc>
          <w:tcPr>
            <w:tcW w:w="166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150</w:t>
            </w:r>
          </w:p>
        </w:tc>
        <w:tc>
          <w:tcPr>
            <w:tcW w:w="145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商业运营开始日起三年（不含建设期，建设期为2018年9月30日完工及交付）</w:t>
            </w:r>
          </w:p>
        </w:tc>
        <w:tc>
          <w:tcPr>
            <w:tcW w:w="1715" w:type="dxa"/>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1个中心建设改造</w:t>
            </w:r>
          </w:p>
          <w:p>
            <w:pPr>
              <w:spacing w:after="0" w:line="220" w:lineRule="atLeast"/>
              <w:jc w:val="center"/>
              <w:rPr>
                <w:rFonts w:ascii="仿宋" w:hAnsi="仿宋" w:eastAsia="仿宋"/>
                <w:sz w:val="24"/>
                <w:szCs w:val="24"/>
              </w:rPr>
            </w:pPr>
          </w:p>
        </w:tc>
        <w:tc>
          <w:tcPr>
            <w:tcW w:w="2708" w:type="dxa"/>
          </w:tcPr>
          <w:p>
            <w:pPr>
              <w:numPr>
                <w:ilvl w:val="0"/>
                <w:numId w:val="0"/>
              </w:numPr>
              <w:spacing w:after="0" w:line="220" w:lineRule="atLeast"/>
              <w:jc w:val="both"/>
              <w:rPr>
                <w:rFonts w:hint="eastAsia" w:ascii="仿宋" w:hAnsi="仿宋" w:eastAsia="仿宋"/>
                <w:sz w:val="24"/>
                <w:szCs w:val="24"/>
                <w:lang w:val="en-US" w:eastAsia="zh-CN"/>
              </w:rPr>
            </w:pPr>
            <w:r>
              <w:rPr>
                <w:rFonts w:hint="eastAsia" w:ascii="仿宋" w:hAnsi="仿宋" w:eastAsia="仿宋"/>
                <w:sz w:val="24"/>
                <w:szCs w:val="24"/>
                <w:lang w:val="en-US" w:eastAsia="zh-CN"/>
              </w:rPr>
              <w:t>1、9月29日组织在北二环文玩核桃传媒中心开展涞水县文玩核桃助农直播大赛</w:t>
            </w:r>
          </w:p>
          <w:p>
            <w:pPr>
              <w:numPr>
                <w:ilvl w:val="0"/>
                <w:numId w:val="0"/>
              </w:numPr>
              <w:spacing w:after="0" w:line="220" w:lineRule="atLeast"/>
              <w:jc w:val="both"/>
              <w:rPr>
                <w:rFonts w:hint="default" w:ascii="仿宋" w:hAnsi="仿宋" w:eastAsia="仿宋"/>
                <w:sz w:val="24"/>
                <w:szCs w:val="24"/>
                <w:lang w:val="en-US" w:eastAsia="zh-CN"/>
              </w:rPr>
            </w:pPr>
            <w:r>
              <w:rPr>
                <w:rFonts w:hint="eastAsia" w:ascii="仿宋" w:hAnsi="仿宋" w:eastAsia="仿宋"/>
                <w:sz w:val="24"/>
                <w:szCs w:val="24"/>
                <w:lang w:val="en-US" w:eastAsia="zh-CN"/>
              </w:rPr>
              <w:t>2、9月29日组织近二十家企业在北二环麻核桃举办庆丰收感党恩农特产品展销会</w:t>
            </w:r>
          </w:p>
        </w:tc>
        <w:tc>
          <w:tcPr>
            <w:tcW w:w="1696" w:type="dxa"/>
          </w:tcPr>
          <w:p>
            <w:pPr>
              <w:spacing w:after="0" w:line="220" w:lineRule="atLeast"/>
              <w:jc w:val="center"/>
              <w:rPr>
                <w:rFonts w:ascii="仿宋" w:hAnsi="仿宋" w:eastAsia="仿宋"/>
                <w:sz w:val="24"/>
                <w:szCs w:val="24"/>
              </w:rPr>
            </w:pPr>
          </w:p>
          <w:p>
            <w:pPr>
              <w:spacing w:after="0" w:line="220" w:lineRule="atLeast"/>
              <w:jc w:val="center"/>
              <w:rPr>
                <w:rFonts w:ascii="仿宋" w:hAnsi="仿宋" w:eastAsia="仿宋"/>
                <w:sz w:val="24"/>
                <w:szCs w:val="24"/>
              </w:rPr>
            </w:pPr>
          </w:p>
          <w:p>
            <w:pPr>
              <w:spacing w:after="0" w:line="220" w:lineRule="atLeast"/>
              <w:jc w:val="center"/>
              <w:rPr>
                <w:rFonts w:ascii="仿宋" w:hAnsi="仿宋" w:eastAsia="仿宋"/>
                <w:sz w:val="24"/>
                <w:szCs w:val="24"/>
              </w:rPr>
            </w:pPr>
          </w:p>
          <w:p>
            <w:pPr>
              <w:spacing w:after="0" w:line="220" w:lineRule="atLeast"/>
              <w:jc w:val="center"/>
              <w:rPr>
                <w:rFonts w:ascii="仿宋" w:hAnsi="仿宋" w:eastAsia="仿宋"/>
                <w:sz w:val="24"/>
                <w:szCs w:val="24"/>
              </w:rPr>
            </w:pPr>
          </w:p>
          <w:p>
            <w:pPr>
              <w:spacing w:after="0" w:line="220" w:lineRule="atLeast"/>
              <w:jc w:val="center"/>
              <w:rPr>
                <w:rFonts w:ascii="仿宋" w:hAnsi="仿宋" w:eastAsia="仿宋"/>
                <w:sz w:val="24"/>
                <w:szCs w:val="24"/>
              </w:rPr>
            </w:pPr>
          </w:p>
        </w:tc>
        <w:tc>
          <w:tcPr>
            <w:tcW w:w="1662"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涞水聚涞宝电子商务有限公司</w:t>
            </w:r>
          </w:p>
        </w:tc>
        <w:tc>
          <w:tcPr>
            <w:tcW w:w="140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赵奕铭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2" w:type="dxa"/>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村级服务站</w:t>
            </w:r>
          </w:p>
          <w:p>
            <w:pPr>
              <w:spacing w:after="0" w:line="220" w:lineRule="atLeast"/>
              <w:jc w:val="center"/>
              <w:rPr>
                <w:rFonts w:ascii="仿宋" w:hAnsi="仿宋" w:eastAsia="仿宋"/>
                <w:sz w:val="24"/>
                <w:szCs w:val="24"/>
              </w:rPr>
            </w:pPr>
          </w:p>
        </w:tc>
        <w:tc>
          <w:tcPr>
            <w:tcW w:w="2803" w:type="dxa"/>
            <w:vAlign w:val="center"/>
          </w:tcPr>
          <w:p>
            <w:pPr>
              <w:adjustRightInd/>
              <w:snapToGrid/>
              <w:spacing w:after="0"/>
              <w:jc w:val="center"/>
              <w:rPr>
                <w:rFonts w:ascii="仿宋" w:hAnsi="仿宋" w:eastAsia="仿宋"/>
                <w:sz w:val="24"/>
                <w:szCs w:val="24"/>
              </w:rPr>
            </w:pPr>
            <w:r>
              <w:rPr>
                <w:rFonts w:hint="eastAsia" w:ascii="仿宋" w:hAnsi="仿宋" w:eastAsia="仿宋"/>
                <w:sz w:val="24"/>
                <w:szCs w:val="24"/>
              </w:rPr>
              <w:t>《涞水县电子商务进农村综合示范工作方案》</w:t>
            </w:r>
          </w:p>
        </w:tc>
        <w:tc>
          <w:tcPr>
            <w:tcW w:w="2880" w:type="dxa"/>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常住人口500人以上的行政村或建档立卡贫困村建设面积10平米以上；常住人口500人以下的行政村或建档立卡贫困村建设面积5-10平米。室内有电商区，并配备电脑、背景墙、电视42寸、上网行为数据管理器、收发货物流筐、公告牌及其它相关的设施设备。室外有门头、灯箱、WIFI标识牌。同一行政村，中央财政支持不超过1个，建档立卡贫困村和行政村覆盖率达到50%以上。</w:t>
            </w:r>
          </w:p>
        </w:tc>
        <w:tc>
          <w:tcPr>
            <w:tcW w:w="1924"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150</w:t>
            </w:r>
          </w:p>
        </w:tc>
        <w:tc>
          <w:tcPr>
            <w:tcW w:w="166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150</w:t>
            </w:r>
          </w:p>
        </w:tc>
        <w:tc>
          <w:tcPr>
            <w:tcW w:w="145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商业运营开始日起三年（不含建设期，建设期为2018年9月30日完工及交付）</w:t>
            </w:r>
          </w:p>
        </w:tc>
        <w:tc>
          <w:tcPr>
            <w:tcW w:w="171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284个服务站升级改造</w:t>
            </w:r>
          </w:p>
        </w:tc>
        <w:tc>
          <w:tcPr>
            <w:tcW w:w="2708" w:type="dxa"/>
          </w:tcPr>
          <w:p>
            <w:pPr>
              <w:spacing w:after="0" w:line="220" w:lineRule="atLeast"/>
              <w:jc w:val="both"/>
              <w:rPr>
                <w:rFonts w:ascii="仿宋" w:hAnsi="仿宋" w:eastAsia="仿宋"/>
                <w:sz w:val="24"/>
                <w:szCs w:val="24"/>
              </w:rPr>
            </w:pPr>
          </w:p>
          <w:p>
            <w:pPr>
              <w:spacing w:after="0" w:line="220" w:lineRule="atLeast"/>
              <w:jc w:val="both"/>
              <w:rPr>
                <w:rFonts w:ascii="仿宋" w:hAnsi="仿宋" w:eastAsia="仿宋"/>
                <w:sz w:val="24"/>
                <w:szCs w:val="24"/>
              </w:rPr>
            </w:pPr>
          </w:p>
          <w:p>
            <w:pPr>
              <w:numPr>
                <w:ilvl w:val="0"/>
                <w:numId w:val="0"/>
              </w:numPr>
              <w:rPr>
                <w:rFonts w:hint="default" w:ascii="仿宋" w:hAnsi="仿宋" w:eastAsia="仿宋"/>
                <w:sz w:val="24"/>
                <w:szCs w:val="24"/>
                <w:lang w:val="en-US" w:eastAsia="zh-CN"/>
              </w:rPr>
            </w:pPr>
            <w:r>
              <w:rPr>
                <w:rFonts w:hint="eastAsia" w:ascii="仿宋" w:hAnsi="仿宋" w:eastAsia="仿宋"/>
                <w:sz w:val="24"/>
                <w:szCs w:val="24"/>
                <w:lang w:val="en-US" w:eastAsia="zh-CN"/>
              </w:rPr>
              <w:t>维修天然气</w:t>
            </w:r>
            <w:bookmarkStart w:id="0" w:name="_GoBack"/>
            <w:bookmarkEnd w:id="0"/>
            <w:r>
              <w:rPr>
                <w:rFonts w:hint="eastAsia" w:ascii="仿宋" w:hAnsi="仿宋" w:eastAsia="仿宋"/>
                <w:sz w:val="24"/>
                <w:szCs w:val="24"/>
                <w:lang w:val="en-US" w:eastAsia="zh-CN"/>
              </w:rPr>
              <w:t>灶25台</w:t>
            </w:r>
          </w:p>
        </w:tc>
        <w:tc>
          <w:tcPr>
            <w:tcW w:w="1696" w:type="dxa"/>
            <w:vAlign w:val="center"/>
          </w:tcPr>
          <w:p>
            <w:pPr>
              <w:spacing w:after="0" w:line="220" w:lineRule="atLeast"/>
              <w:jc w:val="center"/>
              <w:rPr>
                <w:rFonts w:ascii="仿宋" w:hAnsi="仿宋" w:eastAsia="仿宋"/>
                <w:sz w:val="24"/>
                <w:szCs w:val="24"/>
              </w:rPr>
            </w:pPr>
          </w:p>
        </w:tc>
        <w:tc>
          <w:tcPr>
            <w:tcW w:w="1662"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涞水聚涞宝电子商务有限公司</w:t>
            </w:r>
          </w:p>
        </w:tc>
        <w:tc>
          <w:tcPr>
            <w:tcW w:w="140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赵奕铭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162" w:type="dxa"/>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培训</w:t>
            </w:r>
          </w:p>
          <w:p>
            <w:pPr>
              <w:spacing w:after="0" w:line="220" w:lineRule="atLeast"/>
              <w:jc w:val="center"/>
              <w:rPr>
                <w:rFonts w:ascii="仿宋" w:hAnsi="仿宋" w:eastAsia="仿宋"/>
                <w:sz w:val="24"/>
                <w:szCs w:val="24"/>
              </w:rPr>
            </w:pPr>
          </w:p>
        </w:tc>
        <w:tc>
          <w:tcPr>
            <w:tcW w:w="2803" w:type="dxa"/>
            <w:vAlign w:val="center"/>
          </w:tcPr>
          <w:p>
            <w:pPr>
              <w:adjustRightInd/>
              <w:snapToGrid/>
              <w:spacing w:after="0"/>
              <w:jc w:val="center"/>
              <w:rPr>
                <w:rFonts w:ascii="仿宋" w:hAnsi="仿宋" w:eastAsia="仿宋"/>
                <w:sz w:val="24"/>
                <w:szCs w:val="24"/>
              </w:rPr>
            </w:pPr>
            <w:r>
              <w:rPr>
                <w:rFonts w:hint="eastAsia" w:ascii="仿宋" w:hAnsi="仿宋" w:eastAsia="仿宋"/>
                <w:sz w:val="24"/>
                <w:szCs w:val="24"/>
              </w:rPr>
              <w:t>《涞水县电子商务进农村综合示范工作方案》</w:t>
            </w:r>
          </w:p>
        </w:tc>
        <w:tc>
          <w:tcPr>
            <w:tcW w:w="2880" w:type="dxa"/>
            <w:vAlign w:val="center"/>
          </w:tcPr>
          <w:p>
            <w:pPr>
              <w:adjustRightInd/>
              <w:snapToGrid/>
              <w:spacing w:after="0"/>
              <w:jc w:val="center"/>
              <w:rPr>
                <w:rFonts w:ascii="仿宋" w:hAnsi="仿宋" w:eastAsia="仿宋" w:cs="宋体"/>
                <w:kern w:val="2"/>
                <w:sz w:val="24"/>
                <w:szCs w:val="24"/>
              </w:rPr>
            </w:pPr>
            <w:r>
              <w:rPr>
                <w:rFonts w:hint="eastAsia" w:ascii="仿宋" w:hAnsi="仿宋" w:eastAsia="仿宋" w:cs="宋体"/>
                <w:kern w:val="2"/>
                <w:sz w:val="24"/>
                <w:szCs w:val="24"/>
              </w:rPr>
              <w:t>初步建立多层次培训体系。针对政府、企业、农民等提供基础普及性的公开、免费培训；针对农村青年等电商创业需求提供市场化或者公益性增值培训。培训达到3000人次以上</w:t>
            </w:r>
          </w:p>
        </w:tc>
        <w:tc>
          <w:tcPr>
            <w:tcW w:w="1924"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225</w:t>
            </w:r>
          </w:p>
        </w:tc>
        <w:tc>
          <w:tcPr>
            <w:tcW w:w="166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225</w:t>
            </w:r>
          </w:p>
        </w:tc>
        <w:tc>
          <w:tcPr>
            <w:tcW w:w="145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商业运营开始日起三年（不含建设期，建设期为2018年9月30日完工及交付）</w:t>
            </w:r>
          </w:p>
          <w:p>
            <w:pPr>
              <w:spacing w:after="0" w:line="220" w:lineRule="atLeast"/>
              <w:jc w:val="center"/>
              <w:rPr>
                <w:rFonts w:ascii="仿宋" w:hAnsi="仿宋" w:eastAsia="仿宋"/>
                <w:sz w:val="24"/>
                <w:szCs w:val="24"/>
              </w:rPr>
            </w:pPr>
          </w:p>
          <w:p>
            <w:pPr>
              <w:spacing w:after="0" w:line="220" w:lineRule="atLeast"/>
              <w:jc w:val="center"/>
              <w:rPr>
                <w:rFonts w:ascii="仿宋" w:hAnsi="仿宋" w:eastAsia="仿宋"/>
                <w:sz w:val="24"/>
                <w:szCs w:val="24"/>
              </w:rPr>
            </w:pPr>
          </w:p>
        </w:tc>
        <w:tc>
          <w:tcPr>
            <w:tcW w:w="1715" w:type="dxa"/>
            <w:vAlign w:val="center"/>
          </w:tcPr>
          <w:p>
            <w:pPr>
              <w:spacing w:after="0" w:line="220" w:lineRule="atLeast"/>
              <w:jc w:val="center"/>
              <w:rPr>
                <w:rFonts w:ascii="仿宋" w:hAnsi="仿宋" w:eastAsia="仿宋"/>
                <w:sz w:val="24"/>
                <w:szCs w:val="24"/>
              </w:rPr>
            </w:pPr>
            <w:r>
              <w:rPr>
                <w:rFonts w:hint="eastAsia" w:ascii="仿宋" w:hAnsi="仿宋" w:eastAsia="仿宋" w:cs="宋体"/>
                <w:kern w:val="2"/>
                <w:sz w:val="24"/>
                <w:szCs w:val="24"/>
              </w:rPr>
              <w:t>初步建立多层次培训体系。针对政府、企业、农民等提供基础普及性的公开、免费培训；针对农村青年等电商创业需求提供市场化或者公益性增值培训。培训达到3000人次以上</w:t>
            </w:r>
          </w:p>
        </w:tc>
        <w:tc>
          <w:tcPr>
            <w:tcW w:w="2708" w:type="dxa"/>
          </w:tcPr>
          <w:p>
            <w:pPr>
              <w:spacing w:after="0" w:line="220" w:lineRule="atLeast"/>
              <w:jc w:val="both"/>
              <w:rPr>
                <w:rFonts w:ascii="仿宋" w:hAnsi="仿宋" w:eastAsia="仿宋"/>
                <w:sz w:val="24"/>
                <w:szCs w:val="24"/>
              </w:rPr>
            </w:pPr>
            <w:r>
              <w:rPr>
                <w:rFonts w:hint="eastAsia" w:ascii="仿宋" w:hAnsi="仿宋" w:eastAsia="仿宋"/>
                <w:sz w:val="24"/>
                <w:szCs w:val="24"/>
              </w:rPr>
              <w:t xml:space="preserve"> </w:t>
            </w:r>
          </w:p>
          <w:p>
            <w:pPr>
              <w:spacing w:after="0" w:line="220" w:lineRule="atLeast"/>
              <w:jc w:val="both"/>
              <w:rPr>
                <w:rFonts w:ascii="仿宋" w:hAnsi="仿宋" w:eastAsia="仿宋"/>
                <w:sz w:val="24"/>
                <w:szCs w:val="24"/>
              </w:rPr>
            </w:pPr>
          </w:p>
          <w:p>
            <w:pPr>
              <w:spacing w:after="0" w:line="220" w:lineRule="atLeast"/>
              <w:jc w:val="both"/>
              <w:rPr>
                <w:rFonts w:ascii="仿宋" w:hAnsi="仿宋" w:eastAsia="仿宋"/>
                <w:sz w:val="24"/>
                <w:szCs w:val="24"/>
              </w:rPr>
            </w:pPr>
          </w:p>
          <w:p>
            <w:pPr>
              <w:spacing w:after="0" w:line="220" w:lineRule="atLeast"/>
              <w:jc w:val="both"/>
              <w:rPr>
                <w:rFonts w:hint="default" w:ascii="仿宋" w:hAnsi="仿宋" w:eastAsia="仿宋"/>
                <w:sz w:val="24"/>
                <w:szCs w:val="24"/>
                <w:lang w:val="en-US" w:eastAsia="zh-CN"/>
              </w:rPr>
            </w:pPr>
            <w:r>
              <w:rPr>
                <w:rFonts w:hint="eastAsia" w:ascii="仿宋" w:hAnsi="仿宋" w:eastAsia="仿宋"/>
                <w:sz w:val="24"/>
                <w:szCs w:val="24"/>
                <w:lang w:val="en-US" w:eastAsia="zh-CN"/>
              </w:rPr>
              <w:t>9月1日-30日累计开展培训6场次，46人次。</w:t>
            </w:r>
          </w:p>
        </w:tc>
        <w:tc>
          <w:tcPr>
            <w:tcW w:w="1696" w:type="dxa"/>
            <w:vAlign w:val="center"/>
          </w:tcPr>
          <w:p>
            <w:pPr>
              <w:spacing w:after="0" w:line="220" w:lineRule="atLeast"/>
              <w:jc w:val="center"/>
              <w:rPr>
                <w:rFonts w:ascii="仿宋" w:hAnsi="仿宋" w:eastAsia="仿宋"/>
                <w:sz w:val="24"/>
                <w:szCs w:val="24"/>
              </w:rPr>
            </w:pPr>
          </w:p>
        </w:tc>
        <w:tc>
          <w:tcPr>
            <w:tcW w:w="1662"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涞水聚涞宝电子商务有限公司</w:t>
            </w:r>
          </w:p>
        </w:tc>
        <w:tc>
          <w:tcPr>
            <w:tcW w:w="140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赵奕铭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jc w:val="center"/>
        </w:trPr>
        <w:tc>
          <w:tcPr>
            <w:tcW w:w="2162" w:type="dxa"/>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物流配送中心</w:t>
            </w:r>
          </w:p>
          <w:p>
            <w:pPr>
              <w:spacing w:after="0" w:line="220" w:lineRule="atLeast"/>
              <w:jc w:val="center"/>
              <w:rPr>
                <w:rFonts w:ascii="仿宋" w:hAnsi="仿宋" w:eastAsia="仿宋"/>
                <w:sz w:val="24"/>
                <w:szCs w:val="24"/>
              </w:rPr>
            </w:pPr>
          </w:p>
        </w:tc>
        <w:tc>
          <w:tcPr>
            <w:tcW w:w="2803" w:type="dxa"/>
            <w:vMerge w:val="restart"/>
            <w:vAlign w:val="center"/>
          </w:tcPr>
          <w:p>
            <w:pPr>
              <w:adjustRightInd/>
              <w:snapToGrid/>
              <w:spacing w:after="0"/>
              <w:jc w:val="center"/>
              <w:rPr>
                <w:rFonts w:ascii="仿宋" w:hAnsi="仿宋" w:eastAsia="仿宋"/>
                <w:sz w:val="24"/>
                <w:szCs w:val="24"/>
              </w:rPr>
            </w:pPr>
            <w:r>
              <w:rPr>
                <w:rFonts w:hint="eastAsia" w:ascii="仿宋" w:hAnsi="仿宋" w:eastAsia="仿宋"/>
                <w:sz w:val="24"/>
                <w:szCs w:val="24"/>
              </w:rPr>
              <w:t>《涞水县电子商务进农村综合示范工作方案》</w:t>
            </w:r>
          </w:p>
        </w:tc>
        <w:tc>
          <w:tcPr>
            <w:tcW w:w="2880" w:type="dxa"/>
            <w:vMerge w:val="restart"/>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县级仓储物流中心：面积800平米以上，打包台、货架、扫抢配送车辆。乡镇级配送中心按实际需求建设，面积100平米以上，打包台，货架，电脑，扫抢，配送车辆。同一物流线路，中央财政支持不超过1家。物流快递网点的乡镇覆盖率达到100%，能为村站提供服务，与村站实现资源共享。有需求和条件的地区，应建设冷冻库，冷藏柜、冷链物流车等设备设施。</w:t>
            </w:r>
          </w:p>
        </w:tc>
        <w:tc>
          <w:tcPr>
            <w:tcW w:w="1924"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450</w:t>
            </w:r>
          </w:p>
        </w:tc>
        <w:tc>
          <w:tcPr>
            <w:tcW w:w="1665"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450</w:t>
            </w:r>
          </w:p>
        </w:tc>
        <w:tc>
          <w:tcPr>
            <w:tcW w:w="1455"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商业运营开始日起三年（不含建设期，建设期为2018年9月30日完工及交付）</w:t>
            </w:r>
          </w:p>
        </w:tc>
        <w:tc>
          <w:tcPr>
            <w:tcW w:w="1715" w:type="dxa"/>
            <w:vAlign w:val="center"/>
          </w:tcPr>
          <w:p>
            <w:pPr>
              <w:spacing w:after="0" w:line="220" w:lineRule="atLeast"/>
              <w:jc w:val="center"/>
              <w:rPr>
                <w:rFonts w:ascii="仿宋" w:hAnsi="仿宋" w:eastAsia="仿宋"/>
                <w:sz w:val="24"/>
                <w:szCs w:val="24"/>
              </w:rPr>
            </w:pPr>
            <w:r>
              <w:rPr>
                <w:rFonts w:hint="eastAsia" w:ascii="仿宋" w:hAnsi="仿宋" w:eastAsia="仿宋"/>
                <w:kern w:val="2"/>
                <w:sz w:val="24"/>
                <w:szCs w:val="24"/>
              </w:rPr>
              <w:t>1个县级仓储配送中心</w:t>
            </w:r>
          </w:p>
        </w:tc>
        <w:tc>
          <w:tcPr>
            <w:tcW w:w="2708" w:type="dxa"/>
            <w:vMerge w:val="restart"/>
          </w:tcPr>
          <w:p>
            <w:pPr>
              <w:spacing w:after="0" w:line="220" w:lineRule="atLeast"/>
              <w:rPr>
                <w:rFonts w:ascii="仿宋" w:hAnsi="仿宋" w:eastAsia="仿宋"/>
                <w:sz w:val="24"/>
                <w:szCs w:val="24"/>
              </w:rPr>
            </w:pPr>
          </w:p>
          <w:p>
            <w:pPr>
              <w:spacing w:after="0" w:line="220" w:lineRule="atLeast"/>
              <w:rPr>
                <w:rFonts w:ascii="仿宋" w:hAnsi="仿宋" w:eastAsia="仿宋"/>
                <w:sz w:val="24"/>
                <w:szCs w:val="24"/>
              </w:rPr>
            </w:pPr>
          </w:p>
          <w:p>
            <w:pPr>
              <w:spacing w:after="0" w:line="220" w:lineRule="atLeast"/>
              <w:rPr>
                <w:rFonts w:ascii="仿宋" w:hAnsi="仿宋" w:eastAsia="仿宋"/>
                <w:sz w:val="24"/>
                <w:szCs w:val="24"/>
              </w:rPr>
            </w:pPr>
          </w:p>
          <w:p>
            <w:pPr>
              <w:numPr>
                <w:ilvl w:val="0"/>
                <w:numId w:val="1"/>
              </w:numPr>
              <w:spacing w:after="0" w:line="220" w:lineRule="atLeast"/>
              <w:jc w:val="both"/>
              <w:rPr>
                <w:rFonts w:hint="eastAsia" w:ascii="仿宋" w:hAnsi="仿宋" w:eastAsia="仿宋"/>
                <w:sz w:val="24"/>
                <w:szCs w:val="24"/>
                <w:lang w:val="en-US" w:eastAsia="zh-CN"/>
              </w:rPr>
            </w:pPr>
            <w:r>
              <w:rPr>
                <w:rFonts w:hint="eastAsia" w:ascii="仿宋" w:hAnsi="仿宋" w:eastAsia="仿宋"/>
                <w:sz w:val="24"/>
                <w:szCs w:val="24"/>
                <w:lang w:val="en-US" w:eastAsia="zh-CN"/>
              </w:rPr>
              <w:t>到涞水镇、明义镇、胡家庄乡、永阳镇、东文山镇、娄村镇的生鲜配送网点进行走访，了解配送过程中存在的问题并完善配送线路</w:t>
            </w:r>
          </w:p>
          <w:p>
            <w:pPr>
              <w:numPr>
                <w:numId w:val="0"/>
              </w:numPr>
              <w:spacing w:after="0" w:line="220" w:lineRule="atLeast"/>
              <w:jc w:val="both"/>
              <w:rPr>
                <w:rFonts w:ascii="仿宋" w:hAnsi="仿宋" w:eastAsia="仿宋"/>
                <w:sz w:val="24"/>
                <w:szCs w:val="24"/>
              </w:rPr>
            </w:pPr>
            <w:r>
              <w:rPr>
                <w:rFonts w:hint="eastAsia" w:ascii="仿宋" w:hAnsi="仿宋" w:eastAsia="仿宋"/>
                <w:sz w:val="24"/>
                <w:szCs w:val="24"/>
                <w:lang w:val="en-US" w:eastAsia="zh-CN"/>
              </w:rPr>
              <w:t>2、配合参加电商办举办的电商直播助农到南郭下村销售薄皮核桃的活动。</w:t>
            </w:r>
          </w:p>
        </w:tc>
        <w:tc>
          <w:tcPr>
            <w:tcW w:w="1696" w:type="dxa"/>
            <w:vMerge w:val="restart"/>
            <w:vAlign w:val="center"/>
          </w:tcPr>
          <w:p>
            <w:pPr>
              <w:spacing w:after="0" w:line="220" w:lineRule="atLeast"/>
              <w:jc w:val="center"/>
              <w:rPr>
                <w:rFonts w:ascii="仿宋" w:hAnsi="仿宋" w:eastAsia="仿宋"/>
                <w:sz w:val="24"/>
                <w:szCs w:val="24"/>
              </w:rPr>
            </w:pPr>
          </w:p>
        </w:tc>
        <w:tc>
          <w:tcPr>
            <w:tcW w:w="1662"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涞水汇华商贸有限公司</w:t>
            </w:r>
          </w:p>
        </w:tc>
        <w:tc>
          <w:tcPr>
            <w:tcW w:w="1405"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晋春雨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2162" w:type="dxa"/>
            <w:vAlign w:val="center"/>
          </w:tcPr>
          <w:p>
            <w:pPr>
              <w:adjustRightInd/>
              <w:snapToGrid/>
              <w:spacing w:after="0"/>
              <w:jc w:val="center"/>
              <w:rPr>
                <w:rFonts w:ascii="仿宋" w:hAnsi="仿宋" w:eastAsia="仿宋" w:cs="宋体"/>
                <w:kern w:val="2"/>
                <w:sz w:val="24"/>
                <w:szCs w:val="24"/>
              </w:rPr>
            </w:pPr>
            <w:r>
              <w:rPr>
                <w:rFonts w:hint="eastAsia" w:ascii="仿宋" w:hAnsi="仿宋" w:eastAsia="仿宋" w:cs="宋体"/>
                <w:kern w:val="2"/>
                <w:sz w:val="24"/>
                <w:szCs w:val="24"/>
              </w:rPr>
              <w:t>乡镇物流配送中心</w:t>
            </w:r>
          </w:p>
        </w:tc>
        <w:tc>
          <w:tcPr>
            <w:tcW w:w="2803" w:type="dxa"/>
            <w:vMerge w:val="continue"/>
            <w:vAlign w:val="center"/>
          </w:tcPr>
          <w:p>
            <w:pPr>
              <w:spacing w:after="0" w:line="220" w:lineRule="atLeast"/>
              <w:jc w:val="center"/>
              <w:rPr>
                <w:rFonts w:ascii="仿宋" w:hAnsi="仿宋" w:eastAsia="仿宋"/>
                <w:sz w:val="24"/>
                <w:szCs w:val="24"/>
              </w:rPr>
            </w:pPr>
          </w:p>
        </w:tc>
        <w:tc>
          <w:tcPr>
            <w:tcW w:w="2880" w:type="dxa"/>
            <w:vMerge w:val="continue"/>
            <w:vAlign w:val="center"/>
          </w:tcPr>
          <w:p>
            <w:pPr>
              <w:spacing w:after="0" w:line="220" w:lineRule="atLeast"/>
              <w:jc w:val="center"/>
              <w:rPr>
                <w:rFonts w:ascii="仿宋" w:hAnsi="仿宋" w:eastAsia="仿宋"/>
                <w:sz w:val="24"/>
                <w:szCs w:val="24"/>
              </w:rPr>
            </w:pPr>
          </w:p>
        </w:tc>
        <w:tc>
          <w:tcPr>
            <w:tcW w:w="1924" w:type="dxa"/>
            <w:vMerge w:val="continue"/>
            <w:vAlign w:val="center"/>
          </w:tcPr>
          <w:p>
            <w:pPr>
              <w:spacing w:after="0" w:line="220" w:lineRule="atLeast"/>
              <w:jc w:val="center"/>
              <w:rPr>
                <w:rFonts w:ascii="仿宋" w:hAnsi="仿宋" w:eastAsia="仿宋"/>
                <w:sz w:val="24"/>
                <w:szCs w:val="24"/>
              </w:rPr>
            </w:pPr>
          </w:p>
        </w:tc>
        <w:tc>
          <w:tcPr>
            <w:tcW w:w="1665" w:type="dxa"/>
            <w:vMerge w:val="continue"/>
            <w:vAlign w:val="center"/>
          </w:tcPr>
          <w:p>
            <w:pPr>
              <w:spacing w:after="0" w:line="220" w:lineRule="atLeast"/>
              <w:jc w:val="center"/>
              <w:rPr>
                <w:rFonts w:ascii="仿宋" w:hAnsi="仿宋" w:eastAsia="仿宋"/>
                <w:sz w:val="24"/>
                <w:szCs w:val="24"/>
              </w:rPr>
            </w:pPr>
          </w:p>
        </w:tc>
        <w:tc>
          <w:tcPr>
            <w:tcW w:w="1455" w:type="dxa"/>
            <w:vMerge w:val="continue"/>
            <w:vAlign w:val="center"/>
          </w:tcPr>
          <w:p>
            <w:pPr>
              <w:spacing w:after="0" w:line="220" w:lineRule="atLeast"/>
              <w:jc w:val="center"/>
              <w:rPr>
                <w:rFonts w:ascii="仿宋" w:hAnsi="仿宋" w:eastAsia="仿宋"/>
                <w:sz w:val="24"/>
                <w:szCs w:val="24"/>
              </w:rPr>
            </w:pPr>
          </w:p>
        </w:tc>
        <w:tc>
          <w:tcPr>
            <w:tcW w:w="171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14个乡</w:t>
            </w:r>
          </w:p>
          <w:p>
            <w:pPr>
              <w:spacing w:after="0" w:line="220" w:lineRule="atLeast"/>
              <w:jc w:val="center"/>
              <w:rPr>
                <w:rFonts w:ascii="仿宋" w:hAnsi="仿宋" w:eastAsia="仿宋"/>
                <w:sz w:val="24"/>
                <w:szCs w:val="24"/>
              </w:rPr>
            </w:pPr>
            <w:r>
              <w:rPr>
                <w:rFonts w:hint="eastAsia" w:ascii="仿宋" w:hAnsi="仿宋" w:eastAsia="仿宋"/>
                <w:sz w:val="24"/>
                <w:szCs w:val="24"/>
              </w:rPr>
              <w:t>镇配送中心</w:t>
            </w:r>
          </w:p>
        </w:tc>
        <w:tc>
          <w:tcPr>
            <w:tcW w:w="2708" w:type="dxa"/>
            <w:vMerge w:val="continue"/>
          </w:tcPr>
          <w:p>
            <w:pPr>
              <w:adjustRightInd/>
              <w:snapToGrid/>
              <w:spacing w:after="0"/>
              <w:jc w:val="both"/>
              <w:rPr>
                <w:rFonts w:ascii="仿宋" w:hAnsi="仿宋" w:eastAsia="仿宋" w:cs="宋体"/>
                <w:kern w:val="2"/>
                <w:sz w:val="24"/>
                <w:szCs w:val="24"/>
              </w:rPr>
            </w:pPr>
          </w:p>
        </w:tc>
        <w:tc>
          <w:tcPr>
            <w:tcW w:w="1696" w:type="dxa"/>
            <w:vMerge w:val="continue"/>
            <w:vAlign w:val="center"/>
          </w:tcPr>
          <w:p>
            <w:pPr>
              <w:spacing w:after="0" w:line="220" w:lineRule="atLeast"/>
              <w:jc w:val="center"/>
              <w:rPr>
                <w:rFonts w:ascii="仿宋" w:hAnsi="仿宋" w:eastAsia="仿宋"/>
                <w:sz w:val="24"/>
                <w:szCs w:val="24"/>
              </w:rPr>
            </w:pPr>
          </w:p>
        </w:tc>
        <w:tc>
          <w:tcPr>
            <w:tcW w:w="1662" w:type="dxa"/>
            <w:vMerge w:val="continue"/>
            <w:vAlign w:val="center"/>
          </w:tcPr>
          <w:p>
            <w:pPr>
              <w:spacing w:after="0" w:line="220" w:lineRule="atLeast"/>
              <w:jc w:val="center"/>
              <w:rPr>
                <w:rFonts w:ascii="仿宋" w:hAnsi="仿宋" w:eastAsia="仿宋"/>
                <w:sz w:val="24"/>
                <w:szCs w:val="24"/>
              </w:rPr>
            </w:pPr>
          </w:p>
        </w:tc>
        <w:tc>
          <w:tcPr>
            <w:tcW w:w="1405" w:type="dxa"/>
            <w:vMerge w:val="continue"/>
            <w:vAlign w:val="center"/>
          </w:tcPr>
          <w:p>
            <w:pPr>
              <w:spacing w:after="0" w:line="22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2162" w:type="dxa"/>
            <w:vMerge w:val="restart"/>
            <w:vAlign w:val="center"/>
          </w:tcPr>
          <w:p>
            <w:pPr>
              <w:adjustRightInd/>
              <w:snapToGrid/>
              <w:spacing w:after="0"/>
              <w:jc w:val="center"/>
              <w:rPr>
                <w:rFonts w:ascii="仿宋" w:hAnsi="仿宋" w:eastAsia="仿宋" w:cs="宋体"/>
                <w:kern w:val="2"/>
                <w:sz w:val="24"/>
                <w:szCs w:val="24"/>
              </w:rPr>
            </w:pPr>
            <w:r>
              <w:rPr>
                <w:rFonts w:hint="eastAsia" w:ascii="仿宋" w:hAnsi="仿宋" w:eastAsia="仿宋" w:cs="宋体"/>
                <w:kern w:val="2"/>
                <w:sz w:val="24"/>
                <w:szCs w:val="24"/>
              </w:rPr>
              <w:t>农业产品上行体系</w:t>
            </w:r>
          </w:p>
        </w:tc>
        <w:tc>
          <w:tcPr>
            <w:tcW w:w="2803" w:type="dxa"/>
            <w:vMerge w:val="restart"/>
            <w:vAlign w:val="center"/>
          </w:tcPr>
          <w:p>
            <w:pPr>
              <w:adjustRightInd/>
              <w:snapToGrid/>
              <w:spacing w:after="0"/>
              <w:jc w:val="center"/>
              <w:rPr>
                <w:rFonts w:ascii="仿宋" w:hAnsi="仿宋" w:eastAsia="仿宋"/>
                <w:sz w:val="24"/>
                <w:szCs w:val="24"/>
              </w:rPr>
            </w:pPr>
            <w:r>
              <w:rPr>
                <w:rFonts w:hint="eastAsia" w:ascii="仿宋" w:hAnsi="仿宋" w:eastAsia="仿宋"/>
                <w:sz w:val="24"/>
                <w:szCs w:val="24"/>
              </w:rPr>
              <w:t>《涞水县电子商务进农村综合示范工作方案》</w:t>
            </w:r>
          </w:p>
        </w:tc>
        <w:tc>
          <w:tcPr>
            <w:tcW w:w="2880" w:type="dxa"/>
            <w:vMerge w:val="restart"/>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在县域范围内引入1-3家企业加入溯源系统，并取得销售成效，有力地推动农业制品上行。</w:t>
            </w:r>
          </w:p>
        </w:tc>
        <w:tc>
          <w:tcPr>
            <w:tcW w:w="1924" w:type="dxa"/>
            <w:vMerge w:val="restart"/>
            <w:vAlign w:val="center"/>
          </w:tcPr>
          <w:p>
            <w:pPr>
              <w:adjustRightInd/>
              <w:snapToGrid/>
              <w:spacing w:after="0"/>
              <w:jc w:val="center"/>
              <w:rPr>
                <w:rFonts w:ascii="仿宋" w:hAnsi="仿宋" w:eastAsia="仿宋"/>
                <w:sz w:val="24"/>
                <w:szCs w:val="24"/>
              </w:rPr>
            </w:pPr>
            <w:r>
              <w:rPr>
                <w:rFonts w:hint="eastAsia" w:ascii="仿宋" w:hAnsi="仿宋" w:eastAsia="仿宋"/>
                <w:sz w:val="24"/>
                <w:szCs w:val="24"/>
              </w:rPr>
              <w:t>525</w:t>
            </w:r>
          </w:p>
        </w:tc>
        <w:tc>
          <w:tcPr>
            <w:tcW w:w="1665"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525</w:t>
            </w:r>
          </w:p>
        </w:tc>
        <w:tc>
          <w:tcPr>
            <w:tcW w:w="1455"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商业运营开始日起三年（不含建设期，建设期为2018年9月30日完工及交付）</w:t>
            </w:r>
          </w:p>
        </w:tc>
        <w:tc>
          <w:tcPr>
            <w:tcW w:w="1715" w:type="dxa"/>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农产品的标准化、生产认证、品牌培育、质量溯源等综合服务体系建设</w:t>
            </w:r>
          </w:p>
        </w:tc>
        <w:tc>
          <w:tcPr>
            <w:tcW w:w="2708" w:type="dxa"/>
            <w:vMerge w:val="restart"/>
          </w:tcPr>
          <w:p>
            <w:pPr>
              <w:spacing w:after="0" w:line="220" w:lineRule="atLeast"/>
              <w:jc w:val="both"/>
              <w:rPr>
                <w:rFonts w:ascii="仿宋" w:hAnsi="仿宋" w:eastAsia="仿宋"/>
                <w:sz w:val="24"/>
                <w:szCs w:val="24"/>
              </w:rPr>
            </w:pPr>
            <w:r>
              <w:rPr>
                <w:rFonts w:hint="eastAsia" w:ascii="仿宋" w:hAnsi="仿宋" w:eastAsia="仿宋"/>
                <w:sz w:val="24"/>
                <w:szCs w:val="24"/>
              </w:rPr>
              <w:t xml:space="preserve">  </w:t>
            </w:r>
          </w:p>
          <w:p>
            <w:pPr>
              <w:numPr>
                <w:ilvl w:val="0"/>
                <w:numId w:val="2"/>
              </w:numPr>
              <w:spacing w:after="0" w:line="220" w:lineRule="atLeast"/>
              <w:jc w:val="both"/>
              <w:rPr>
                <w:rFonts w:hint="eastAsia" w:ascii="仿宋" w:hAnsi="仿宋" w:eastAsia="仿宋"/>
                <w:sz w:val="24"/>
                <w:szCs w:val="24"/>
                <w:lang w:val="en-US" w:eastAsia="zh-CN"/>
              </w:rPr>
            </w:pPr>
            <w:r>
              <w:rPr>
                <w:rFonts w:hint="eastAsia" w:ascii="仿宋" w:hAnsi="仿宋" w:eastAsia="仿宋"/>
                <w:sz w:val="24"/>
                <w:szCs w:val="24"/>
                <w:lang w:val="en-US" w:eastAsia="zh-CN"/>
              </w:rPr>
              <w:t>制作农旅融合方案、制定农旅融合建设标准；</w:t>
            </w:r>
          </w:p>
          <w:p>
            <w:pPr>
              <w:numPr>
                <w:ilvl w:val="0"/>
                <w:numId w:val="2"/>
              </w:numPr>
              <w:spacing w:after="0" w:line="220" w:lineRule="atLeast"/>
              <w:jc w:val="both"/>
              <w:rPr>
                <w:rFonts w:hint="eastAsia" w:ascii="仿宋" w:hAnsi="仿宋" w:eastAsia="仿宋"/>
                <w:sz w:val="24"/>
                <w:szCs w:val="24"/>
                <w:lang w:val="en-US" w:eastAsia="zh-CN"/>
              </w:rPr>
            </w:pPr>
            <w:r>
              <w:rPr>
                <w:rFonts w:hint="eastAsia" w:ascii="仿宋" w:hAnsi="仿宋" w:eastAsia="仿宋"/>
                <w:sz w:val="24"/>
                <w:szCs w:val="24"/>
                <w:lang w:val="en-US" w:eastAsia="zh-CN"/>
              </w:rPr>
              <w:t>产品目录图册增加文玩核桃、杂粮产品介绍，修改麻核桃、苹果等文字图片介绍。</w:t>
            </w:r>
          </w:p>
        </w:tc>
        <w:tc>
          <w:tcPr>
            <w:tcW w:w="1696" w:type="dxa"/>
            <w:vMerge w:val="restart"/>
            <w:vAlign w:val="center"/>
          </w:tcPr>
          <w:p>
            <w:pPr>
              <w:spacing w:after="0" w:line="220" w:lineRule="atLeast"/>
              <w:jc w:val="center"/>
              <w:rPr>
                <w:rFonts w:ascii="仿宋" w:hAnsi="仿宋" w:eastAsia="仿宋"/>
                <w:sz w:val="24"/>
                <w:szCs w:val="24"/>
              </w:rPr>
            </w:pPr>
          </w:p>
        </w:tc>
        <w:tc>
          <w:tcPr>
            <w:tcW w:w="1662"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涞水聚涞宝电子商务有限公司</w:t>
            </w:r>
          </w:p>
        </w:tc>
        <w:tc>
          <w:tcPr>
            <w:tcW w:w="1405"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赵奕铭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162" w:type="dxa"/>
            <w:vMerge w:val="continue"/>
            <w:vAlign w:val="center"/>
          </w:tcPr>
          <w:p>
            <w:pPr>
              <w:adjustRightInd/>
              <w:snapToGrid/>
              <w:spacing w:after="0"/>
              <w:jc w:val="center"/>
              <w:rPr>
                <w:rFonts w:ascii="仿宋" w:hAnsi="仿宋" w:eastAsia="仿宋" w:cs="宋体"/>
                <w:kern w:val="2"/>
                <w:sz w:val="24"/>
                <w:szCs w:val="24"/>
              </w:rPr>
            </w:pPr>
          </w:p>
        </w:tc>
        <w:tc>
          <w:tcPr>
            <w:tcW w:w="2803" w:type="dxa"/>
            <w:vMerge w:val="continue"/>
            <w:vAlign w:val="center"/>
          </w:tcPr>
          <w:p>
            <w:pPr>
              <w:adjustRightInd/>
              <w:snapToGrid/>
              <w:spacing w:after="0"/>
              <w:jc w:val="center"/>
              <w:rPr>
                <w:rFonts w:ascii="仿宋" w:hAnsi="仿宋" w:eastAsia="仿宋"/>
                <w:sz w:val="24"/>
                <w:szCs w:val="24"/>
              </w:rPr>
            </w:pPr>
          </w:p>
        </w:tc>
        <w:tc>
          <w:tcPr>
            <w:tcW w:w="2880" w:type="dxa"/>
            <w:vMerge w:val="continue"/>
            <w:vAlign w:val="center"/>
          </w:tcPr>
          <w:p>
            <w:pPr>
              <w:adjustRightInd/>
              <w:snapToGrid/>
              <w:spacing w:after="0"/>
              <w:jc w:val="center"/>
              <w:rPr>
                <w:rFonts w:ascii="仿宋" w:hAnsi="仿宋" w:eastAsia="仿宋" w:cs="宋体"/>
                <w:kern w:val="2"/>
                <w:sz w:val="24"/>
                <w:szCs w:val="24"/>
              </w:rPr>
            </w:pPr>
          </w:p>
        </w:tc>
        <w:tc>
          <w:tcPr>
            <w:tcW w:w="1924" w:type="dxa"/>
            <w:vMerge w:val="continue"/>
            <w:vAlign w:val="center"/>
          </w:tcPr>
          <w:p>
            <w:pPr>
              <w:adjustRightInd/>
              <w:snapToGrid/>
              <w:spacing w:after="0"/>
              <w:jc w:val="center"/>
              <w:rPr>
                <w:rFonts w:ascii="仿宋" w:hAnsi="仿宋" w:eastAsia="仿宋"/>
                <w:sz w:val="24"/>
                <w:szCs w:val="24"/>
              </w:rPr>
            </w:pPr>
          </w:p>
        </w:tc>
        <w:tc>
          <w:tcPr>
            <w:tcW w:w="1665" w:type="dxa"/>
            <w:vMerge w:val="continue"/>
            <w:vAlign w:val="center"/>
          </w:tcPr>
          <w:p>
            <w:pPr>
              <w:spacing w:after="0" w:line="220" w:lineRule="atLeast"/>
              <w:jc w:val="center"/>
              <w:rPr>
                <w:rFonts w:ascii="仿宋" w:hAnsi="仿宋" w:eastAsia="仿宋"/>
                <w:sz w:val="24"/>
                <w:szCs w:val="24"/>
              </w:rPr>
            </w:pPr>
          </w:p>
        </w:tc>
        <w:tc>
          <w:tcPr>
            <w:tcW w:w="1455" w:type="dxa"/>
            <w:vMerge w:val="continue"/>
            <w:vAlign w:val="center"/>
          </w:tcPr>
          <w:p>
            <w:pPr>
              <w:spacing w:after="0" w:line="220" w:lineRule="atLeast"/>
              <w:jc w:val="center"/>
              <w:rPr>
                <w:rFonts w:ascii="仿宋" w:hAnsi="仿宋" w:eastAsia="仿宋"/>
                <w:sz w:val="24"/>
                <w:szCs w:val="24"/>
              </w:rPr>
            </w:pPr>
          </w:p>
        </w:tc>
        <w:tc>
          <w:tcPr>
            <w:tcW w:w="1715" w:type="dxa"/>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农产品分级、包装、预冷、初加工等基础设施建设</w:t>
            </w:r>
          </w:p>
        </w:tc>
        <w:tc>
          <w:tcPr>
            <w:tcW w:w="2708" w:type="dxa"/>
            <w:vMerge w:val="continue"/>
            <w:vAlign w:val="center"/>
          </w:tcPr>
          <w:p>
            <w:pPr>
              <w:adjustRightInd/>
              <w:snapToGrid/>
              <w:spacing w:after="0"/>
              <w:jc w:val="center"/>
              <w:rPr>
                <w:rFonts w:ascii="仿宋" w:hAnsi="仿宋" w:eastAsia="仿宋" w:cs="宋体"/>
                <w:kern w:val="2"/>
                <w:sz w:val="24"/>
                <w:szCs w:val="24"/>
              </w:rPr>
            </w:pPr>
          </w:p>
        </w:tc>
        <w:tc>
          <w:tcPr>
            <w:tcW w:w="1696" w:type="dxa"/>
            <w:vMerge w:val="continue"/>
            <w:vAlign w:val="center"/>
          </w:tcPr>
          <w:p>
            <w:pPr>
              <w:spacing w:after="0" w:line="220" w:lineRule="atLeast"/>
              <w:jc w:val="center"/>
              <w:rPr>
                <w:rFonts w:ascii="仿宋" w:hAnsi="仿宋" w:eastAsia="仿宋"/>
                <w:sz w:val="24"/>
                <w:szCs w:val="24"/>
              </w:rPr>
            </w:pPr>
          </w:p>
        </w:tc>
        <w:tc>
          <w:tcPr>
            <w:tcW w:w="1662" w:type="dxa"/>
            <w:vMerge w:val="continue"/>
            <w:vAlign w:val="center"/>
          </w:tcPr>
          <w:p>
            <w:pPr>
              <w:spacing w:after="0" w:line="220" w:lineRule="atLeast"/>
              <w:jc w:val="center"/>
              <w:rPr>
                <w:rFonts w:ascii="仿宋" w:hAnsi="仿宋" w:eastAsia="仿宋"/>
                <w:sz w:val="24"/>
                <w:szCs w:val="24"/>
              </w:rPr>
            </w:pPr>
          </w:p>
        </w:tc>
        <w:tc>
          <w:tcPr>
            <w:tcW w:w="1405" w:type="dxa"/>
            <w:vMerge w:val="continue"/>
            <w:vAlign w:val="center"/>
          </w:tcPr>
          <w:p>
            <w:pPr>
              <w:spacing w:after="0" w:line="220" w:lineRule="atLeast"/>
              <w:jc w:val="center"/>
              <w:rPr>
                <w:rFonts w:ascii="仿宋" w:hAnsi="仿宋" w:eastAsia="仿宋"/>
                <w:sz w:val="24"/>
                <w:szCs w:val="24"/>
              </w:rPr>
            </w:pPr>
          </w:p>
        </w:tc>
      </w:tr>
    </w:tbl>
    <w:p>
      <w:pPr>
        <w:spacing w:line="220" w:lineRule="atLeast"/>
        <w:rPr>
          <w:rFonts w:ascii="仿宋" w:hAnsi="仿宋" w:eastAsia="仿宋"/>
          <w:sz w:val="24"/>
          <w:szCs w:val="24"/>
        </w:rPr>
      </w:pPr>
    </w:p>
    <w:sectPr>
      <w:pgSz w:w="23757" w:h="16783" w:orient="landscape"/>
      <w:pgMar w:top="1797" w:right="1134"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AF583"/>
    <w:multiLevelType w:val="singleLevel"/>
    <w:tmpl w:val="9BFAF583"/>
    <w:lvl w:ilvl="0" w:tentative="0">
      <w:start w:val="1"/>
      <w:numFmt w:val="decimal"/>
      <w:suff w:val="nothing"/>
      <w:lvlText w:val="%1、"/>
      <w:lvlJc w:val="left"/>
    </w:lvl>
  </w:abstractNum>
  <w:abstractNum w:abstractNumId="1">
    <w:nsid w:val="C7BA3568"/>
    <w:multiLevelType w:val="singleLevel"/>
    <w:tmpl w:val="C7BA356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4635D"/>
    <w:rsid w:val="00151C58"/>
    <w:rsid w:val="001C582D"/>
    <w:rsid w:val="002D1C10"/>
    <w:rsid w:val="00320D7C"/>
    <w:rsid w:val="00323B43"/>
    <w:rsid w:val="003D37D8"/>
    <w:rsid w:val="003F7B69"/>
    <w:rsid w:val="004244A2"/>
    <w:rsid w:val="00426133"/>
    <w:rsid w:val="004358AB"/>
    <w:rsid w:val="00440ABE"/>
    <w:rsid w:val="006137F1"/>
    <w:rsid w:val="00682F14"/>
    <w:rsid w:val="00696879"/>
    <w:rsid w:val="006B611A"/>
    <w:rsid w:val="007D3DE9"/>
    <w:rsid w:val="00864072"/>
    <w:rsid w:val="00870161"/>
    <w:rsid w:val="008B7726"/>
    <w:rsid w:val="008E5B5C"/>
    <w:rsid w:val="009C0114"/>
    <w:rsid w:val="00B55646"/>
    <w:rsid w:val="00B90E66"/>
    <w:rsid w:val="00BC1BD4"/>
    <w:rsid w:val="00C057EB"/>
    <w:rsid w:val="00C07CC5"/>
    <w:rsid w:val="00D31D50"/>
    <w:rsid w:val="00EA629F"/>
    <w:rsid w:val="00F31EF9"/>
    <w:rsid w:val="022E284B"/>
    <w:rsid w:val="025608ED"/>
    <w:rsid w:val="0300200F"/>
    <w:rsid w:val="042B0140"/>
    <w:rsid w:val="092C17AA"/>
    <w:rsid w:val="0F3235C3"/>
    <w:rsid w:val="1435076D"/>
    <w:rsid w:val="149A3019"/>
    <w:rsid w:val="166F3FA0"/>
    <w:rsid w:val="1A340446"/>
    <w:rsid w:val="1E1A00C2"/>
    <w:rsid w:val="1F936869"/>
    <w:rsid w:val="21970658"/>
    <w:rsid w:val="226C516F"/>
    <w:rsid w:val="22747DBB"/>
    <w:rsid w:val="22E02B74"/>
    <w:rsid w:val="23CF233D"/>
    <w:rsid w:val="257E56BA"/>
    <w:rsid w:val="2B1B055B"/>
    <w:rsid w:val="2C094745"/>
    <w:rsid w:val="31D27D3C"/>
    <w:rsid w:val="39D247AC"/>
    <w:rsid w:val="3BAD70DD"/>
    <w:rsid w:val="3F973CC5"/>
    <w:rsid w:val="4231042E"/>
    <w:rsid w:val="43A22D43"/>
    <w:rsid w:val="49BA5BE7"/>
    <w:rsid w:val="506F5A80"/>
    <w:rsid w:val="5077187F"/>
    <w:rsid w:val="516B4657"/>
    <w:rsid w:val="53F9556E"/>
    <w:rsid w:val="54E325E6"/>
    <w:rsid w:val="551D2C9F"/>
    <w:rsid w:val="57037581"/>
    <w:rsid w:val="597E4D2F"/>
    <w:rsid w:val="59FF76FA"/>
    <w:rsid w:val="5B801CC6"/>
    <w:rsid w:val="5FBA4C29"/>
    <w:rsid w:val="61D77C00"/>
    <w:rsid w:val="64E231C8"/>
    <w:rsid w:val="67C46391"/>
    <w:rsid w:val="6F361E1D"/>
    <w:rsid w:val="7B832EBE"/>
    <w:rsid w:val="7D1100A9"/>
    <w:rsid w:val="7E6F3EF9"/>
    <w:rsid w:val="7F566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ascii="Tahoma" w:hAnsi="Tahoma" w:eastAsia="微软雅黑" w:cstheme="minorBidi"/>
      <w:sz w:val="18"/>
      <w:szCs w:val="18"/>
    </w:rPr>
  </w:style>
  <w:style w:type="character" w:customStyle="1" w:styleId="8">
    <w:name w:val="页脚 Char"/>
    <w:basedOn w:val="6"/>
    <w:link w:val="2"/>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238</Words>
  <Characters>1359</Characters>
  <Lines>11</Lines>
  <Paragraphs>3</Paragraphs>
  <TotalTime>1</TotalTime>
  <ScaleCrop>false</ScaleCrop>
  <LinksUpToDate>false</LinksUpToDate>
  <CharactersWithSpaces>1594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2020-11-02T05:24:00Z</dcterms:created>
  <dc:creator>Administrator</dc:creator>
  <cp:lastModifiedBy>Administrator</cp:lastModifiedBy>
  <cp:lastPrinted>2021-05-31T03:55:00Z</cp:lastPrinted>
  <dcterms:modified xsi:type="dcterms:W3CDTF">2022-01-17T09:12:38Z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A0636F3039334AEC823099CA21BD65F0</vt:lpwstr>
  </property>
</Properties>
</file>