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883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涞水县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883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19年利众肉羊农民专业合作社项目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883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一、绩效目标分解下达情况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新建羊舍两栋，建筑面积3600㎡；新建饲料库房一栋，建筑面积400㎡；新建生活用房两栋，建筑面积为216㎡；消毒池24㎡；购置杜寒杂交一代母羊100只，杜泊公羊9只；购置9TMR饲料制备机1台；9QZ-2100型自走式圆盘青储机1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（一）资金投入情况分析。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>项目安排207万元，用于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新建羊舍两栋，建筑面积3600㎡；新建饲料库房一栋，建筑面积400㎡；新建生活用房两栋，建筑面积为216㎡；消毒池24㎡；购置杜寒杂交一代母羊100只，杜泊公羊9只；购置9TMR饲料制备机1台；9QZ-2100型自走式圆盘青储机1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（二）总体绩效目标完成情况分析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新建羊舍两栋，建筑面积3600㎡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新建饲料库房一栋，建筑面积400㎡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新建生活用房两栋，建筑面积为216㎡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消毒池24㎡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>支出1551032.33元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；购置杜寒杂交一代母羊100只，杜泊公羊9只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>支出150000元；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购置9TMR饲料制备机1台；9QZ-2100型自走式圆盘青储机1台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>支出313800元，项目共计支出2014832.33元。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三、偏离绩效目标的原因和下一步改进措施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没有偏离绩效目标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bCs/>
          <w:sz w:val="32"/>
          <w:szCs w:val="32"/>
          <w:lang w:val="en-US" w:eastAsia="zh-CN"/>
        </w:rPr>
        <w:t>桑产品深加工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项目，严格财务制度，专款专用，没出现违规、挪用现象。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273CD"/>
    <w:rsid w:val="1E9963F1"/>
    <w:rsid w:val="1FC52CA4"/>
    <w:rsid w:val="21E91A66"/>
    <w:rsid w:val="24675695"/>
    <w:rsid w:val="329273CD"/>
    <w:rsid w:val="34E51A89"/>
    <w:rsid w:val="3F596C76"/>
    <w:rsid w:val="53591D71"/>
    <w:rsid w:val="58374DFA"/>
    <w:rsid w:val="622919FB"/>
    <w:rsid w:val="63D24050"/>
    <w:rsid w:val="65C55774"/>
    <w:rsid w:val="6D2937D4"/>
    <w:rsid w:val="7F8D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2021-12-16T02:57:00Z</dcterms:created>
  <dc:creator>辉哥</dc:creator>
  <cp:lastModifiedBy>辉哥</cp:lastModifiedBy>
  <dcterms:modified xsi:type="dcterms:W3CDTF">2021-12-27T15:19:38Z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F1F76296AC1040AC8ED6AAECAF1051E0</vt:lpwstr>
  </property>
</Properties>
</file>