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涞水县城市管理综合执法</w:t>
      </w:r>
      <w:r>
        <w:rPr>
          <w:rFonts w:hint="eastAsia" w:asciiTheme="majorEastAsia" w:hAnsiTheme="majorEastAsia" w:eastAsiaTheme="majorEastAsia" w:cstheme="majorEastAsia"/>
          <w:b/>
          <w:bCs/>
          <w:sz w:val="44"/>
          <w:szCs w:val="44"/>
          <w:lang w:val="en-US" w:eastAsia="zh-CN"/>
        </w:rPr>
        <w:t>队</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1</w:t>
      </w:r>
      <w:r>
        <w:rPr>
          <w:rFonts w:hint="eastAsia" w:asciiTheme="majorEastAsia" w:hAnsiTheme="majorEastAsia" w:eastAsiaTheme="majorEastAsia" w:cstheme="majorEastAsia"/>
          <w:b/>
          <w:bCs/>
          <w:sz w:val="44"/>
          <w:szCs w:val="44"/>
        </w:rPr>
        <w:t>年部门预算公开有关事项的说明</w:t>
      </w:r>
    </w:p>
    <w:p>
      <w:pPr>
        <w:ind w:firstLine="640" w:firstLineChars="200"/>
        <w:rPr>
          <w:rFonts w:hint="eastAsia" w:ascii="宋体" w:hAnsi="宋体" w:eastAsia="宋体" w:cs="宋体"/>
          <w:b/>
          <w:bCs/>
          <w:sz w:val="44"/>
          <w:szCs w:val="44"/>
        </w:rPr>
      </w:pPr>
      <w:r>
        <w:rPr>
          <w:rFonts w:hint="eastAsia" w:ascii="仿宋_GB2312" w:hAnsi="仿宋_GB2312" w:eastAsia="仿宋_GB2312" w:cs="仿宋_GB2312"/>
          <w:sz w:val="32"/>
          <w:szCs w:val="32"/>
          <w:lang w:eastAsia="zh-CN"/>
        </w:rPr>
        <w:t>按照《预算法》、《地方预决算公开操作规程》和《河北省省级预算公开办法》规定，现将涞水县城市管理综合执法队</w:t>
      </w:r>
      <w:r>
        <w:rPr>
          <w:rFonts w:hint="eastAsia" w:ascii="仿宋_GB2312" w:hAnsi="仿宋_GB2312" w:eastAsia="仿宋_GB2312" w:cs="仿宋_GB2312"/>
          <w:sz w:val="32"/>
          <w:szCs w:val="32"/>
          <w:lang w:val="en-US" w:eastAsia="zh-CN"/>
        </w:rPr>
        <w:t>2021年部门预算公开如下：</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一、部门职责及机构设置情况</w:t>
      </w:r>
    </w:p>
    <w:p>
      <w:pPr>
        <w:numPr>
          <w:ilvl w:val="0"/>
          <w:numId w:val="0"/>
        </w:numPr>
        <w:snapToGrid w:val="0"/>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基本职责</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val="en-US" w:eastAsia="zh-CN"/>
        </w:rPr>
        <w:t>(一)</w:t>
      </w:r>
      <w:r>
        <w:rPr>
          <w:rFonts w:hint="eastAsia" w:ascii="仿宋_GB2312" w:hAnsi="仿宋_GB2312" w:eastAsia="仿宋_GB2312" w:cs="仿宋_GB2312"/>
          <w:sz w:val="32"/>
          <w:szCs w:val="32"/>
        </w:rPr>
        <w:t>行使市容环境卫生管理方面法律、法规、规章制度的行政处罚权。强制拆除不符合城市容貌标准、环境卫生标准的建筑物或设施；</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仿宋_GB2312" w:hAnsi="仿宋_GB2312" w:eastAsia="仿宋_GB2312" w:cs="仿宋_GB2312"/>
          <w:sz w:val="32"/>
          <w:szCs w:val="32"/>
        </w:rPr>
        <w:t>行使城市绿化管理方面法律、法规、规章规定的行政处罚权；</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rPr>
        <w:t>城市城建界内，符合办理建设工程规划许可证条件，而未办理建设工程规划许可证进行建设的法律、法规、规章规定的行政处罚权；</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仿宋_GB2312" w:hAnsi="仿宋_GB2312" w:eastAsia="仿宋_GB2312" w:cs="仿宋_GB2312"/>
          <w:sz w:val="32"/>
          <w:szCs w:val="32"/>
        </w:rPr>
        <w:t>城市城建界内未取得施工许可证或者开工报告未经批准擅自施工的法律、法规、规章规定的行政处罚权；</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仿宋_GB2312" w:hAnsi="仿宋_GB2312" w:eastAsia="仿宋_GB2312" w:cs="仿宋_GB2312"/>
          <w:sz w:val="32"/>
          <w:szCs w:val="32"/>
        </w:rPr>
        <w:t>行使环境保护管理方面的城市城建界内社会生活噪声污染、建筑施工噪声污染、占道加工、露天烧烤污染等行为法律、法规、规章规定的行政处罚权；</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（六）</w:t>
      </w:r>
      <w:r>
        <w:rPr>
          <w:rFonts w:hint="eastAsia" w:ascii="仿宋_GB2312" w:hAnsi="仿宋_GB2312" w:eastAsia="仿宋_GB2312" w:cs="仿宋_GB2312"/>
          <w:sz w:val="32"/>
          <w:szCs w:val="32"/>
        </w:rPr>
        <w:t>市场监管方面城市城建界内户外公共场所经营的无证、无照经营、违规设置户外广告行为法律、法规、规章规定的行政处罚权；</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行使公安交通管理方面在公园、广场等公共场所内违反机动车停放、临时停车规定侵占城市道路行为法律、法规、规章规定的行政处罚权。</w:t>
      </w:r>
    </w:p>
    <w:p>
      <w:pPr>
        <w:snapToGrid w:val="0"/>
        <w:spacing w:line="560" w:lineRule="exact"/>
        <w:ind w:firstLine="640" w:firstLineChars="200"/>
        <w:rPr>
          <w:rFonts w:hint="eastAsia" w:ascii="黑体" w:hAnsi="黑体" w:eastAsia="黑体" w:cs="黑体"/>
          <w:b/>
          <w:bCs/>
          <w:sz w:val="32"/>
          <w:szCs w:val="32"/>
        </w:rPr>
      </w:pPr>
      <w:r>
        <w:rPr>
          <w:rFonts w:hint="eastAsia" w:ascii="楷体" w:hAnsi="楷体" w:eastAsia="楷体" w:cs="楷体"/>
          <w:sz w:val="32"/>
          <w:szCs w:val="32"/>
          <w:lang w:eastAsia="zh-CN"/>
        </w:rPr>
        <w:t>（八）</w:t>
      </w:r>
      <w:r>
        <w:rPr>
          <w:rFonts w:hint="eastAsia" w:ascii="仿宋_GB2312" w:hAnsi="仿宋_GB2312" w:eastAsia="仿宋_GB2312" w:cs="仿宋_GB2312"/>
          <w:sz w:val="32"/>
          <w:szCs w:val="32"/>
        </w:rPr>
        <w:t>行使省政府决定调整的城市管理领域的其他行政处罚权。</w:t>
      </w:r>
      <w:r>
        <w:rPr>
          <w:rFonts w:hint="eastAsia" w:ascii="仿宋_GB2312" w:hAnsi="仿宋_GB2312" w:eastAsia="仿宋_GB2312" w:cs="仿宋_GB2312"/>
          <w:sz w:val="32"/>
          <w:szCs w:val="32"/>
        </w:rPr>
        <w:br w:type="textWrapping"/>
      </w:r>
      <w:r>
        <w:rPr>
          <w:rFonts w:hint="eastAsia" w:ascii="仿宋_GB2312" w:hAnsi="宋体" w:eastAsia="仿宋_GB2312"/>
          <w:sz w:val="32"/>
          <w:szCs w:val="32"/>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机构设置</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涞水县城市管理综合</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下设综合办公室、财务室、市容执法队、规划执法队、法制科、数字化指挥中心，各部门职责如下：</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办公室</w:t>
      </w:r>
    </w:p>
    <w:p>
      <w:pPr>
        <w:spacing w:line="560" w:lineRule="exact"/>
        <w:rPr>
          <w:rFonts w:ascii="仿宋_GB2312" w:eastAsia="仿宋_GB2312"/>
          <w:sz w:val="32"/>
          <w:szCs w:val="32"/>
        </w:rPr>
      </w:pPr>
      <w:r>
        <w:rPr>
          <w:rFonts w:hint="eastAsia" w:ascii="仿宋_GB2312" w:eastAsia="仿宋_GB2312"/>
          <w:sz w:val="32"/>
          <w:szCs w:val="32"/>
        </w:rPr>
        <w:t xml:space="preserve">    职责：</w:t>
      </w:r>
      <w:r>
        <w:rPr>
          <w:rFonts w:hint="eastAsia" w:ascii="仿宋_GB2312" w:eastAsia="仿宋_GB2312"/>
          <w:b/>
          <w:bCs/>
          <w:sz w:val="32"/>
          <w:szCs w:val="32"/>
        </w:rPr>
        <w:t>1、</w:t>
      </w:r>
      <w:r>
        <w:rPr>
          <w:rFonts w:hint="eastAsia" w:ascii="仿宋_GB2312" w:eastAsia="仿宋_GB2312"/>
          <w:sz w:val="32"/>
          <w:szCs w:val="32"/>
        </w:rPr>
        <w:t>负责协调日常工作；负责各类信息的上传下达，做好来文来电的收发、登记、传递、交办等工作；负责组织好信息上报。</w:t>
      </w:r>
      <w:r>
        <w:rPr>
          <w:rFonts w:hint="eastAsia" w:ascii="仿宋_GB2312" w:eastAsia="仿宋_GB2312"/>
          <w:b/>
          <w:bCs/>
          <w:sz w:val="32"/>
          <w:szCs w:val="32"/>
        </w:rPr>
        <w:t>2、</w:t>
      </w:r>
      <w:r>
        <w:rPr>
          <w:rFonts w:hint="eastAsia" w:ascii="仿宋_GB2312" w:eastAsia="仿宋_GB2312"/>
          <w:sz w:val="32"/>
          <w:szCs w:val="32"/>
        </w:rPr>
        <w:t>负责组织职工学习和各种会议，准备学习资料，做好会议工作和考勤。</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财务室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认真执行《会计法》，遵守财经纪律，管好用好各项资金。</w:t>
      </w:r>
      <w:r>
        <w:rPr>
          <w:rFonts w:hint="eastAsia" w:ascii="仿宋_GB2312" w:eastAsia="仿宋_GB2312"/>
          <w:b/>
          <w:bCs/>
          <w:sz w:val="32"/>
          <w:szCs w:val="32"/>
        </w:rPr>
        <w:t>2、</w:t>
      </w:r>
      <w:r>
        <w:rPr>
          <w:rFonts w:hint="eastAsia" w:ascii="仿宋_GB2312" w:eastAsia="仿宋_GB2312"/>
          <w:sz w:val="32"/>
          <w:szCs w:val="32"/>
        </w:rPr>
        <w:t>做好日常财务处理工作，加强财务核算，认真搞好财务分析为领导提供有效依据。</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（三）市容</w:t>
      </w:r>
      <w:r>
        <w:rPr>
          <w:rFonts w:hint="eastAsia" w:ascii="楷体" w:hAnsi="楷体" w:eastAsia="楷体" w:cs="楷体"/>
          <w:sz w:val="32"/>
          <w:szCs w:val="32"/>
        </w:rPr>
        <w:t>执法队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行使市容环境卫生管理方面法律、法规、规章规定的行政处罚权，强制拆除不符合城市市容标准、环境卫生标准的建筑物或设施。</w:t>
      </w:r>
      <w:r>
        <w:rPr>
          <w:rFonts w:hint="eastAsia" w:ascii="仿宋_GB2312" w:eastAsia="仿宋_GB2312"/>
          <w:b/>
          <w:bCs/>
          <w:sz w:val="32"/>
          <w:szCs w:val="32"/>
        </w:rPr>
        <w:t>2、</w:t>
      </w:r>
      <w:r>
        <w:rPr>
          <w:rFonts w:hint="eastAsia" w:ascii="仿宋_GB2312" w:eastAsia="仿宋_GB2312"/>
          <w:sz w:val="32"/>
          <w:szCs w:val="32"/>
        </w:rPr>
        <w:t>行使市政公用设施管理方面法律、法规、规章规定的行政处罚权。</w:t>
      </w:r>
      <w:r>
        <w:rPr>
          <w:rFonts w:hint="eastAsia" w:ascii="仿宋_GB2312" w:eastAsia="仿宋_GB2312"/>
          <w:b/>
          <w:bCs/>
          <w:sz w:val="32"/>
          <w:szCs w:val="32"/>
        </w:rPr>
        <w:t>3、</w:t>
      </w:r>
      <w:r>
        <w:rPr>
          <w:rFonts w:hint="eastAsia" w:ascii="仿宋_GB2312" w:eastAsia="仿宋_GB2312"/>
          <w:sz w:val="32"/>
          <w:szCs w:val="32"/>
        </w:rPr>
        <w:t>行使环境保护管理方面法律、法规、规章规定的对产生社会噪声污染，建筑施工噪声污染行为的行政处罚权；对向城市建成区范围内排水管网、河道、水面排污、倾倒工业废渣、城市垃圾和其他废弃物的行政处罚权。</w:t>
      </w:r>
      <w:r>
        <w:rPr>
          <w:rFonts w:hint="eastAsia" w:ascii="仿宋_GB2312" w:eastAsia="仿宋_GB2312"/>
          <w:b/>
          <w:bCs/>
          <w:sz w:val="32"/>
          <w:szCs w:val="32"/>
        </w:rPr>
        <w:t>4、</w:t>
      </w:r>
      <w:r>
        <w:rPr>
          <w:rFonts w:hint="eastAsia" w:ascii="仿宋_GB2312" w:eastAsia="仿宋_GB2312"/>
          <w:sz w:val="32"/>
          <w:szCs w:val="32"/>
        </w:rPr>
        <w:t>行使工商行政管理方面法律、法规、规章规定的对城区范围内店外或专业市场外经营、无照商贩的行政处罚权。</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规划执法队</w:t>
      </w:r>
    </w:p>
    <w:p>
      <w:pPr>
        <w:spacing w:line="560" w:lineRule="exact"/>
        <w:rPr>
          <w:rFonts w:ascii="仿宋_GB2312" w:eastAsia="仿宋_GB2312"/>
          <w:sz w:val="32"/>
          <w:szCs w:val="32"/>
        </w:rPr>
      </w:pPr>
      <w:r>
        <w:rPr>
          <w:rFonts w:hint="eastAsia" w:ascii="仿宋_GB2312" w:eastAsia="仿宋_GB2312"/>
          <w:sz w:val="32"/>
          <w:szCs w:val="32"/>
        </w:rPr>
        <w:t xml:space="preserve">    职责：</w:t>
      </w:r>
      <w:r>
        <w:rPr>
          <w:rFonts w:hint="eastAsia" w:ascii="仿宋_GB2312" w:eastAsia="仿宋_GB2312"/>
          <w:b/>
          <w:bCs/>
          <w:sz w:val="32"/>
          <w:szCs w:val="32"/>
        </w:rPr>
        <w:t>1、</w:t>
      </w:r>
      <w:r>
        <w:rPr>
          <w:rFonts w:hint="eastAsia" w:ascii="仿宋_GB2312" w:eastAsia="仿宋_GB2312"/>
          <w:sz w:val="32"/>
          <w:szCs w:val="32"/>
        </w:rPr>
        <w:t>行使城市规划管理方面法律、法规、规章规定的行政处罚权，对未取得《建设工程规划许可证》或者违反《建设工程规划许可证》规定进行建设，严重影响城市规划行为的行政处罚权。</w:t>
      </w:r>
      <w:r>
        <w:rPr>
          <w:rFonts w:hint="eastAsia" w:ascii="仿宋_GB2312" w:eastAsia="仿宋_GB2312"/>
          <w:b/>
          <w:bCs/>
          <w:sz w:val="32"/>
          <w:szCs w:val="32"/>
        </w:rPr>
        <w:t>2、</w:t>
      </w:r>
      <w:r>
        <w:rPr>
          <w:rFonts w:hint="eastAsia" w:ascii="仿宋_GB2312" w:eastAsia="仿宋_GB2312"/>
          <w:sz w:val="32"/>
          <w:szCs w:val="32"/>
        </w:rPr>
        <w:t>行使城市绿化管理方面法律、法规、规章规定的行政处罚权。</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数字化指挥中心</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认真</w:t>
      </w:r>
      <w:r>
        <w:rPr>
          <w:rFonts w:hint="eastAsia" w:ascii="仿宋_GB2312" w:hAnsi="宋体" w:eastAsia="仿宋_GB2312"/>
          <w:sz w:val="32"/>
          <w:szCs w:val="32"/>
        </w:rPr>
        <w:t>贯彻</w:t>
      </w:r>
      <w:r>
        <w:rPr>
          <w:rFonts w:hint="eastAsia" w:ascii="仿宋_GB2312" w:eastAsia="仿宋_GB2312"/>
          <w:sz w:val="32"/>
          <w:szCs w:val="32"/>
        </w:rPr>
        <w:t>国家和省市有关数字化城市管理的法律规章、行业标准、建设管理模式规范，认真执行涞水县网络数字化城市管理工作实施方案和有关政策。</w:t>
      </w:r>
      <w:r>
        <w:rPr>
          <w:rFonts w:hint="eastAsia" w:ascii="仿宋_GB2312" w:eastAsia="仿宋_GB2312"/>
          <w:b/>
          <w:bCs/>
          <w:sz w:val="32"/>
          <w:szCs w:val="32"/>
        </w:rPr>
        <w:t>2、</w:t>
      </w:r>
      <w:r>
        <w:rPr>
          <w:rFonts w:hint="eastAsia" w:ascii="仿宋_GB2312" w:eastAsia="仿宋_GB2312"/>
          <w:sz w:val="32"/>
          <w:szCs w:val="32"/>
        </w:rPr>
        <w:t>负责制定和完善数字化城市管理服务中心运行规范和规章制度。</w:t>
      </w:r>
      <w:r>
        <w:rPr>
          <w:rFonts w:hint="eastAsia" w:ascii="仿宋_GB2312" w:eastAsia="仿宋_GB2312"/>
          <w:b/>
          <w:bCs/>
          <w:sz w:val="32"/>
          <w:szCs w:val="32"/>
        </w:rPr>
        <w:t>3、</w:t>
      </w:r>
      <w:r>
        <w:rPr>
          <w:rFonts w:hint="eastAsia" w:ascii="仿宋_GB2312" w:eastAsia="仿宋_GB2312"/>
          <w:sz w:val="32"/>
          <w:szCs w:val="32"/>
        </w:rPr>
        <w:t>负责做好数字化城市管理服务中心安全防范信息安全和设备管理维护等工作。</w:t>
      </w:r>
    </w:p>
    <w:p>
      <w:pPr>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lang w:val="en-US" w:eastAsia="zh-CN"/>
        </w:rPr>
        <w:t>)</w:t>
      </w:r>
      <w:r>
        <w:rPr>
          <w:rFonts w:hint="eastAsia" w:ascii="楷体" w:hAnsi="楷体" w:eastAsia="楷体" w:cs="楷体"/>
          <w:sz w:val="32"/>
          <w:szCs w:val="32"/>
        </w:rPr>
        <w:t>法制科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职责：负责行政执法人员的业务及法律知识的培训。</w:t>
      </w:r>
    </w:p>
    <w:p>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单位编制情况</w:t>
      </w:r>
    </w:p>
    <w:p>
      <w:pPr>
        <w:spacing w:line="560" w:lineRule="exact"/>
        <w:ind w:firstLine="576"/>
        <w:rPr>
          <w:rFonts w:hint="eastAsia" w:ascii="仿宋_GB2312" w:hAnsi="宋体" w:eastAsia="仿宋_GB2312"/>
          <w:sz w:val="32"/>
          <w:szCs w:val="32"/>
        </w:rPr>
      </w:pPr>
      <w:r>
        <w:rPr>
          <w:rFonts w:hint="eastAsia" w:ascii="仿宋_GB2312" w:hAnsi="宋体" w:eastAsia="仿宋_GB2312"/>
          <w:sz w:val="32"/>
          <w:szCs w:val="32"/>
        </w:rPr>
        <w:t>我单位编制人数 3</w:t>
      </w:r>
      <w:r>
        <w:rPr>
          <w:rFonts w:hint="eastAsia" w:ascii="仿宋_GB2312" w:hAnsi="宋体" w:eastAsia="仿宋_GB2312"/>
          <w:sz w:val="32"/>
          <w:szCs w:val="32"/>
          <w:lang w:val="en-US" w:eastAsia="zh-CN"/>
        </w:rPr>
        <w:t>4</w:t>
      </w:r>
      <w:r>
        <w:rPr>
          <w:rFonts w:hint="eastAsia" w:ascii="仿宋_GB2312" w:hAnsi="宋体" w:eastAsia="仿宋_GB2312"/>
          <w:sz w:val="32"/>
          <w:szCs w:val="32"/>
        </w:rPr>
        <w:t>个，行政编制数0 个，事业编制数 3</w:t>
      </w:r>
      <w:r>
        <w:rPr>
          <w:rFonts w:hint="eastAsia" w:ascii="仿宋_GB2312" w:hAnsi="宋体" w:eastAsia="仿宋_GB2312"/>
          <w:sz w:val="32"/>
          <w:szCs w:val="32"/>
          <w:lang w:val="en-US" w:eastAsia="zh-CN"/>
        </w:rPr>
        <w:t>4</w:t>
      </w:r>
      <w:r>
        <w:rPr>
          <w:rFonts w:hint="eastAsia" w:ascii="仿宋_GB2312" w:hAnsi="宋体" w:eastAsia="仿宋_GB2312"/>
          <w:sz w:val="32"/>
          <w:szCs w:val="32"/>
        </w:rPr>
        <w:t xml:space="preserve">个。实有在职人员 </w:t>
      </w:r>
      <w:r>
        <w:rPr>
          <w:rFonts w:hint="eastAsia" w:ascii="仿宋_GB2312" w:hAnsi="宋体" w:eastAsia="仿宋_GB2312"/>
          <w:sz w:val="32"/>
          <w:szCs w:val="32"/>
          <w:lang w:val="en-US" w:eastAsia="zh-CN"/>
        </w:rPr>
        <w:t>42</w:t>
      </w:r>
      <w:r>
        <w:rPr>
          <w:rFonts w:hint="eastAsia" w:ascii="仿宋_GB2312" w:hAnsi="宋体" w:eastAsia="仿宋_GB2312"/>
          <w:sz w:val="32"/>
          <w:szCs w:val="32"/>
        </w:rPr>
        <w:t xml:space="preserve"> 人，退休人员 </w:t>
      </w:r>
      <w:r>
        <w:rPr>
          <w:rFonts w:hint="eastAsia" w:ascii="仿宋_GB2312" w:hAnsi="宋体" w:eastAsia="仿宋_GB2312"/>
          <w:sz w:val="32"/>
          <w:szCs w:val="32"/>
          <w:lang w:val="en-US" w:eastAsia="zh-CN"/>
        </w:rPr>
        <w:t>13</w:t>
      </w:r>
      <w:r>
        <w:rPr>
          <w:rFonts w:hint="eastAsia" w:ascii="仿宋_GB2312" w:hAnsi="宋体" w:eastAsia="仿宋_GB2312"/>
          <w:sz w:val="32"/>
          <w:szCs w:val="32"/>
        </w:rPr>
        <w:t>人。</w:t>
      </w:r>
    </w:p>
    <w:p>
      <w:pPr>
        <w:spacing w:line="560" w:lineRule="exact"/>
        <w:ind w:firstLine="576"/>
        <w:rPr>
          <w:rFonts w:hint="eastAsia" w:ascii="仿宋_GB2312" w:hAnsi="宋体" w:eastAsia="仿宋_GB2312"/>
          <w:sz w:val="32"/>
          <w:szCs w:val="32"/>
        </w:rPr>
      </w:pPr>
    </w:p>
    <w:p>
      <w:pPr>
        <w:spacing w:line="560" w:lineRule="exact"/>
        <w:ind w:firstLine="576"/>
        <w:rPr>
          <w:rFonts w:hint="eastAsia" w:ascii="仿宋_GB2312" w:hAnsi="宋体" w:eastAsia="仿宋_GB2312"/>
          <w:sz w:val="32"/>
          <w:szCs w:val="32"/>
        </w:rPr>
      </w:pPr>
    </w:p>
    <w:p>
      <w:pPr>
        <w:spacing w:line="560" w:lineRule="exact"/>
        <w:ind w:firstLine="576"/>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tbl>
      <w:tblPr>
        <w:tblStyle w:val="8"/>
        <w:tblpPr w:leftFromText="180" w:rightFromText="180" w:vertAnchor="text" w:horzAnchor="page" w:tblpX="1420" w:tblpY="234"/>
        <w:tblOverlap w:val="never"/>
        <w:tblW w:w="9796" w:type="dxa"/>
        <w:tblInd w:w="0" w:type="dxa"/>
        <w:tblLayout w:type="fixed"/>
        <w:tblCellMar>
          <w:top w:w="0" w:type="dxa"/>
          <w:left w:w="108" w:type="dxa"/>
          <w:bottom w:w="0" w:type="dxa"/>
          <w:right w:w="108" w:type="dxa"/>
        </w:tblCellMar>
      </w:tblPr>
      <w:tblGrid>
        <w:gridCol w:w="1080"/>
        <w:gridCol w:w="2572"/>
        <w:gridCol w:w="1868"/>
        <w:gridCol w:w="1900"/>
        <w:gridCol w:w="2376"/>
      </w:tblGrid>
      <w:tr>
        <w:tblPrEx>
          <w:tblLayout w:type="fixed"/>
        </w:tblPrEx>
        <w:trPr>
          <w:trHeight w:val="810" w:hRule="atLeast"/>
        </w:trPr>
        <w:tc>
          <w:tcPr>
            <w:tcW w:w="9796" w:type="dxa"/>
            <w:gridSpan w:val="5"/>
            <w:tcBorders>
              <w:top w:val="nil"/>
              <w:left w:val="nil"/>
              <w:bottom w:val="single" w:color="auto" w:sz="4" w:space="0"/>
              <w:right w:val="nil"/>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部门基本情况表</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25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18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3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tblPrEx>
          <w:tblLayout w:type="fixed"/>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32"/>
                <w:szCs w:val="32"/>
              </w:rPr>
            </w:pPr>
          </w:p>
        </w:tc>
        <w:tc>
          <w:tcPr>
            <w:tcW w:w="257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32"/>
                <w:szCs w:val="32"/>
              </w:rPr>
            </w:pPr>
          </w:p>
        </w:tc>
        <w:tc>
          <w:tcPr>
            <w:tcW w:w="18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32"/>
                <w:szCs w:val="32"/>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32"/>
                <w:szCs w:val="32"/>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32"/>
                <w:szCs w:val="32"/>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涞水县城市管理综合</w:t>
            </w:r>
            <w:r>
              <w:rPr>
                <w:rFonts w:hint="eastAsia" w:ascii="仿宋" w:hAnsi="仿宋" w:eastAsia="仿宋" w:cs="仿宋"/>
                <w:color w:val="000000"/>
                <w:kern w:val="0"/>
                <w:sz w:val="32"/>
                <w:szCs w:val="32"/>
                <w:lang w:eastAsia="zh-CN"/>
              </w:rPr>
              <w:t>执法队</w:t>
            </w:r>
          </w:p>
        </w:tc>
        <w:tc>
          <w:tcPr>
            <w:tcW w:w="18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事业</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财政性资金基本保障</w:t>
            </w:r>
          </w:p>
        </w:tc>
      </w:tr>
    </w:tbl>
    <w:p>
      <w:pPr>
        <w:spacing w:line="560" w:lineRule="exact"/>
        <w:rPr>
          <w:rFonts w:ascii="仿宋_GB2312" w:hAnsi="仿宋_GB2312" w:eastAsia="仿宋_GB2312" w:cs="仿宋_GB2312"/>
          <w:b/>
          <w:bCs/>
          <w:sz w:val="32"/>
          <w:szCs w:val="32"/>
        </w:rPr>
      </w:pPr>
    </w:p>
    <w:p>
      <w:pPr>
        <w:spacing w:line="520" w:lineRule="exact"/>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二、部门预算安排的总体情况</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1、收入情况</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年预算收入总额</w:t>
      </w:r>
      <w:r>
        <w:rPr>
          <w:rFonts w:hint="eastAsia" w:ascii="仿宋_GB2312" w:hAnsi="仿宋_GB2312" w:eastAsia="仿宋_GB2312" w:cs="仿宋_GB2312"/>
          <w:sz w:val="32"/>
          <w:szCs w:val="32"/>
          <w:lang w:val="en-US" w:eastAsia="zh-CN"/>
        </w:rPr>
        <w:t>2054.47</w:t>
      </w:r>
      <w:r>
        <w:rPr>
          <w:rFonts w:hint="eastAsia" w:ascii="仿宋_GB2312" w:hAnsi="仿宋_GB2312" w:eastAsia="仿宋_GB2312" w:cs="仿宋_GB2312"/>
          <w:sz w:val="32"/>
          <w:szCs w:val="32"/>
        </w:rPr>
        <w:t>万元，均为一般公共预算拨款，其中财政拨款收入</w:t>
      </w:r>
      <w:r>
        <w:rPr>
          <w:rFonts w:hint="eastAsia" w:ascii="仿宋_GB2312" w:hAnsi="仿宋_GB2312" w:eastAsia="仿宋_GB2312" w:cs="仿宋_GB2312"/>
          <w:sz w:val="32"/>
          <w:szCs w:val="32"/>
          <w:lang w:val="en-US" w:eastAsia="zh-CN"/>
        </w:rPr>
        <w:t>2054.47</w:t>
      </w:r>
      <w:r>
        <w:rPr>
          <w:rFonts w:hint="eastAsia" w:ascii="仿宋_GB2312" w:hAnsi="仿宋_GB2312" w:eastAsia="仿宋_GB2312" w:cs="仿宋_GB2312"/>
          <w:sz w:val="32"/>
          <w:szCs w:val="32"/>
        </w:rPr>
        <w:t>万元。</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2、支出情况</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收支预算总表支出栏、基本支出表、项目支出表按经济分类和支出功能分类科目编制，反映我部门预算中支出预算的总体情况。202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年预算支出总额</w:t>
      </w:r>
      <w:r>
        <w:rPr>
          <w:rFonts w:hint="eastAsia" w:ascii="仿宋_GB2312" w:hAnsi="仿宋_GB2312" w:eastAsia="仿宋_GB2312" w:cs="仿宋_GB2312"/>
          <w:sz w:val="32"/>
          <w:szCs w:val="32"/>
          <w:lang w:val="en-US" w:eastAsia="zh-CN"/>
        </w:rPr>
        <w:t>2054.47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451.89</w:t>
      </w:r>
      <w:r>
        <w:rPr>
          <w:rFonts w:hint="eastAsia" w:ascii="仿宋_GB2312" w:hAnsi="仿宋_GB2312" w:eastAsia="仿宋_GB2312" w:cs="仿宋_GB2312"/>
          <w:sz w:val="32"/>
          <w:szCs w:val="32"/>
        </w:rPr>
        <w:t>万元，包含人员经费支出</w:t>
      </w:r>
      <w:r>
        <w:rPr>
          <w:rFonts w:hint="eastAsia" w:ascii="仿宋_GB2312" w:hAnsi="仿宋_GB2312" w:eastAsia="仿宋_GB2312" w:cs="仿宋_GB2312"/>
          <w:sz w:val="32"/>
          <w:szCs w:val="32"/>
          <w:lang w:val="en-US" w:eastAsia="zh-CN"/>
        </w:rPr>
        <w:t>348.49</w:t>
      </w:r>
      <w:r>
        <w:rPr>
          <w:rFonts w:hint="eastAsia" w:ascii="仿宋_GB2312" w:hAnsi="仿宋_GB2312" w:eastAsia="仿宋_GB2312" w:cs="仿宋_GB2312"/>
          <w:sz w:val="32"/>
          <w:szCs w:val="32"/>
        </w:rPr>
        <w:t>万元、日常公用经费支出1</w:t>
      </w:r>
      <w:r>
        <w:rPr>
          <w:rFonts w:hint="eastAsia" w:ascii="仿宋_GB2312" w:hAnsi="仿宋_GB2312" w:eastAsia="仿宋_GB2312" w:cs="仿宋_GB2312"/>
          <w:sz w:val="32"/>
          <w:szCs w:val="32"/>
          <w:lang w:val="en-US" w:eastAsia="zh-CN"/>
        </w:rPr>
        <w:t>03.4</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1602.58</w:t>
      </w:r>
      <w:r>
        <w:rPr>
          <w:rFonts w:hint="eastAsia" w:ascii="仿宋_GB2312" w:hAnsi="仿宋_GB2312" w:eastAsia="仿宋_GB2312" w:cs="仿宋_GB2312"/>
          <w:sz w:val="32"/>
          <w:szCs w:val="32"/>
        </w:rPr>
        <w:t>万元。</w:t>
      </w:r>
    </w:p>
    <w:p>
      <w:pPr>
        <w:numPr>
          <w:ilvl w:val="0"/>
          <w:numId w:val="1"/>
        </w:numPr>
        <w:spacing w:line="520" w:lineRule="exact"/>
        <w:ind w:left="80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比上年增减情况</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val="en-US" w:eastAsia="zh-CN"/>
        </w:rPr>
        <w:t>2054.47</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23.84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51.65</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劳务费支出减少</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11.08万元，</w:t>
      </w:r>
      <w:r>
        <w:rPr>
          <w:rFonts w:hint="eastAsia" w:ascii="仿宋_GB2312" w:hAnsi="仿宋_GB2312" w:eastAsia="仿宋_GB2312" w:cs="仿宋_GB2312"/>
          <w:sz w:val="32"/>
          <w:szCs w:val="32"/>
          <w:lang w:eastAsia="zh-CN"/>
        </w:rPr>
        <w:t>退休人员增加；日常公用经费减少</w:t>
      </w:r>
      <w:r>
        <w:rPr>
          <w:rFonts w:hint="eastAsia" w:ascii="仿宋_GB2312" w:hAnsi="仿宋_GB2312" w:eastAsia="仿宋_GB2312" w:cs="仿宋_GB2312"/>
          <w:sz w:val="32"/>
          <w:szCs w:val="32"/>
          <w:lang w:val="en-US" w:eastAsia="zh-CN"/>
        </w:rPr>
        <w:t>40.57万元，劳务费支出减少；</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27.81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政府采购项目环卫承包费预算资金增加</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三、机关运行经费安排情况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我单位部门安排财政拨款支出主要用于保障机构正常运转、完成日常工作任务。日常公用经费</w:t>
      </w:r>
      <w:r>
        <w:rPr>
          <w:rFonts w:hint="eastAsia" w:ascii="仿宋_GB2312" w:hAnsi="仿宋_GB2312" w:eastAsia="仿宋_GB2312" w:cs="仿宋_GB2312"/>
          <w:sz w:val="32"/>
          <w:szCs w:val="32"/>
          <w:lang w:val="en-US" w:eastAsia="zh-CN"/>
        </w:rPr>
        <w:t>103.4</w:t>
      </w:r>
      <w:r>
        <w:rPr>
          <w:rFonts w:hint="eastAsia" w:ascii="仿宋_GB2312" w:hAnsi="仿宋_GB2312" w:eastAsia="仿宋_GB2312" w:cs="仿宋_GB2312"/>
          <w:sz w:val="32"/>
          <w:szCs w:val="32"/>
        </w:rPr>
        <w:t>万元，其中：办公费</w:t>
      </w:r>
      <w:r>
        <w:rPr>
          <w:rFonts w:hint="eastAsia" w:ascii="仿宋_GB2312" w:hAnsi="仿宋_GB2312" w:eastAsia="仿宋_GB2312" w:cs="仿宋_GB2312"/>
          <w:sz w:val="32"/>
          <w:szCs w:val="32"/>
          <w:lang w:val="en-US" w:eastAsia="zh-CN"/>
        </w:rPr>
        <w:t>9.24</w:t>
      </w:r>
      <w:r>
        <w:rPr>
          <w:rFonts w:hint="eastAsia" w:ascii="仿宋_GB2312" w:hAnsi="仿宋_GB2312" w:eastAsia="仿宋_GB2312" w:cs="仿宋_GB2312"/>
          <w:sz w:val="32"/>
          <w:szCs w:val="32"/>
        </w:rPr>
        <w:t>万元，邮电费0.36万元，取暖费1.3万元，差旅费4.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81.22</w:t>
      </w:r>
      <w:r>
        <w:rPr>
          <w:rFonts w:hint="eastAsia" w:ascii="仿宋_GB2312" w:hAnsi="仿宋_GB2312" w:eastAsia="仿宋_GB2312" w:cs="仿宋_GB2312"/>
          <w:sz w:val="32"/>
          <w:szCs w:val="32"/>
        </w:rPr>
        <w:t>，工会经费2.</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万元，职工福利费4.</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w:t>
      </w:r>
    </w:p>
    <w:p>
      <w:pPr>
        <w:tabs>
          <w:tab w:val="left" w:pos="490"/>
        </w:tabs>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四、财政拨款“三公”经费预算情况及增减变化原因</w:t>
      </w:r>
    </w:p>
    <w:tbl>
      <w:tblPr>
        <w:tblStyle w:val="8"/>
        <w:tblpPr w:leftFromText="180" w:rightFromText="180" w:vertAnchor="text" w:horzAnchor="page" w:tblpX="1082" w:tblpY="665"/>
        <w:tblOverlap w:val="never"/>
        <w:tblW w:w="9855" w:type="dxa"/>
        <w:tblInd w:w="0" w:type="dxa"/>
        <w:tblLayout w:type="fixed"/>
        <w:tblCellMar>
          <w:top w:w="0" w:type="dxa"/>
          <w:left w:w="108" w:type="dxa"/>
          <w:bottom w:w="0" w:type="dxa"/>
          <w:right w:w="108" w:type="dxa"/>
        </w:tblCellMar>
      </w:tblPr>
      <w:tblGrid>
        <w:gridCol w:w="2235"/>
        <w:gridCol w:w="1842"/>
        <w:gridCol w:w="1701"/>
        <w:gridCol w:w="1276"/>
        <w:gridCol w:w="2801"/>
      </w:tblGrid>
      <w:tr>
        <w:tblPrEx>
          <w:tblLayout w:type="fixed"/>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jc w:val="center"/>
              <w:rPr>
                <w:rFonts w:ascii="仿宋" w:hAnsi="仿宋" w:eastAsia="仿宋" w:cs="仿宋"/>
                <w:kern w:val="0"/>
                <w:sz w:val="24"/>
                <w:szCs w:val="24"/>
              </w:rPr>
            </w:pPr>
            <w:r>
              <w:rPr>
                <w:rFonts w:hint="eastAsia" w:ascii="仿宋" w:hAnsi="仿宋" w:eastAsia="仿宋" w:cs="仿宋"/>
                <w:b/>
                <w:bCs/>
                <w:sz w:val="28"/>
                <w:szCs w:val="28"/>
              </w:rPr>
              <w:t>“三公”经费预算情况及增减变化原因</w:t>
            </w:r>
          </w:p>
        </w:tc>
      </w:tr>
      <w:tr>
        <w:tblPrEx>
          <w:tblLayout w:type="fixed"/>
          <w:tblCellMar>
            <w:top w:w="0" w:type="dxa"/>
            <w:left w:w="108" w:type="dxa"/>
            <w:bottom w:w="0" w:type="dxa"/>
            <w:right w:w="108" w:type="dxa"/>
          </w:tblCellMar>
        </w:tblPrEx>
        <w:trPr>
          <w:trHeight w:val="221" w:hRule="atLeast"/>
        </w:trPr>
        <w:tc>
          <w:tcPr>
            <w:tcW w:w="2235" w:type="dxa"/>
            <w:tcBorders>
              <w:top w:val="nil"/>
              <w:left w:val="nil"/>
              <w:bottom w:val="nil"/>
              <w:right w:val="nil"/>
            </w:tcBorders>
            <w:vAlign w:val="center"/>
          </w:tcPr>
          <w:p>
            <w:pPr>
              <w:widowControl/>
              <w:jc w:val="left"/>
              <w:rPr>
                <w:rFonts w:ascii="仿宋" w:hAnsi="仿宋" w:eastAsia="仿宋" w:cs="仿宋"/>
                <w:kern w:val="0"/>
                <w:sz w:val="24"/>
                <w:szCs w:val="24"/>
              </w:rPr>
            </w:pPr>
          </w:p>
        </w:tc>
        <w:tc>
          <w:tcPr>
            <w:tcW w:w="1842" w:type="dxa"/>
            <w:tcBorders>
              <w:top w:val="nil"/>
              <w:left w:val="nil"/>
              <w:bottom w:val="nil"/>
              <w:right w:val="nil"/>
            </w:tcBorders>
            <w:vAlign w:val="center"/>
          </w:tcPr>
          <w:p>
            <w:pPr>
              <w:widowControl/>
              <w:jc w:val="left"/>
              <w:rPr>
                <w:rFonts w:ascii="仿宋" w:hAnsi="仿宋" w:eastAsia="仿宋" w:cs="仿宋"/>
                <w:kern w:val="0"/>
                <w:sz w:val="24"/>
                <w:szCs w:val="24"/>
              </w:rPr>
            </w:pPr>
          </w:p>
        </w:tc>
        <w:tc>
          <w:tcPr>
            <w:tcW w:w="1701" w:type="dxa"/>
            <w:tcBorders>
              <w:top w:val="nil"/>
              <w:left w:val="nil"/>
              <w:bottom w:val="nil"/>
              <w:right w:val="nil"/>
            </w:tcBorders>
            <w:vAlign w:val="center"/>
          </w:tcPr>
          <w:p>
            <w:pPr>
              <w:widowControl/>
              <w:jc w:val="left"/>
              <w:rPr>
                <w:rFonts w:ascii="仿宋" w:hAnsi="仿宋" w:eastAsia="仿宋" w:cs="仿宋"/>
                <w:kern w:val="0"/>
                <w:sz w:val="24"/>
                <w:szCs w:val="24"/>
              </w:rPr>
            </w:pPr>
          </w:p>
        </w:tc>
        <w:tc>
          <w:tcPr>
            <w:tcW w:w="1276" w:type="dxa"/>
            <w:tcBorders>
              <w:top w:val="nil"/>
              <w:left w:val="nil"/>
              <w:bottom w:val="nil"/>
              <w:right w:val="nil"/>
            </w:tcBorders>
            <w:vAlign w:val="center"/>
          </w:tcPr>
          <w:p>
            <w:pPr>
              <w:widowControl/>
              <w:jc w:val="left"/>
              <w:rPr>
                <w:rFonts w:ascii="仿宋" w:hAnsi="仿宋" w:eastAsia="仿宋" w:cs="仿宋"/>
                <w:kern w:val="0"/>
                <w:sz w:val="24"/>
                <w:szCs w:val="24"/>
              </w:rPr>
            </w:pPr>
          </w:p>
        </w:tc>
        <w:tc>
          <w:tcPr>
            <w:tcW w:w="2801" w:type="dxa"/>
            <w:tcBorders>
              <w:top w:val="nil"/>
              <w:left w:val="nil"/>
              <w:bottom w:val="nil"/>
              <w:right w:val="nil"/>
            </w:tcBorders>
            <w:vAlign w:val="center"/>
          </w:tcPr>
          <w:p>
            <w:pPr>
              <w:widowControl/>
              <w:jc w:val="right"/>
              <w:rPr>
                <w:rFonts w:ascii="仿宋" w:hAnsi="仿宋" w:eastAsia="仿宋" w:cs="仿宋"/>
                <w:kern w:val="0"/>
                <w:sz w:val="24"/>
                <w:szCs w:val="24"/>
              </w:rPr>
            </w:pPr>
            <w:r>
              <w:rPr>
                <w:rFonts w:hint="eastAsia" w:ascii="仿宋" w:hAnsi="仿宋" w:eastAsia="仿宋" w:cs="仿宋"/>
                <w:kern w:val="0"/>
                <w:sz w:val="24"/>
                <w:szCs w:val="24"/>
              </w:rPr>
              <w:t>单位：万元</w:t>
            </w:r>
          </w:p>
        </w:tc>
      </w:tr>
      <w:tr>
        <w:tblPrEx>
          <w:tblLayout w:type="fixed"/>
          <w:tblCellMar>
            <w:top w:w="0" w:type="dxa"/>
            <w:left w:w="108" w:type="dxa"/>
            <w:bottom w:w="0" w:type="dxa"/>
            <w:right w:w="108" w:type="dxa"/>
          </w:tblCellMar>
        </w:tblPrEx>
        <w:trPr>
          <w:trHeight w:val="566" w:hRule="atLeast"/>
        </w:trPr>
        <w:tc>
          <w:tcPr>
            <w:tcW w:w="22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年度预算</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年度预算</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增减金额</w:t>
            </w:r>
          </w:p>
        </w:tc>
        <w:tc>
          <w:tcPr>
            <w:tcW w:w="280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变化原因</w:t>
            </w:r>
          </w:p>
        </w:tc>
      </w:tr>
      <w:tr>
        <w:tblPrEx>
          <w:tblLayout w:type="fixed"/>
          <w:tblCellMar>
            <w:top w:w="0" w:type="dxa"/>
            <w:left w:w="108" w:type="dxa"/>
            <w:bottom w:w="0" w:type="dxa"/>
            <w:right w:w="108" w:type="dxa"/>
          </w:tblCellMar>
        </w:tblPrEx>
        <w:trPr>
          <w:trHeight w:val="387"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184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80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tblPrEx>
          <w:tblLayout w:type="fixed"/>
          <w:tblCellMar>
            <w:top w:w="0" w:type="dxa"/>
            <w:left w:w="108" w:type="dxa"/>
            <w:bottom w:w="0" w:type="dxa"/>
            <w:right w:w="108" w:type="dxa"/>
          </w:tblCellMar>
        </w:tblPrEx>
        <w:trPr>
          <w:trHeight w:val="285"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184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80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tblPrEx>
          <w:tblLayout w:type="fixed"/>
          <w:tblCellMar>
            <w:top w:w="0" w:type="dxa"/>
            <w:left w:w="108" w:type="dxa"/>
            <w:bottom w:w="0" w:type="dxa"/>
            <w:right w:w="108" w:type="dxa"/>
          </w:tblCellMar>
        </w:tblPrEx>
        <w:trPr>
          <w:trHeight w:val="570"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18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31.16</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rPr>
              <w:t>.16</w:t>
            </w:r>
          </w:p>
        </w:tc>
        <w:tc>
          <w:tcPr>
            <w:tcW w:w="127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2801"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按要求压减支出</w:t>
            </w:r>
          </w:p>
        </w:tc>
      </w:tr>
      <w:tr>
        <w:tblPrEx>
          <w:tblLayout w:type="fixed"/>
          <w:tblCellMar>
            <w:top w:w="0" w:type="dxa"/>
            <w:left w:w="108" w:type="dxa"/>
            <w:bottom w:w="0" w:type="dxa"/>
            <w:right w:w="108" w:type="dxa"/>
          </w:tblCellMar>
        </w:tblPrEx>
        <w:trPr>
          <w:trHeight w:val="392"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184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80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tblPrEx>
          <w:tblLayout w:type="fixed"/>
          <w:tblCellMar>
            <w:top w:w="0" w:type="dxa"/>
            <w:left w:w="108" w:type="dxa"/>
            <w:bottom w:w="0" w:type="dxa"/>
            <w:right w:w="108" w:type="dxa"/>
          </w:tblCellMar>
        </w:tblPrEx>
        <w:trPr>
          <w:trHeight w:val="545" w:hRule="atLeast"/>
        </w:trPr>
        <w:tc>
          <w:tcPr>
            <w:tcW w:w="223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8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31.16</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rPr>
              <w:t>.16</w:t>
            </w:r>
          </w:p>
        </w:tc>
        <w:tc>
          <w:tcPr>
            <w:tcW w:w="1276" w:type="dxa"/>
            <w:tcBorders>
              <w:top w:val="nil"/>
              <w:left w:val="nil"/>
              <w:bottom w:val="single" w:color="auto" w:sz="4" w:space="0"/>
              <w:right w:val="single" w:color="auto" w:sz="4" w:space="0"/>
            </w:tcBorders>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280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按要求压减支出</w:t>
            </w:r>
          </w:p>
        </w:tc>
      </w:tr>
      <w:tr>
        <w:tblPrEx>
          <w:tblLayout w:type="fixed"/>
          <w:tblCellMar>
            <w:top w:w="0" w:type="dxa"/>
            <w:left w:w="108" w:type="dxa"/>
            <w:bottom w:w="0" w:type="dxa"/>
            <w:right w:w="108" w:type="dxa"/>
          </w:tblCellMar>
        </w:tblPrEx>
        <w:trPr>
          <w:trHeight w:val="285" w:hRule="atLeast"/>
        </w:trPr>
        <w:tc>
          <w:tcPr>
            <w:tcW w:w="2235" w:type="dxa"/>
            <w:tcBorders>
              <w:top w:val="nil"/>
              <w:left w:val="nil"/>
              <w:bottom w:val="nil"/>
              <w:right w:val="nil"/>
            </w:tcBorders>
            <w:vAlign w:val="center"/>
          </w:tcPr>
          <w:p>
            <w:pPr>
              <w:widowControl/>
              <w:jc w:val="left"/>
              <w:rPr>
                <w:rFonts w:ascii="仿宋" w:hAnsi="仿宋" w:eastAsia="仿宋" w:cs="仿宋"/>
                <w:kern w:val="0"/>
                <w:sz w:val="24"/>
                <w:szCs w:val="24"/>
              </w:rPr>
            </w:pPr>
          </w:p>
        </w:tc>
        <w:tc>
          <w:tcPr>
            <w:tcW w:w="1842" w:type="dxa"/>
            <w:tcBorders>
              <w:top w:val="nil"/>
              <w:left w:val="nil"/>
              <w:bottom w:val="nil"/>
              <w:right w:val="nil"/>
            </w:tcBorders>
            <w:vAlign w:val="center"/>
          </w:tcPr>
          <w:p>
            <w:pPr>
              <w:widowControl/>
              <w:jc w:val="left"/>
              <w:rPr>
                <w:rFonts w:ascii="仿宋" w:hAnsi="仿宋" w:eastAsia="仿宋" w:cs="仿宋"/>
                <w:kern w:val="0"/>
                <w:sz w:val="24"/>
                <w:szCs w:val="24"/>
              </w:rPr>
            </w:pPr>
          </w:p>
        </w:tc>
        <w:tc>
          <w:tcPr>
            <w:tcW w:w="1701" w:type="dxa"/>
            <w:tcBorders>
              <w:top w:val="nil"/>
              <w:left w:val="nil"/>
              <w:bottom w:val="nil"/>
              <w:right w:val="nil"/>
            </w:tcBorders>
            <w:vAlign w:val="center"/>
          </w:tcPr>
          <w:p>
            <w:pPr>
              <w:widowControl/>
              <w:jc w:val="left"/>
              <w:rPr>
                <w:rFonts w:ascii="仿宋" w:hAnsi="仿宋" w:eastAsia="仿宋" w:cs="仿宋"/>
                <w:kern w:val="0"/>
                <w:sz w:val="24"/>
                <w:szCs w:val="24"/>
              </w:rPr>
            </w:pPr>
          </w:p>
        </w:tc>
        <w:tc>
          <w:tcPr>
            <w:tcW w:w="1276" w:type="dxa"/>
            <w:tcBorders>
              <w:top w:val="nil"/>
              <w:left w:val="nil"/>
              <w:bottom w:val="nil"/>
              <w:right w:val="nil"/>
            </w:tcBorders>
            <w:vAlign w:val="center"/>
          </w:tcPr>
          <w:p>
            <w:pPr>
              <w:widowControl/>
              <w:jc w:val="left"/>
              <w:rPr>
                <w:rFonts w:ascii="仿宋" w:hAnsi="仿宋" w:eastAsia="仿宋" w:cs="仿宋"/>
                <w:kern w:val="0"/>
                <w:sz w:val="24"/>
                <w:szCs w:val="24"/>
              </w:rPr>
            </w:pPr>
          </w:p>
        </w:tc>
        <w:tc>
          <w:tcPr>
            <w:tcW w:w="2801" w:type="dxa"/>
            <w:tcBorders>
              <w:top w:val="nil"/>
              <w:left w:val="nil"/>
              <w:bottom w:val="nil"/>
              <w:right w:val="nil"/>
            </w:tcBorders>
            <w:vAlign w:val="center"/>
          </w:tcPr>
          <w:p>
            <w:pPr>
              <w:widowControl/>
              <w:jc w:val="left"/>
              <w:rPr>
                <w:rFonts w:ascii="仿宋" w:hAnsi="仿宋" w:eastAsia="仿宋" w:cs="仿宋"/>
                <w:kern w:val="0"/>
                <w:sz w:val="24"/>
                <w:szCs w:val="24"/>
              </w:rPr>
            </w:pPr>
          </w:p>
        </w:tc>
      </w:tr>
    </w:tbl>
    <w:p>
      <w:pPr>
        <w:spacing w:line="560" w:lineRule="exact"/>
        <w:rPr>
          <w:rFonts w:ascii="仿宋_GB2312" w:hAnsi="仿宋_GB2312" w:eastAsia="仿宋_GB2312" w:cs="仿宋_GB2312"/>
          <w:bCs/>
          <w:sz w:val="32"/>
          <w:szCs w:val="32"/>
        </w:rPr>
      </w:pP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 “三公”经费支出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.16万元，其中：公车运行维护费</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.16万元，公务接待费0万元，因公出国出境0万元。20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年预算安排“三公”经费支出31.16万元，其中：公车运行维护费31.16万元，公务接待费0万元，因公出国出境0万元，与20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val="en-US" w:eastAsia="zh-CN"/>
        </w:rPr>
        <w:t>减少15万元，降低48%，减少原因为按要求压减支出</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五、绩效预算信息情况</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第一部分 部门整体绩效目标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总体绩效目标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城市管理综合执法工作将继续深入贯彻落实党的十九大精神，按照习近平总书记“城市管理要像绣花一样精细”的要求，以及优化营商环境为抓手，有力推动城市精细化和网格化管理，努力增强城市管理综合执法工作的针对性和实效性，建立与相关部门联动机制，构建发现及时、一体联动、处置迅速、全面有效的管理机制，切实提高城市管理的效率和水平。</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TC </w:instrText>
      </w:r>
      <w:bookmarkStart w:id="0" w:name="_Toc29999927"/>
      <w:r>
        <w:rPr>
          <w:rFonts w:hint="eastAsia" w:ascii="仿宋_GB2312" w:hAnsi="仿宋_GB2312" w:eastAsia="仿宋_GB2312" w:cs="仿宋_GB2312"/>
          <w:sz w:val="32"/>
          <w:szCs w:val="32"/>
        </w:rPr>
        <w:instrText xml:space="preserve">分项绩效目标</w:instrText>
      </w:r>
      <w:bookmarkEnd w:id="0"/>
      <w:r>
        <w:rPr>
          <w:rFonts w:hint="eastAsia" w:ascii="仿宋_GB2312" w:hAnsi="仿宋_GB2312" w:eastAsia="仿宋_GB2312" w:cs="仿宋_GB2312"/>
          <w:sz w:val="32"/>
          <w:szCs w:val="32"/>
        </w:rPr>
        <w:instrText xml:space="preserve"> \f A \l 1 </w:instrText>
      </w:r>
      <w:r>
        <w:rPr>
          <w:rFonts w:hint="eastAsia" w:ascii="仿宋_GB2312" w:hAnsi="仿宋_GB2312" w:eastAsia="仿宋_GB2312" w:cs="仿宋_GB2312"/>
          <w:sz w:val="32"/>
          <w:szCs w:val="32"/>
        </w:rPr>
        <w:fldChar w:fldCharType="end"/>
      </w:r>
    </w:p>
    <w:p>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分项绩效目标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制定工作标准、规定和管理办法。贯彻落实国家和省、市有关城市管理的政策和法规，制定完善市容市貌、环境卫生、广告牌匾等有关工作标准、规定和管理办法。</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 w:hAnsi="仿宋" w:eastAsia="仿宋" w:cs="仿宋"/>
          <w:b/>
          <w:bCs/>
          <w:sz w:val="32"/>
          <w:szCs w:val="32"/>
        </w:rPr>
        <w:t xml:space="preserve"> 1</w:t>
      </w:r>
      <w:r>
        <w:rPr>
          <w:rFonts w:hint="eastAsia" w:ascii="仿宋" w:hAnsi="仿宋" w:eastAsia="仿宋" w:cs="仿宋"/>
          <w:b/>
          <w:bCs/>
          <w:sz w:val="32"/>
          <w:szCs w:val="32"/>
          <w:lang w:eastAsia="zh-CN"/>
        </w:rPr>
        <w:t>、</w:t>
      </w:r>
      <w:r>
        <w:rPr>
          <w:rFonts w:hint="eastAsia" w:ascii="仿宋_GB2312" w:hAnsi="仿宋_GB2312" w:eastAsia="仿宋_GB2312" w:cs="仿宋_GB2312"/>
          <w:sz w:val="32"/>
          <w:szCs w:val="32"/>
        </w:rPr>
        <w:t>城市管理管理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绩效目标：加强管理，提高城市承载能力和宜居度。</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绩效指标：加强城区建设，改善城区人居环境，实现城乡统筹发展。居民满意度达到95%以上。</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市容环境卫生综合整治</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绩效目标：负责环境卫生管理，对环境卫生工作进行监督检查。</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绩效指标：对城建界垃圾清运过程中造成的扬撒遗漏现象进行监督检查；对环境卫生工作进行考核。机械化清扫率达到8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%以上。</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数字化城市管理信息平台的管理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绩效目标：建立数字化城市管理的有效监管体系</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城市管理问题进行巡查、信息采集。解决城市管理案件。对日常数据进行统计分析，为科学管理、核拨作业费用和领导决策提供数据依据。管理对象的精确率达到95%以上。实现视频抓拍问题的上报，核对案件的核实核查，案件处理率达到100%。</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生活垃圾无害化处理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绩效目标：生活垃圾进行无害化处理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绩效指标：对生活垃圾进行消纳及无害化处理，生活垃圾渗滤液处理，防止污染环境。垃圾处理率达到96%以上。</w:t>
      </w:r>
    </w:p>
    <w:p>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城市政务管理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绩效目标：加强全县城管综合执法人才队伍建设，提高人才业务素质，行业水平。提升机关及行业信息化水平，保障各类业务系统安全稳定运行。</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绩效指标：推进政务公开，增加服务意识，提高工作效率。综合业务管理工作完成100%。</w:t>
      </w:r>
    </w:p>
    <w:p>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工作保障措施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组织领导。成立领导小组，建立统筹协调、分工协作、密切配合、合力推进的工作体系。将事前评估、目标管理、运行监控、绩效评估、结果应用等各项改革措施，有效融入预算管理的全过程环节，建立健全绩效管理的长效机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完善制度建设。以构建权责清晰、服务优先、管理优先、执法规范、安全有序的城市管理体制为目标，加快形成城市管理综合执法新机制，进一步提高城市管理执法水平。</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加强支出管理。通过优化支出结构、编细编实预算、按规定及时下达资金等多种措施，确保支出进度达标。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加强绩效运行监控。开展绩效运行监控，发现问题及时采取措施，确保绩效目标如期保质实现。</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做好绩效自评。及时开展上年度部门预算绩效自评和重点评价工作，对评价中发现的问题及时整改，调整优化支出结构，提高财政资金使用效益。</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规范财务资产管理。完善财务管理制度，严格审批程序，按照事业单位收支管理内部控制制度，做到收入支出合理，物尽其用。</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加强内部监督。加强内部监督制度建设，对绩效运行情况、重大支出决策和执行进行督导，确保财政资金安全有效。</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加强宣传培训调研等。加强城市管理综合执法人才队伍建设，提高人才业务素质，提高行业水平。提升机关及行业信息化水平，保障各类业务系统安全稳定运行。</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第二部分 预算项目绩效目标</w:t>
      </w:r>
    </w:p>
    <w:p>
      <w:pPr>
        <w:rPr>
          <w:rFonts w:hint="eastAsia" w:ascii="仿宋_GB2312" w:hAnsi="仿宋_GB2312" w:eastAsia="仿宋_GB2312" w:cs="仿宋_GB2312"/>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pPr>
        <w:spacing w:line="300" w:lineRule="exact"/>
        <w:ind w:firstLine="420" w:firstLineChars="200"/>
        <w:jc w:val="left"/>
        <w:rPr>
          <w:rFonts w:hint="eastAsia" w:ascii="仿宋_GB2312" w:hAnsi="仿宋_GB2312" w:eastAsia="仿宋_GB2312" w:cs="仿宋_GB2312"/>
          <w:b/>
          <w:bCs/>
          <w:sz w:val="32"/>
          <w:szCs w:val="32"/>
        </w:rPr>
      </w:pPr>
      <w:r>
        <w:rPr>
          <w:rFonts w:hint="eastAsia"/>
        </w:rPr>
        <w:t xml:space="preserve"> </w:t>
      </w:r>
      <w:r>
        <w:rPr>
          <w:rFonts w:hint="eastAsia" w:ascii="仿宋_GB2312" w:hAnsi="仿宋_GB2312" w:eastAsia="仿宋_GB2312" w:cs="仿宋_GB2312"/>
          <w:b/>
          <w:bCs/>
          <w:sz w:val="32"/>
          <w:szCs w:val="32"/>
        </w:rPr>
        <w:t xml:space="preserve">  1、环卫承包费绩效目标表</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TC 4、环卫承包费绩效目标表 \f C \l 1 </w:instrText>
      </w:r>
      <w:r>
        <w:rPr>
          <w:rFonts w:hint="eastAsia" w:ascii="仿宋_GB2312" w:hAnsi="仿宋_GB2312" w:eastAsia="仿宋_GB2312" w:cs="仿宋_GB2312"/>
          <w:b/>
          <w:bCs/>
          <w:sz w:val="32"/>
          <w:szCs w:val="32"/>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eastAsia="zh-CN"/>
              </w:rPr>
            </w:pPr>
            <w:r>
              <w:rPr>
                <w:rFonts w:ascii="方正书宋_GBK" w:eastAsia="方正书宋_GBK"/>
                <w:b/>
              </w:rPr>
              <w:t>56500</w:t>
            </w:r>
            <w:r>
              <w:rPr>
                <w:rFonts w:hint="eastAsia" w:ascii="方正书宋_GBK" w:eastAsia="方正书宋_GBK"/>
                <w:b/>
                <w:lang w:val="en-US" w:eastAsia="zh-CN"/>
              </w:rPr>
              <w:t>1</w:t>
            </w:r>
            <w:r>
              <w:rPr>
                <w:rFonts w:hint="eastAsia" w:ascii="方正书宋_GBK" w:eastAsia="方正书宋_GBK"/>
                <w:b/>
              </w:rPr>
              <w:t>涞水县城市管理综合执法</w:t>
            </w:r>
            <w:r>
              <w:rPr>
                <w:rFonts w:hint="eastAsia" w:ascii="方正书宋_GBK" w:eastAsia="方正书宋_GBK"/>
                <w:b/>
                <w:lang w:val="en-US" w:eastAsia="zh-CN"/>
              </w:rPr>
              <w:t>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1306232190TM18I0ZIDIB</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环卫承包费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1290.35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1290.35</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、改善城区人居环境</w:t>
            </w:r>
          </w:p>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、提高城市宜居度</w:t>
            </w:r>
          </w:p>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3、提高城市美丽度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机械化清扫率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机械化清扫范围占环卫清扫面积的比率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清洁程度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果皮、纸屑、塑模等占主干道、大街小巷每</w:t>
            </w:r>
            <w:r>
              <w:rPr>
                <w:rFonts w:ascii="方正书宋_GBK" w:eastAsia="方正书宋_GBK"/>
              </w:rPr>
              <w:t>1000</w:t>
            </w:r>
            <w:r>
              <w:rPr>
                <w:rFonts w:hint="eastAsia" w:ascii="方正书宋_GBK" w:eastAsia="方正书宋_GBK"/>
              </w:rPr>
              <w:t>平米几处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时效指标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清扫任务完成及时率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工作任务完成及时率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80%</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工作开展所需的成本情况</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工作开展所需的成本情况</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60%</w:t>
            </w:r>
          </w:p>
        </w:tc>
        <w:tc>
          <w:tcPr>
            <w:tcW w:w="1701"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城市的美丽度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市容市貌整体提升程度，宜居度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道路清扫与垃圾运输及时程度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道路清扫与垃圾运输是否及时，减少城区环境的污染</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、数字化城市管理系统日常维护费绩效目标表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w:instrText>
      </w:r>
      <w:bookmarkStart w:id="1" w:name="_Toc29999934"/>
      <w:r>
        <w:rPr>
          <w:rFonts w:hint="eastAsia" w:ascii="仿宋_GB2312" w:hAnsi="仿宋_GB2312" w:eastAsia="仿宋_GB2312" w:cs="仿宋_GB2312"/>
          <w:b/>
          <w:sz w:val="32"/>
          <w:szCs w:val="32"/>
        </w:rPr>
        <w:instrText xml:space="preserve">6、数字化城市管理系统日常维护费绩效目标表</w:instrText>
      </w:r>
      <w:bookmarkEnd w:id="1"/>
      <w:r>
        <w:rPr>
          <w:rFonts w:hint="eastAsia" w:ascii="仿宋_GB2312" w:hAnsi="仿宋_GB2312" w:eastAsia="仿宋_GB2312" w:cs="仿宋_GB2312"/>
          <w:b/>
          <w:sz w:val="32"/>
          <w:szCs w:val="32"/>
        </w:rPr>
        <w:instrText xml:space="preserve"> \f C \l 1 </w:instrText>
      </w:r>
      <w:r>
        <w:rPr>
          <w:rFonts w:hint="eastAsia" w:ascii="仿宋_GB2312" w:hAnsi="仿宋_GB2312" w:eastAsia="仿宋_GB2312" w:cs="仿宋_GB2312"/>
          <w:b/>
          <w:sz w:val="32"/>
          <w:szCs w:val="32"/>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书宋_GBK" w:eastAsia="方正书宋_GBK"/>
                <w:b/>
                <w:lang w:val="en-US" w:eastAsia="zh-CN"/>
              </w:rPr>
            </w:pPr>
            <w:r>
              <w:rPr>
                <w:rFonts w:ascii="方正书宋_GBK" w:eastAsia="方正书宋_GBK"/>
                <w:b/>
              </w:rPr>
              <w:t>56500</w:t>
            </w:r>
            <w:r>
              <w:rPr>
                <w:rFonts w:hint="eastAsia" w:ascii="方正书宋_GBK" w:eastAsia="方正书宋_GBK"/>
                <w:b/>
                <w:lang w:val="en-US" w:eastAsia="zh-CN"/>
              </w:rPr>
              <w:t>1</w:t>
            </w:r>
            <w:r>
              <w:rPr>
                <w:rFonts w:hint="eastAsia" w:ascii="方正书宋_GBK" w:eastAsia="方正书宋_GBK"/>
                <w:b/>
              </w:rPr>
              <w:t>涞水县城市管理综合执法</w:t>
            </w:r>
            <w:r>
              <w:rPr>
                <w:rFonts w:hint="eastAsia" w:ascii="方正书宋_GBK" w:eastAsia="方正书宋_GBK"/>
                <w:b/>
                <w:lang w:val="en-US" w:eastAsia="zh-CN"/>
              </w:rPr>
              <w:t>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13062321D06E7FHWS4C96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数字化城市管理系统日常维护费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实现城市管理精细化、规范化、标准化的重要举措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、提高城市精细化管理水平</w:t>
            </w:r>
          </w:p>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、发挥数字化指挥中心作用</w:t>
            </w:r>
          </w:p>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3、进一步提高政府服务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信息系统故障发生率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信息系统故障发生率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降低</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设备检测维护次数</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设备检修维护次数</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2次</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时效指标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案件处理率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案件处理情况</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98%</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成本控制</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成本控制</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财政局年初预算批复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城市综合管理水平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以数字城市化为依托，共享多部门数据资源信息，综合整治，联合执法。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构建和谐社会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通过数字化指挥中心，进一步提高政府服务和公共事业服务水平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、数字化管理系统网络运营费绩效目标表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7、数字化管理系统网络运营费绩效目标表 \f C \l 1 </w:instrText>
      </w:r>
      <w:r>
        <w:rPr>
          <w:rFonts w:hint="eastAsia" w:ascii="仿宋_GB2312" w:hAnsi="仿宋_GB2312" w:eastAsia="仿宋_GB2312" w:cs="仿宋_GB2312"/>
          <w:b/>
          <w:sz w:val="32"/>
          <w:szCs w:val="32"/>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书宋_GBK" w:eastAsia="方正书宋_GBK"/>
                <w:b/>
                <w:lang w:val="en-US" w:eastAsia="zh-CN"/>
              </w:rPr>
            </w:pPr>
            <w:r>
              <w:rPr>
                <w:rFonts w:ascii="方正书宋_GBK" w:eastAsia="方正书宋_GBK"/>
                <w:b/>
              </w:rPr>
              <w:t>56500</w:t>
            </w:r>
            <w:r>
              <w:rPr>
                <w:rFonts w:hint="eastAsia" w:ascii="方正书宋_GBK" w:eastAsia="方正书宋_GBK"/>
                <w:b/>
                <w:lang w:val="en-US" w:eastAsia="zh-CN"/>
              </w:rPr>
              <w:t>1</w:t>
            </w:r>
            <w:r>
              <w:rPr>
                <w:rFonts w:hint="eastAsia" w:ascii="方正书宋_GBK" w:eastAsia="方正书宋_GBK"/>
                <w:b/>
              </w:rPr>
              <w:t>涞水县城市管理综合执法</w:t>
            </w:r>
            <w:r>
              <w:rPr>
                <w:rFonts w:hint="eastAsia" w:ascii="方正书宋_GBK" w:eastAsia="方正书宋_GBK"/>
                <w:b/>
                <w:lang w:val="en-US" w:eastAsia="zh-CN"/>
              </w:rPr>
              <w:t>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13062321GGPGRGB8HG8GA</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数字化管理系统网络运营费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10.66</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提高城市精细化管理水平，加快数字化指挥中心建设步伐。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25.00</w:t>
            </w:r>
          </w:p>
        </w:tc>
        <w:tc>
          <w:tcPr>
            <w:tcW w:w="1587" w:type="dxa"/>
            <w:tcBorders>
              <w:bottom w:val="single" w:color="000000" w:sz="6" w:space="0"/>
            </w:tcBorders>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50.00</w:t>
            </w:r>
          </w:p>
        </w:tc>
        <w:tc>
          <w:tcPr>
            <w:tcW w:w="1304" w:type="dxa"/>
            <w:tcBorders>
              <w:bottom w:val="single" w:color="000000" w:sz="6" w:space="0"/>
            </w:tcBorders>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75.00</w:t>
            </w:r>
          </w:p>
        </w:tc>
        <w:tc>
          <w:tcPr>
            <w:tcW w:w="2977" w:type="dxa"/>
            <w:gridSpan w:val="2"/>
            <w:tcBorders>
              <w:bottom w:val="single" w:color="000000" w:sz="6" w:space="0"/>
            </w:tcBorders>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、管理空间的精细化</w:t>
            </w:r>
          </w:p>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、实现城市管理的精确、敏捷、高效和全时段、全方位覆盖。</w:t>
            </w:r>
          </w:p>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3、提高城市精细化管理水平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数字化城市管理系统覆盖面积占城区总面积的比率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城市管理网格化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城市精细化管理水平程度，辖区划分的单元网格情况</w:t>
            </w:r>
          </w:p>
        </w:tc>
        <w:tc>
          <w:tcPr>
            <w:tcW w:w="1276"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时效指标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案件处置率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案件处置情况</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98%</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运行保障成本</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运行保障成本</w:t>
            </w:r>
          </w:p>
        </w:tc>
        <w:tc>
          <w:tcPr>
            <w:tcW w:w="1276" w:type="dxa"/>
            <w:shd w:val="clear" w:color="auto" w:fill="auto"/>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应急处理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以数字城市管理系统为依托，对突发事件、街面秩序等问题的处理情况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构建和谐社会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通过数字化指挥中心，进一步提高政府服务和公共事业服务水平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数字化城管的目标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评价标准</w:t>
            </w:r>
          </w:p>
        </w:tc>
      </w:tr>
    </w:tbl>
    <w:p>
      <w:p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组建省市住房城乡建设部门视频会议系统经费</w:t>
      </w:r>
      <w:r>
        <w:rPr>
          <w:rFonts w:hint="eastAsia" w:ascii="仿宋_GB2312" w:hAnsi="仿宋_GB2312" w:eastAsia="仿宋_GB2312" w:cs="仿宋_GB2312"/>
          <w:b/>
          <w:sz w:val="32"/>
          <w:szCs w:val="32"/>
        </w:rPr>
        <w:t>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3、德胜街（原纬三路）环境卫生整治承包费绩效目标表 \f C \l 1 </w:instrText>
      </w:r>
      <w:r>
        <w:rPr>
          <w:rFonts w:hint="eastAsia" w:ascii="仿宋_GB2312" w:hAnsi="仿宋_GB2312" w:eastAsia="仿宋_GB2312" w:cs="仿宋_GB2312"/>
          <w:b/>
          <w:sz w:val="32"/>
          <w:szCs w:val="32"/>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书宋_GBK" w:eastAsia="方正书宋_GBK"/>
                <w:b/>
                <w:lang w:val="en-US" w:eastAsia="zh-CN"/>
              </w:rPr>
            </w:pPr>
            <w:r>
              <w:rPr>
                <w:rFonts w:ascii="方正书宋_GBK" w:eastAsia="方正书宋_GBK"/>
                <w:b/>
              </w:rPr>
              <w:t>56500</w:t>
            </w:r>
            <w:r>
              <w:rPr>
                <w:rFonts w:hint="eastAsia" w:ascii="方正书宋_GBK" w:eastAsia="方正书宋_GBK"/>
                <w:b/>
                <w:lang w:val="en-US" w:eastAsia="zh-CN"/>
              </w:rPr>
              <w:t>1</w:t>
            </w:r>
            <w:r>
              <w:rPr>
                <w:rFonts w:hint="eastAsia" w:ascii="方正书宋_GBK" w:eastAsia="方正书宋_GBK"/>
                <w:b/>
              </w:rPr>
              <w:t>涞水县城市管理综合执法</w:t>
            </w:r>
            <w:r>
              <w:rPr>
                <w:rFonts w:hint="eastAsia" w:ascii="方正书宋_GBK" w:eastAsia="方正书宋_GBK"/>
                <w:b/>
                <w:lang w:val="en-US" w:eastAsia="zh-CN"/>
              </w:rPr>
              <w:t>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13062321K32078HGBSZ7Z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组建省市住房城乡建设部门视频会议系统经费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1.44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1.44</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lang w:val="en-US" w:eastAsia="zh-CN"/>
              </w:rPr>
              <w:t>组建省市住房城乡建设部门视频会议系统经费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both"/>
              <w:rPr>
                <w:rFonts w:hint="default" w:ascii="方正书宋_GBK" w:eastAsia="方正书宋_GBK"/>
                <w:lang w:val="en-US" w:eastAsia="zh-CN"/>
              </w:rPr>
            </w:pPr>
            <w:r>
              <w:rPr>
                <w:rFonts w:hint="eastAsia" w:ascii="方正书宋_GBK" w:eastAsia="方正书宋_GBK"/>
                <w:lang w:val="en-US" w:eastAsia="zh-CN"/>
              </w:rPr>
              <w:t xml:space="preserve">        100.00%</w:t>
            </w:r>
          </w:p>
        </w:tc>
        <w:tc>
          <w:tcPr>
            <w:tcW w:w="1587" w:type="dxa"/>
            <w:tcBorders>
              <w:bottom w:val="single" w:color="000000" w:sz="6" w:space="0"/>
            </w:tcBorders>
            <w:shd w:val="clear" w:color="auto" w:fill="auto"/>
            <w:vAlign w:val="center"/>
          </w:tcPr>
          <w:p>
            <w:pPr>
              <w:spacing w:line="300" w:lineRule="exact"/>
              <w:jc w:val="both"/>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both"/>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default" w:ascii="方正书宋_GBK" w:eastAsia="方正书宋_GBK"/>
                <w:lang w:val="en-US" w:eastAsia="zh-CN"/>
              </w:rPr>
            </w:pPr>
            <w:r>
              <w:rPr>
                <w:rFonts w:ascii="方正书宋_GBK" w:eastAsia="方正书宋_GBK"/>
              </w:rPr>
              <w:t>1</w:t>
            </w:r>
            <w:r>
              <w:rPr>
                <w:rFonts w:hint="eastAsia" w:ascii="方正书宋_GBK" w:eastAsia="方正书宋_GBK"/>
              </w:rPr>
              <w:t>、</w:t>
            </w:r>
            <w:r>
              <w:rPr>
                <w:rFonts w:hint="eastAsia" w:ascii="方正书宋_GBK" w:eastAsia="方正书宋_GBK"/>
                <w:lang w:val="en-US" w:eastAsia="zh-CN"/>
              </w:rPr>
              <w:t>提高指挥调度工作效率</w:t>
            </w:r>
          </w:p>
          <w:p>
            <w:pPr>
              <w:spacing w:line="300" w:lineRule="exact"/>
              <w:jc w:val="left"/>
              <w:rPr>
                <w:rFonts w:hint="eastAsia" w:ascii="方正书宋_GBK" w:eastAsia="方正书宋_GBK"/>
                <w:lang w:val="en-US" w:eastAsia="zh-CN"/>
              </w:rPr>
            </w:pPr>
            <w:r>
              <w:rPr>
                <w:rFonts w:ascii="方正书宋_GBK" w:eastAsia="方正书宋_GBK"/>
              </w:rPr>
              <w:t>2</w:t>
            </w:r>
            <w:r>
              <w:rPr>
                <w:rFonts w:hint="eastAsia" w:ascii="方正书宋_GBK" w:eastAsia="方正书宋_GBK"/>
              </w:rPr>
              <w:t>、</w:t>
            </w:r>
            <w:r>
              <w:rPr>
                <w:rFonts w:hint="eastAsia" w:ascii="方正书宋_GBK" w:eastAsia="方正书宋_GBK"/>
                <w:lang w:val="en-US" w:eastAsia="zh-CN"/>
              </w:rPr>
              <w:t>按要求完成平台接入工作</w:t>
            </w:r>
          </w:p>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3、提高政府服务水平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视频会议次数</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视频会议召开次数</w:t>
            </w:r>
          </w:p>
        </w:tc>
        <w:tc>
          <w:tcPr>
            <w:tcW w:w="1276"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提高</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年度视频会议次数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远程培训效率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远程培训达到的效果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lang w:val="en-US" w:eastAsia="zh-CN"/>
              </w:rPr>
              <w:t>5</w:t>
            </w:r>
            <w:r>
              <w:rPr>
                <w:rFonts w:ascii="方正书宋_GBK" w:eastAsia="方正书宋_GBK"/>
              </w:rPr>
              <w:t>%</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人员掌握程度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时效指标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工作按时完成率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指挥调度工作完成率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lang w:val="en-US" w:eastAsia="zh-CN"/>
              </w:rPr>
              <w:t>5</w:t>
            </w:r>
            <w:r>
              <w:rPr>
                <w:rFonts w:ascii="方正书宋_GBK" w:eastAsia="方正书宋_GBK"/>
              </w:rPr>
              <w:t>%</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执法局人员考核办法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成本控制率（%）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购买服务实际支出资金</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年初预算金额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应急处理</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对应急问题的处理情况</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可持续影响指标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提高指挥调度</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提高政府服务水平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案件处理率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lang w:val="en-US" w:eastAsia="zh-CN"/>
              </w:rPr>
              <w:t>5</w:t>
            </w:r>
            <w:r>
              <w:rPr>
                <w:rFonts w:ascii="方正书宋_GBK" w:eastAsia="方正书宋_GBK"/>
              </w:rPr>
              <w:t>%</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市容市貌考核制度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643" w:firstLineChars="200"/>
        <w:jc w:val="left"/>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、城市清洁专用车辆运行维护费绩效目标表</w:t>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TC </w:instrText>
      </w:r>
      <w:bookmarkStart w:id="2" w:name="_Toc29999930"/>
      <w:r>
        <w:rPr>
          <w:rFonts w:hint="eastAsia" w:ascii="仿宋_GB2312" w:hAnsi="仿宋_GB2312" w:eastAsia="仿宋_GB2312" w:cs="仿宋_GB2312"/>
          <w:b/>
          <w:sz w:val="32"/>
          <w:szCs w:val="32"/>
        </w:rPr>
        <w:instrText xml:space="preserve">2、城市清洁专用车辆运行维护费绩效目标表</w:instrText>
      </w:r>
      <w:bookmarkEnd w:id="2"/>
      <w:r>
        <w:rPr>
          <w:rFonts w:hint="eastAsia" w:ascii="仿宋_GB2312" w:hAnsi="仿宋_GB2312" w:eastAsia="仿宋_GB2312" w:cs="仿宋_GB2312"/>
          <w:b/>
          <w:sz w:val="32"/>
          <w:szCs w:val="32"/>
        </w:rPr>
        <w:instrText xml:space="preserve"> \f C \l 1 </w:instrText>
      </w:r>
      <w:r>
        <w:rPr>
          <w:rFonts w:hint="eastAsia" w:ascii="仿宋_GB2312" w:hAnsi="仿宋_GB2312" w:eastAsia="仿宋_GB2312" w:cs="仿宋_GB2312"/>
          <w:b/>
          <w:sz w:val="32"/>
          <w:szCs w:val="32"/>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书宋_GBK" w:eastAsia="方正书宋_GBK"/>
                <w:b/>
                <w:lang w:val="en-US" w:eastAsia="zh-CN"/>
              </w:rPr>
            </w:pPr>
            <w:r>
              <w:rPr>
                <w:rFonts w:ascii="方正书宋_GBK" w:eastAsia="方正书宋_GBK"/>
                <w:b/>
              </w:rPr>
              <w:t>56500</w:t>
            </w:r>
            <w:r>
              <w:rPr>
                <w:rFonts w:hint="eastAsia" w:ascii="方正书宋_GBK" w:eastAsia="方正书宋_GBK"/>
                <w:b/>
                <w:lang w:val="en-US" w:eastAsia="zh-CN"/>
              </w:rPr>
              <w:t>1</w:t>
            </w:r>
            <w:r>
              <w:rPr>
                <w:rFonts w:hint="eastAsia" w:ascii="方正书宋_GBK" w:eastAsia="方正书宋_GBK"/>
                <w:b/>
              </w:rPr>
              <w:t>涞水县城市管理综合执法</w:t>
            </w:r>
            <w:r>
              <w:rPr>
                <w:rFonts w:hint="eastAsia" w:ascii="方正书宋_GBK" w:eastAsia="方正书宋_GBK"/>
                <w:b/>
                <w:lang w:val="en-US" w:eastAsia="zh-CN"/>
              </w:rPr>
              <w:t>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13062321M6987GM7ANG1P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城市清洁专用车辆运行维护费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16.16</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确保车辆保持能够随时执行任务的状态。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、保证清洁公务正常运行</w:t>
            </w:r>
          </w:p>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、车辆保持能够随时执行任务</w:t>
            </w:r>
          </w:p>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3、确保城市容貌环境治理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执法车出勤率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执法车执行任务出勤情况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考勤制度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城市容貌环境综合治理率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对有影响市容市貌事件的治理情况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市容市貌考核制度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质量指标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综合事务管理工作完成率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综合事务管理工作完成率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提高</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组织部考核标准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总成本</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总成本</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降低</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持续使用时间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城市清洁车辆和执法车正常运行时间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固定资产的折旧年限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群众满意</w:t>
            </w:r>
            <w:r>
              <w:rPr>
                <w:rFonts w:hint="eastAsia" w:ascii="方正书宋_GBK" w:eastAsia="方正书宋_GBK"/>
                <w:lang w:val="en-US" w:eastAsia="zh-CN"/>
              </w:rPr>
              <w:t>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市容市貌考核制度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Times New Roman" w:hAnsi="宋体"/>
          <w:b/>
          <w:sz w:val="28"/>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、垃圾场承包费绩效目标表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5、垃圾场承包费绩效目标表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书宋_GBK" w:eastAsia="方正书宋_GBK"/>
                <w:b/>
                <w:lang w:val="en-US" w:eastAsia="zh-CN"/>
              </w:rPr>
            </w:pPr>
            <w:r>
              <w:rPr>
                <w:rFonts w:ascii="方正书宋_GBK" w:eastAsia="方正书宋_GBK"/>
                <w:b/>
              </w:rPr>
              <w:t>56500</w:t>
            </w:r>
            <w:r>
              <w:rPr>
                <w:rFonts w:hint="eastAsia" w:ascii="方正书宋_GBK" w:eastAsia="方正书宋_GBK"/>
                <w:b/>
                <w:lang w:val="en-US" w:eastAsia="zh-CN"/>
              </w:rPr>
              <w:t>1</w:t>
            </w:r>
            <w:r>
              <w:rPr>
                <w:rFonts w:hint="eastAsia" w:ascii="方正书宋_GBK" w:eastAsia="方正书宋_GBK"/>
                <w:b/>
              </w:rPr>
              <w:t>涞水县城市管理综合执法</w:t>
            </w:r>
            <w:r>
              <w:rPr>
                <w:rFonts w:hint="eastAsia" w:ascii="方正书宋_GBK" w:eastAsia="方正书宋_GBK"/>
                <w:b/>
                <w:lang w:val="en-US" w:eastAsia="zh-CN"/>
              </w:rPr>
              <w:t>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13062321W3VH09WD0CPAP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垃圾场承包费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275.97</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275.97</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为保护城区生态环境，改善群众生活环境。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、保护城区环境</w:t>
            </w:r>
          </w:p>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、改善群众生活环境</w:t>
            </w:r>
          </w:p>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3、达到群众满意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进场垃圾称重计量</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进场生活垃圾均做称重登记</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规范化填埋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生活垃圾能否规范化填埋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时效指标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生活垃圾覆盖及时率</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生活垃圾进场及覆盖情况</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成本指标</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项目实际成本</w:t>
            </w:r>
          </w:p>
        </w:tc>
        <w:tc>
          <w:tcPr>
            <w:tcW w:w="289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项目实际成本</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&lt;100%</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城市环境监测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生活垃圾填埋对生态环境影响程度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减少对环境的污染</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减少垃圾清运过程中转的环节，对环境污染更少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群众对城市环境垃圾处理的满意程度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市容市貌考核制度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spacing w:line="560" w:lineRule="exact"/>
        <w:ind w:firstLine="640" w:firstLineChars="200"/>
        <w:rPr>
          <w:rFonts w:hint="eastAsia" w:ascii="黑体" w:hAnsi="黑体" w:eastAsia="黑体" w:cs="黑体"/>
          <w:b w:val="0"/>
          <w:bCs w:val="0"/>
          <w:sz w:val="32"/>
          <w:szCs w:val="32"/>
        </w:rPr>
      </w:pPr>
      <w:bookmarkStart w:id="3" w:name="_Toc477163533"/>
      <w:r>
        <w:rPr>
          <w:rFonts w:hint="eastAsia" w:ascii="黑体" w:hAnsi="黑体" w:eastAsia="黑体" w:cs="黑体"/>
          <w:b w:val="0"/>
          <w:bCs w:val="0"/>
          <w:sz w:val="32"/>
          <w:szCs w:val="32"/>
        </w:rPr>
        <w:t>六、政府采购预算情况</w:t>
      </w:r>
    </w:p>
    <w:p>
      <w:pPr>
        <w:spacing w:line="560" w:lineRule="exact"/>
        <w:ind w:firstLine="63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2021年，我单位安排</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预算金额为</w:t>
      </w:r>
      <w:r>
        <w:rPr>
          <w:rFonts w:hint="eastAsia" w:ascii="仿宋_GB2312" w:hAnsi="仿宋_GB2312" w:eastAsia="仿宋_GB2312" w:cs="仿宋_GB2312"/>
          <w:sz w:val="32"/>
          <w:szCs w:val="32"/>
          <w:lang w:val="en-US" w:eastAsia="zh-CN"/>
        </w:rPr>
        <w:t>1566.32万元，具体内容见下表：</w:t>
      </w:r>
    </w:p>
    <w:p>
      <w:pPr>
        <w:ind w:firstLine="640" w:firstLineChars="200"/>
        <w:jc w:val="center"/>
        <w:outlineLvl w:val="0"/>
        <w:rPr>
          <w:rFonts w:hint="eastAsia" w:ascii="黑体" w:hAnsi="黑体" w:eastAsia="黑体" w:cs="黑体"/>
          <w:sz w:val="32"/>
        </w:rPr>
      </w:pPr>
      <w:r>
        <w:rPr>
          <w:rFonts w:hint="eastAsia" w:ascii="黑体" w:hAnsi="黑体" w:eastAsia="黑体" w:cs="黑体"/>
          <w:sz w:val="32"/>
        </w:rPr>
        <w:t>部门政府采购预算</w:t>
      </w:r>
      <w:r>
        <w:fldChar w:fldCharType="begin"/>
      </w:r>
      <w:r>
        <w:rPr>
          <w:rFonts w:hint="eastAsia" w:ascii="黑体" w:hAnsi="黑体" w:eastAsia="黑体" w:cs="黑体"/>
          <w:sz w:val="32"/>
        </w:rPr>
        <w:instrText xml:space="preserve"> TC </w:instrText>
      </w:r>
      <w:bookmarkStart w:id="4" w:name="_Toc30018067"/>
      <w:r>
        <w:rPr>
          <w:rFonts w:hint="eastAsia" w:ascii="黑体" w:hAnsi="黑体" w:eastAsia="黑体" w:cs="黑体"/>
          <w:sz w:val="32"/>
        </w:rPr>
        <w:instrText xml:space="preserve">部门政府采购预算</w:instrText>
      </w:r>
      <w:bookmarkEnd w:id="4"/>
      <w:r>
        <w:rPr>
          <w:rFonts w:hint="eastAsia" w:ascii="黑体" w:hAnsi="黑体" w:eastAsia="黑体" w:cs="黑体"/>
          <w:sz w:val="32"/>
        </w:rPr>
        <w:instrText xml:space="preserve"> \f A \l 1 </w:instrText>
      </w:r>
      <w:r>
        <w:rPr>
          <w:rFonts w:hint="eastAsia" w:ascii="黑体" w:hAnsi="黑体" w:eastAsia="黑体" w:cs="黑体"/>
          <w:sz w:val="32"/>
        </w:rPr>
        <w:fldChar w:fldCharType="end"/>
      </w:r>
    </w:p>
    <w:tbl>
      <w:tblPr>
        <w:tblStyle w:val="8"/>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1000"/>
        <w:gridCol w:w="1041"/>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96"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仿宋"/>
                <w:sz w:val="24"/>
                <w:lang w:eastAsia="zh-CN"/>
              </w:rPr>
            </w:pPr>
            <w:r>
              <w:rPr>
                <w:rFonts w:hint="eastAsia" w:ascii="仿宋" w:hAnsi="仿宋" w:eastAsia="仿宋" w:cs="仿宋"/>
                <w:sz w:val="32"/>
                <w:szCs w:val="32"/>
                <w:lang w:val="en-US" w:eastAsia="zh-CN"/>
              </w:rPr>
              <w:t>565001</w:t>
            </w:r>
            <w:r>
              <w:rPr>
                <w:rFonts w:hint="eastAsia" w:ascii="仿宋" w:hAnsi="仿宋" w:eastAsia="仿宋" w:cs="仿宋"/>
                <w:sz w:val="32"/>
                <w:szCs w:val="32"/>
              </w:rPr>
              <w:t>涞水</w:t>
            </w:r>
            <w:r>
              <w:rPr>
                <w:rFonts w:hint="eastAsia" w:ascii="仿宋" w:hAnsi="仿宋" w:eastAsia="仿宋" w:cs="仿宋"/>
                <w:sz w:val="32"/>
                <w:szCs w:val="32"/>
                <w:lang w:eastAsia="zh-CN"/>
              </w:rPr>
              <w:t>县城市管理综合执法队</w:t>
            </w:r>
          </w:p>
        </w:tc>
        <w:tc>
          <w:tcPr>
            <w:tcW w:w="6711"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hint="eastAsia" w:ascii="宋体" w:hAnsi="宋体" w:cs="宋体"/>
                <w:b/>
              </w:rPr>
            </w:pPr>
            <w:r>
              <w:rPr>
                <w:rFonts w:hint="eastAsia" w:ascii="宋体" w:hAnsi="宋体" w:cs="宋体"/>
                <w:b/>
              </w:rPr>
              <w:t>政府采购项目来源</w:t>
            </w:r>
          </w:p>
        </w:tc>
        <w:tc>
          <w:tcPr>
            <w:tcW w:w="1531" w:type="dxa"/>
            <w:vMerge w:val="restart"/>
            <w:vAlign w:val="center"/>
          </w:tcPr>
          <w:p>
            <w:pPr>
              <w:spacing w:line="300" w:lineRule="exact"/>
              <w:jc w:val="center"/>
              <w:rPr>
                <w:rFonts w:hint="eastAsia" w:ascii="宋体" w:hAnsi="宋体" w:cs="宋体"/>
                <w:b/>
              </w:rPr>
            </w:pPr>
            <w:r>
              <w:rPr>
                <w:rFonts w:hint="eastAsia" w:ascii="宋体" w:hAnsi="宋体" w:cs="宋体"/>
                <w:b/>
              </w:rPr>
              <w:t>采购物品名称</w:t>
            </w:r>
          </w:p>
        </w:tc>
        <w:tc>
          <w:tcPr>
            <w:tcW w:w="1531" w:type="dxa"/>
            <w:vMerge w:val="restart"/>
            <w:vAlign w:val="center"/>
          </w:tcPr>
          <w:p>
            <w:pPr>
              <w:spacing w:line="300" w:lineRule="exact"/>
              <w:jc w:val="center"/>
              <w:rPr>
                <w:rFonts w:hint="eastAsia" w:ascii="宋体" w:hAnsi="宋体" w:cs="宋体"/>
                <w:b/>
              </w:rPr>
            </w:pPr>
            <w:r>
              <w:rPr>
                <w:rFonts w:hint="eastAsia" w:ascii="宋体" w:hAnsi="宋体" w:cs="宋体"/>
                <w:b/>
              </w:rPr>
              <w:t>政府采购目录序号</w:t>
            </w:r>
          </w:p>
        </w:tc>
        <w:tc>
          <w:tcPr>
            <w:tcW w:w="709" w:type="dxa"/>
            <w:vMerge w:val="restart"/>
            <w:vAlign w:val="center"/>
          </w:tcPr>
          <w:p>
            <w:pPr>
              <w:spacing w:line="300" w:lineRule="exact"/>
              <w:jc w:val="center"/>
              <w:rPr>
                <w:rFonts w:hint="eastAsia" w:ascii="宋体" w:hAnsi="宋体" w:cs="宋体"/>
                <w:b/>
              </w:rPr>
            </w:pPr>
            <w:r>
              <w:rPr>
                <w:rFonts w:hint="eastAsia" w:ascii="宋体" w:hAnsi="宋体" w:cs="宋体"/>
                <w:b/>
              </w:rPr>
              <w:t>计量  单位</w:t>
            </w:r>
          </w:p>
        </w:tc>
        <w:tc>
          <w:tcPr>
            <w:tcW w:w="907" w:type="dxa"/>
            <w:vMerge w:val="restart"/>
            <w:vAlign w:val="center"/>
          </w:tcPr>
          <w:p>
            <w:pPr>
              <w:spacing w:line="300" w:lineRule="exact"/>
              <w:jc w:val="center"/>
              <w:rPr>
                <w:rFonts w:hint="eastAsia" w:ascii="宋体" w:hAnsi="宋体" w:cs="宋体"/>
                <w:b/>
              </w:rPr>
            </w:pPr>
            <w:r>
              <w:rPr>
                <w:rFonts w:hint="eastAsia" w:ascii="宋体" w:hAnsi="宋体" w:cs="宋体"/>
                <w:b/>
              </w:rPr>
              <w:t>数量</w:t>
            </w:r>
          </w:p>
        </w:tc>
        <w:tc>
          <w:tcPr>
            <w:tcW w:w="1000" w:type="dxa"/>
            <w:vMerge w:val="restart"/>
            <w:vAlign w:val="center"/>
          </w:tcPr>
          <w:p>
            <w:pPr>
              <w:spacing w:line="300" w:lineRule="exact"/>
              <w:jc w:val="center"/>
              <w:rPr>
                <w:rFonts w:hint="eastAsia" w:ascii="宋体" w:hAnsi="宋体" w:cs="宋体"/>
                <w:b/>
              </w:rPr>
            </w:pPr>
            <w:r>
              <w:rPr>
                <w:rFonts w:hint="eastAsia" w:ascii="宋体" w:hAnsi="宋体" w:cs="宋体"/>
                <w:b/>
              </w:rPr>
              <w:t>单价</w:t>
            </w:r>
          </w:p>
        </w:tc>
        <w:tc>
          <w:tcPr>
            <w:tcW w:w="6711" w:type="dxa"/>
            <w:gridSpan w:val="6"/>
            <w:vAlign w:val="center"/>
          </w:tcPr>
          <w:p>
            <w:pPr>
              <w:spacing w:line="300" w:lineRule="exact"/>
              <w:jc w:val="center"/>
              <w:rPr>
                <w:rFonts w:hint="eastAsia" w:ascii="宋体" w:hAnsi="宋体" w:cs="宋体"/>
                <w:b/>
              </w:rPr>
            </w:pPr>
            <w:r>
              <w:rPr>
                <w:rFonts w:hint="eastAsia" w:ascii="宋体" w:hAnsi="宋体" w:cs="宋体"/>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hint="eastAsia" w:ascii="宋体" w:hAnsi="宋体" w:cs="宋体"/>
                <w:b/>
              </w:rPr>
            </w:pPr>
            <w:r>
              <w:rPr>
                <w:rFonts w:hint="eastAsia" w:ascii="宋体" w:hAnsi="宋体" w:cs="宋体"/>
                <w:b/>
              </w:rPr>
              <w:t>项目名称</w:t>
            </w:r>
          </w:p>
        </w:tc>
        <w:tc>
          <w:tcPr>
            <w:tcW w:w="1134" w:type="dxa"/>
            <w:vAlign w:val="center"/>
          </w:tcPr>
          <w:p>
            <w:pPr>
              <w:spacing w:line="300" w:lineRule="exact"/>
              <w:jc w:val="center"/>
              <w:rPr>
                <w:rFonts w:hint="eastAsia" w:ascii="宋体" w:hAnsi="宋体" w:cs="宋体"/>
                <w:b/>
              </w:rPr>
            </w:pPr>
            <w:r>
              <w:rPr>
                <w:rFonts w:hint="eastAsia" w:ascii="宋体" w:hAnsi="宋体" w:cs="宋体"/>
                <w:b/>
              </w:rPr>
              <w:t>预算资金</w:t>
            </w:r>
          </w:p>
        </w:tc>
        <w:tc>
          <w:tcPr>
            <w:tcW w:w="1531" w:type="dxa"/>
            <w:vMerge w:val="continue"/>
            <w:vAlign w:val="center"/>
          </w:tcPr>
          <w:p>
            <w:pPr>
              <w:spacing w:line="300" w:lineRule="exact"/>
              <w:jc w:val="left"/>
              <w:outlineLvl w:val="0"/>
              <w:rPr>
                <w:rFonts w:hint="eastAsia" w:ascii="宋体" w:hAnsi="宋体" w:cs="宋体"/>
                <w:sz w:val="28"/>
              </w:rPr>
            </w:pPr>
          </w:p>
        </w:tc>
        <w:tc>
          <w:tcPr>
            <w:tcW w:w="1531" w:type="dxa"/>
            <w:vMerge w:val="continue"/>
            <w:vAlign w:val="center"/>
          </w:tcPr>
          <w:p>
            <w:pPr>
              <w:spacing w:line="300" w:lineRule="exact"/>
              <w:jc w:val="left"/>
              <w:outlineLvl w:val="0"/>
              <w:rPr>
                <w:rFonts w:hint="eastAsia" w:ascii="宋体" w:hAnsi="宋体" w:cs="宋体"/>
                <w:sz w:val="28"/>
              </w:rPr>
            </w:pPr>
          </w:p>
        </w:tc>
        <w:tc>
          <w:tcPr>
            <w:tcW w:w="709" w:type="dxa"/>
            <w:vMerge w:val="continue"/>
            <w:vAlign w:val="center"/>
          </w:tcPr>
          <w:p>
            <w:pPr>
              <w:spacing w:line="300" w:lineRule="exact"/>
              <w:jc w:val="left"/>
              <w:outlineLvl w:val="0"/>
              <w:rPr>
                <w:rFonts w:hint="eastAsia" w:ascii="宋体" w:hAnsi="宋体" w:cs="宋体"/>
                <w:sz w:val="28"/>
              </w:rPr>
            </w:pPr>
          </w:p>
        </w:tc>
        <w:tc>
          <w:tcPr>
            <w:tcW w:w="907" w:type="dxa"/>
            <w:vMerge w:val="continue"/>
            <w:vAlign w:val="center"/>
          </w:tcPr>
          <w:p>
            <w:pPr>
              <w:spacing w:line="300" w:lineRule="exact"/>
              <w:jc w:val="left"/>
              <w:outlineLvl w:val="0"/>
              <w:rPr>
                <w:rFonts w:hint="eastAsia" w:ascii="宋体" w:hAnsi="宋体" w:cs="宋体"/>
                <w:sz w:val="28"/>
              </w:rPr>
            </w:pPr>
          </w:p>
        </w:tc>
        <w:tc>
          <w:tcPr>
            <w:tcW w:w="1000" w:type="dxa"/>
            <w:vMerge w:val="continue"/>
            <w:vAlign w:val="center"/>
          </w:tcPr>
          <w:p>
            <w:pPr>
              <w:spacing w:line="300" w:lineRule="exact"/>
              <w:jc w:val="left"/>
              <w:outlineLvl w:val="0"/>
              <w:rPr>
                <w:rFonts w:hint="eastAsia" w:ascii="宋体" w:hAnsi="宋体" w:cs="宋体"/>
                <w:sz w:val="28"/>
              </w:rPr>
            </w:pPr>
          </w:p>
        </w:tc>
        <w:tc>
          <w:tcPr>
            <w:tcW w:w="1041" w:type="dxa"/>
            <w:vAlign w:val="center"/>
          </w:tcPr>
          <w:p>
            <w:pPr>
              <w:spacing w:line="300" w:lineRule="exact"/>
              <w:jc w:val="center"/>
              <w:rPr>
                <w:rFonts w:hint="eastAsia" w:ascii="宋体" w:hAnsi="宋体" w:cs="宋体"/>
                <w:b/>
              </w:rPr>
            </w:pPr>
            <w:r>
              <w:rPr>
                <w:rFonts w:hint="eastAsia" w:ascii="宋体" w:hAnsi="宋体" w:cs="宋体"/>
                <w:b/>
              </w:rPr>
              <w:t>合计</w:t>
            </w:r>
          </w:p>
        </w:tc>
        <w:tc>
          <w:tcPr>
            <w:tcW w:w="1134" w:type="dxa"/>
            <w:vAlign w:val="center"/>
          </w:tcPr>
          <w:p>
            <w:pPr>
              <w:spacing w:line="300" w:lineRule="exact"/>
              <w:jc w:val="center"/>
              <w:rPr>
                <w:rFonts w:hint="eastAsia" w:ascii="宋体" w:hAnsi="宋体" w:cs="宋体"/>
                <w:b/>
              </w:rPr>
            </w:pPr>
            <w:r>
              <w:rPr>
                <w:rFonts w:hint="eastAsia" w:ascii="宋体" w:hAnsi="宋体" w:cs="宋体"/>
                <w:b/>
              </w:rPr>
              <w:t>一般公共预算拨款</w:t>
            </w:r>
          </w:p>
        </w:tc>
        <w:tc>
          <w:tcPr>
            <w:tcW w:w="1134" w:type="dxa"/>
            <w:vAlign w:val="center"/>
          </w:tcPr>
          <w:p>
            <w:pPr>
              <w:spacing w:line="300" w:lineRule="exact"/>
              <w:jc w:val="center"/>
              <w:rPr>
                <w:rFonts w:hint="eastAsia" w:ascii="宋体" w:hAnsi="宋体" w:cs="宋体"/>
                <w:b/>
              </w:rPr>
            </w:pPr>
            <w:r>
              <w:rPr>
                <w:rFonts w:hint="eastAsia" w:ascii="宋体" w:hAnsi="宋体" w:cs="宋体"/>
                <w:b/>
              </w:rPr>
              <w:t>基金预算拨款</w:t>
            </w:r>
          </w:p>
        </w:tc>
        <w:tc>
          <w:tcPr>
            <w:tcW w:w="1134" w:type="dxa"/>
            <w:vAlign w:val="center"/>
          </w:tcPr>
          <w:p>
            <w:pPr>
              <w:spacing w:line="300" w:lineRule="exact"/>
              <w:jc w:val="center"/>
              <w:rPr>
                <w:rFonts w:hint="eastAsia" w:ascii="宋体" w:hAnsi="宋体" w:cs="宋体"/>
                <w:b/>
              </w:rPr>
            </w:pPr>
            <w:r>
              <w:rPr>
                <w:rFonts w:hint="eastAsia" w:ascii="宋体" w:hAnsi="宋体" w:cs="宋体"/>
                <w:b/>
              </w:rPr>
              <w:t>国有资本经营预算拨款</w:t>
            </w:r>
          </w:p>
        </w:tc>
        <w:tc>
          <w:tcPr>
            <w:tcW w:w="1134" w:type="dxa"/>
            <w:vAlign w:val="center"/>
          </w:tcPr>
          <w:p>
            <w:pPr>
              <w:spacing w:line="300" w:lineRule="exact"/>
              <w:jc w:val="center"/>
              <w:rPr>
                <w:rFonts w:hint="eastAsia" w:ascii="宋体" w:hAnsi="宋体" w:cs="宋体"/>
                <w:b/>
              </w:rPr>
            </w:pPr>
            <w:r>
              <w:rPr>
                <w:rFonts w:hint="eastAsia" w:ascii="宋体" w:hAnsi="宋体" w:cs="宋体"/>
                <w:b/>
              </w:rPr>
              <w:t>财政专户核拨</w:t>
            </w:r>
          </w:p>
        </w:tc>
        <w:tc>
          <w:tcPr>
            <w:tcW w:w="1134" w:type="dxa"/>
            <w:vAlign w:val="center"/>
          </w:tcPr>
          <w:p>
            <w:pPr>
              <w:spacing w:line="300" w:lineRule="exact"/>
              <w:jc w:val="center"/>
              <w:rPr>
                <w:rFonts w:hint="eastAsia" w:ascii="宋体" w:hAnsi="宋体" w:cs="宋体"/>
                <w:b/>
              </w:rPr>
            </w:pPr>
            <w:r>
              <w:rPr>
                <w:rFonts w:hint="eastAsia" w:ascii="宋体" w:hAnsi="宋体" w:cs="宋体"/>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hint="eastAsia" w:ascii="宋体" w:hAnsi="宋体" w:cs="宋体"/>
                <w:b/>
              </w:rPr>
            </w:pPr>
            <w:r>
              <w:rPr>
                <w:rFonts w:hint="eastAsia" w:ascii="宋体" w:hAnsi="宋体" w:cs="宋体"/>
                <w:b/>
              </w:rPr>
              <w:t>涞水</w:t>
            </w:r>
            <w:r>
              <w:rPr>
                <w:rFonts w:hint="eastAsia" w:ascii="宋体" w:hAnsi="宋体" w:cs="宋体"/>
                <w:b/>
                <w:lang w:eastAsia="zh-CN"/>
              </w:rPr>
              <w:t>县城市管理综合执法队</w:t>
            </w:r>
            <w:r>
              <w:rPr>
                <w:rFonts w:hint="eastAsia" w:ascii="宋体" w:hAnsi="宋体" w:cs="宋体"/>
                <w:b/>
              </w:rPr>
              <w:t>小计</w:t>
            </w:r>
          </w:p>
        </w:tc>
        <w:tc>
          <w:tcPr>
            <w:tcW w:w="1134" w:type="dxa"/>
            <w:vAlign w:val="center"/>
          </w:tcPr>
          <w:p>
            <w:pPr>
              <w:spacing w:line="300" w:lineRule="exact"/>
              <w:jc w:val="right"/>
              <w:rPr>
                <w:rFonts w:hint="eastAsia" w:ascii="宋体" w:hAnsi="宋体" w:cs="宋体"/>
                <w:b/>
              </w:rPr>
            </w:pPr>
          </w:p>
        </w:tc>
        <w:tc>
          <w:tcPr>
            <w:tcW w:w="1531" w:type="dxa"/>
            <w:vAlign w:val="center"/>
          </w:tcPr>
          <w:p>
            <w:pPr>
              <w:spacing w:line="300" w:lineRule="exact"/>
              <w:jc w:val="left"/>
              <w:rPr>
                <w:rFonts w:hint="eastAsia" w:ascii="宋体" w:hAnsi="宋体" w:cs="宋体"/>
                <w:b/>
              </w:rPr>
            </w:pPr>
          </w:p>
        </w:tc>
        <w:tc>
          <w:tcPr>
            <w:tcW w:w="1531" w:type="dxa"/>
            <w:vAlign w:val="center"/>
          </w:tcPr>
          <w:p>
            <w:pPr>
              <w:spacing w:line="300" w:lineRule="exact"/>
              <w:jc w:val="left"/>
              <w:rPr>
                <w:rFonts w:hint="eastAsia" w:ascii="宋体" w:hAnsi="宋体" w:cs="宋体"/>
                <w:b/>
              </w:rPr>
            </w:pPr>
          </w:p>
        </w:tc>
        <w:tc>
          <w:tcPr>
            <w:tcW w:w="709" w:type="dxa"/>
            <w:vAlign w:val="center"/>
          </w:tcPr>
          <w:p>
            <w:pPr>
              <w:spacing w:line="300" w:lineRule="exact"/>
              <w:jc w:val="center"/>
              <w:rPr>
                <w:rFonts w:hint="eastAsia" w:ascii="宋体" w:hAnsi="宋体" w:cs="宋体"/>
                <w:b/>
              </w:rPr>
            </w:pPr>
          </w:p>
        </w:tc>
        <w:tc>
          <w:tcPr>
            <w:tcW w:w="907" w:type="dxa"/>
            <w:vAlign w:val="center"/>
          </w:tcPr>
          <w:p>
            <w:pPr>
              <w:spacing w:line="300" w:lineRule="exact"/>
              <w:jc w:val="right"/>
              <w:rPr>
                <w:rFonts w:hint="eastAsia" w:ascii="宋体" w:hAnsi="宋体" w:cs="宋体"/>
                <w:b/>
              </w:rPr>
            </w:pPr>
          </w:p>
        </w:tc>
        <w:tc>
          <w:tcPr>
            <w:tcW w:w="1000" w:type="dxa"/>
            <w:vAlign w:val="center"/>
          </w:tcPr>
          <w:p>
            <w:pPr>
              <w:spacing w:line="300" w:lineRule="exact"/>
              <w:jc w:val="right"/>
              <w:rPr>
                <w:rFonts w:hint="eastAsia" w:ascii="宋体" w:hAnsi="宋体" w:cs="宋体"/>
                <w:b/>
              </w:rPr>
            </w:pPr>
          </w:p>
        </w:tc>
        <w:tc>
          <w:tcPr>
            <w:tcW w:w="1041" w:type="dxa"/>
            <w:vAlign w:val="center"/>
          </w:tcPr>
          <w:p>
            <w:pPr>
              <w:spacing w:line="300" w:lineRule="exact"/>
              <w:jc w:val="right"/>
              <w:rPr>
                <w:rFonts w:hint="default" w:ascii="宋体" w:hAnsi="宋体" w:cs="宋体" w:eastAsiaTheme="minorEastAsia"/>
                <w:b/>
                <w:lang w:val="en-US" w:eastAsia="zh-CN"/>
              </w:rPr>
            </w:pPr>
            <w:r>
              <w:rPr>
                <w:rFonts w:hint="eastAsia" w:ascii="宋体" w:hAnsi="宋体" w:cs="宋体"/>
                <w:b/>
                <w:lang w:val="en-US" w:eastAsia="zh-CN"/>
              </w:rPr>
              <w:t>1566.32</w:t>
            </w:r>
          </w:p>
        </w:tc>
        <w:tc>
          <w:tcPr>
            <w:tcW w:w="1134" w:type="dxa"/>
            <w:vAlign w:val="center"/>
          </w:tcPr>
          <w:p>
            <w:pPr>
              <w:spacing w:line="300" w:lineRule="exact"/>
              <w:jc w:val="both"/>
              <w:rPr>
                <w:rFonts w:hint="default" w:ascii="宋体" w:hAnsi="宋体" w:cs="宋体" w:eastAsiaTheme="minorEastAsia"/>
                <w:b/>
                <w:lang w:val="en-US" w:eastAsia="zh-CN"/>
              </w:rPr>
            </w:pPr>
            <w:r>
              <w:rPr>
                <w:rFonts w:hint="eastAsia" w:ascii="宋体" w:hAnsi="宋体" w:cs="宋体"/>
                <w:b/>
                <w:lang w:val="en-US" w:eastAsia="zh-CN"/>
              </w:rPr>
              <w:t>1566.32</w:t>
            </w:r>
          </w:p>
        </w:tc>
        <w:tc>
          <w:tcPr>
            <w:tcW w:w="1134" w:type="dxa"/>
            <w:vAlign w:val="center"/>
          </w:tcPr>
          <w:p>
            <w:pPr>
              <w:spacing w:line="300" w:lineRule="exact"/>
              <w:jc w:val="both"/>
              <w:rPr>
                <w:rFonts w:hint="eastAsia" w:ascii="宋体" w:hAnsi="宋体" w:cs="宋体"/>
                <w:b/>
              </w:rPr>
            </w:pPr>
          </w:p>
        </w:tc>
        <w:tc>
          <w:tcPr>
            <w:tcW w:w="1134" w:type="dxa"/>
            <w:vAlign w:val="center"/>
          </w:tcPr>
          <w:p>
            <w:pPr>
              <w:spacing w:line="300" w:lineRule="exact"/>
              <w:jc w:val="right"/>
              <w:rPr>
                <w:rFonts w:hint="eastAsia" w:ascii="宋体" w:hAnsi="宋体" w:cs="宋体"/>
                <w:b/>
              </w:rPr>
            </w:pPr>
          </w:p>
        </w:tc>
        <w:tc>
          <w:tcPr>
            <w:tcW w:w="1134" w:type="dxa"/>
            <w:vAlign w:val="center"/>
          </w:tcPr>
          <w:p>
            <w:pPr>
              <w:spacing w:line="300" w:lineRule="exact"/>
              <w:jc w:val="right"/>
              <w:rPr>
                <w:rFonts w:hint="eastAsia" w:ascii="宋体" w:hAnsi="宋体" w:cs="宋体"/>
                <w:b/>
              </w:rPr>
            </w:pPr>
          </w:p>
        </w:tc>
        <w:tc>
          <w:tcPr>
            <w:tcW w:w="1134" w:type="dxa"/>
            <w:vAlign w:val="center"/>
          </w:tcPr>
          <w:p>
            <w:pPr>
              <w:spacing w:line="300" w:lineRule="exact"/>
              <w:jc w:val="right"/>
              <w:rPr>
                <w:rFonts w:hint="eastAsia" w:ascii="宋体" w:hAnsi="宋体" w:cs="宋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hint="eastAsia" w:ascii="宋体" w:hAnsi="宋体" w:cs="宋体" w:eastAsiaTheme="minorEastAsia"/>
                <w:lang w:eastAsia="zh-CN"/>
              </w:rPr>
            </w:pPr>
            <w:r>
              <w:rPr>
                <w:rFonts w:hint="eastAsia" w:ascii="宋体" w:hAnsi="宋体" w:cs="宋体"/>
                <w:lang w:eastAsia="zh-CN"/>
              </w:rPr>
              <w:t>垃圾场承包费</w:t>
            </w:r>
          </w:p>
        </w:tc>
        <w:tc>
          <w:tcPr>
            <w:tcW w:w="1134" w:type="dxa"/>
            <w:vAlign w:val="center"/>
          </w:tcPr>
          <w:p>
            <w:pPr>
              <w:spacing w:line="300" w:lineRule="exact"/>
              <w:jc w:val="both"/>
              <w:rPr>
                <w:rFonts w:hint="default" w:ascii="宋体" w:hAnsi="宋体" w:cs="宋体" w:eastAsiaTheme="minorEastAsia"/>
                <w:lang w:val="en-US" w:eastAsia="zh-CN"/>
              </w:rPr>
            </w:pPr>
            <w:r>
              <w:rPr>
                <w:rFonts w:hint="eastAsia" w:ascii="宋体" w:hAnsi="宋体" w:cs="宋体"/>
                <w:lang w:val="en-US" w:eastAsia="zh-CN"/>
              </w:rPr>
              <w:t>275.97</w:t>
            </w:r>
          </w:p>
        </w:tc>
        <w:tc>
          <w:tcPr>
            <w:tcW w:w="1531" w:type="dxa"/>
            <w:vAlign w:val="center"/>
          </w:tcPr>
          <w:p>
            <w:pPr>
              <w:spacing w:line="300" w:lineRule="exact"/>
              <w:jc w:val="left"/>
              <w:rPr>
                <w:rFonts w:hint="eastAsia" w:ascii="宋体" w:hAnsi="宋体" w:cs="宋体" w:eastAsiaTheme="minorEastAsia"/>
                <w:lang w:eastAsia="zh-CN"/>
              </w:rPr>
            </w:pPr>
            <w:r>
              <w:rPr>
                <w:rFonts w:hint="eastAsia" w:ascii="宋体" w:hAnsi="宋体" w:cs="宋体"/>
                <w:lang w:eastAsia="zh-CN"/>
              </w:rPr>
              <w:t>垃圾处理服务</w:t>
            </w:r>
          </w:p>
        </w:tc>
        <w:tc>
          <w:tcPr>
            <w:tcW w:w="1531" w:type="dxa"/>
            <w:vAlign w:val="center"/>
          </w:tcPr>
          <w:p>
            <w:pPr>
              <w:spacing w:line="300" w:lineRule="exact"/>
              <w:jc w:val="left"/>
              <w:rPr>
                <w:rFonts w:hint="default" w:ascii="宋体" w:hAnsi="宋体" w:cs="宋体" w:eastAsiaTheme="minorEastAsia"/>
                <w:lang w:val="en-US" w:eastAsia="zh-CN"/>
              </w:rPr>
            </w:pPr>
            <w:r>
              <w:rPr>
                <w:rFonts w:hint="eastAsia" w:ascii="宋体" w:hAnsi="宋体" w:cs="宋体"/>
                <w:lang w:val="en-US" w:eastAsia="zh-CN"/>
              </w:rPr>
              <w:t>C160102</w:t>
            </w:r>
          </w:p>
        </w:tc>
        <w:tc>
          <w:tcPr>
            <w:tcW w:w="709" w:type="dxa"/>
            <w:vAlign w:val="center"/>
          </w:tcPr>
          <w:p>
            <w:pPr>
              <w:spacing w:line="300" w:lineRule="exact"/>
              <w:jc w:val="center"/>
              <w:rPr>
                <w:rFonts w:hint="eastAsia" w:ascii="宋体" w:hAnsi="宋体" w:cs="宋体"/>
              </w:rPr>
            </w:pPr>
            <w:r>
              <w:rPr>
                <w:rFonts w:hint="eastAsia" w:ascii="宋体" w:hAnsi="宋体" w:cs="宋体"/>
              </w:rPr>
              <w:t>项</w:t>
            </w:r>
          </w:p>
        </w:tc>
        <w:tc>
          <w:tcPr>
            <w:tcW w:w="907" w:type="dxa"/>
            <w:vAlign w:val="center"/>
          </w:tcPr>
          <w:p>
            <w:pPr>
              <w:spacing w:line="300" w:lineRule="exact"/>
              <w:jc w:val="right"/>
              <w:rPr>
                <w:rFonts w:hint="eastAsia" w:ascii="宋体" w:hAnsi="宋体" w:cs="宋体"/>
              </w:rPr>
            </w:pPr>
            <w:r>
              <w:rPr>
                <w:rFonts w:hint="eastAsia" w:ascii="宋体" w:hAnsi="宋体" w:cs="宋体"/>
              </w:rPr>
              <w:t>1.00</w:t>
            </w:r>
          </w:p>
        </w:tc>
        <w:tc>
          <w:tcPr>
            <w:tcW w:w="1000" w:type="dxa"/>
            <w:vAlign w:val="center"/>
          </w:tcPr>
          <w:p>
            <w:pPr>
              <w:spacing w:line="300" w:lineRule="exact"/>
              <w:jc w:val="right"/>
              <w:rPr>
                <w:rFonts w:hint="default" w:ascii="宋体" w:hAnsi="宋体" w:cs="宋体" w:eastAsiaTheme="minorEastAsia"/>
                <w:lang w:val="en-US" w:eastAsia="zh-CN"/>
              </w:rPr>
            </w:pPr>
            <w:r>
              <w:rPr>
                <w:rFonts w:hint="eastAsia" w:ascii="宋体" w:hAnsi="宋体" w:cs="宋体"/>
                <w:lang w:val="en-US" w:eastAsia="zh-CN"/>
              </w:rPr>
              <w:t>275.97</w:t>
            </w:r>
          </w:p>
        </w:tc>
        <w:tc>
          <w:tcPr>
            <w:tcW w:w="1041" w:type="dxa"/>
            <w:vAlign w:val="center"/>
          </w:tcPr>
          <w:p>
            <w:pPr>
              <w:spacing w:line="300" w:lineRule="exact"/>
              <w:jc w:val="center"/>
              <w:rPr>
                <w:rFonts w:hint="default" w:ascii="宋体" w:hAnsi="宋体" w:cs="宋体" w:eastAsiaTheme="minorEastAsia"/>
                <w:lang w:val="en-US" w:eastAsia="zh-CN"/>
              </w:rPr>
            </w:pPr>
            <w:r>
              <w:rPr>
                <w:rFonts w:hint="eastAsia" w:ascii="宋体" w:hAnsi="宋体" w:cs="宋体"/>
                <w:lang w:val="en-US" w:eastAsia="zh-CN"/>
              </w:rPr>
              <w:t>275.97</w:t>
            </w:r>
          </w:p>
        </w:tc>
        <w:tc>
          <w:tcPr>
            <w:tcW w:w="1134" w:type="dxa"/>
            <w:vAlign w:val="center"/>
          </w:tcPr>
          <w:p>
            <w:pPr>
              <w:spacing w:line="300" w:lineRule="exact"/>
              <w:jc w:val="both"/>
              <w:rPr>
                <w:rFonts w:hint="default" w:ascii="宋体" w:hAnsi="宋体" w:cs="宋体" w:eastAsiaTheme="minorEastAsia"/>
                <w:lang w:val="en-US" w:eastAsia="zh-CN"/>
              </w:rPr>
            </w:pPr>
            <w:r>
              <w:rPr>
                <w:rFonts w:hint="eastAsia" w:ascii="宋体" w:hAnsi="宋体" w:cs="宋体"/>
                <w:lang w:val="en-US" w:eastAsia="zh-CN"/>
              </w:rPr>
              <w:t>275.97</w:t>
            </w:r>
          </w:p>
        </w:tc>
        <w:tc>
          <w:tcPr>
            <w:tcW w:w="1134" w:type="dxa"/>
            <w:vAlign w:val="center"/>
          </w:tcPr>
          <w:p>
            <w:pPr>
              <w:spacing w:line="300" w:lineRule="exact"/>
              <w:jc w:val="right"/>
              <w:rPr>
                <w:rFonts w:hint="eastAsia" w:ascii="宋体" w:hAnsi="宋体" w:cs="宋体"/>
              </w:rPr>
            </w:pPr>
          </w:p>
        </w:tc>
        <w:tc>
          <w:tcPr>
            <w:tcW w:w="1134" w:type="dxa"/>
            <w:vAlign w:val="center"/>
          </w:tcPr>
          <w:p>
            <w:pPr>
              <w:spacing w:line="300" w:lineRule="exact"/>
              <w:jc w:val="right"/>
              <w:rPr>
                <w:rFonts w:hint="eastAsia" w:ascii="宋体" w:hAnsi="宋体" w:cs="宋体"/>
              </w:rPr>
            </w:pPr>
          </w:p>
        </w:tc>
        <w:tc>
          <w:tcPr>
            <w:tcW w:w="1134" w:type="dxa"/>
            <w:vAlign w:val="center"/>
          </w:tcPr>
          <w:p>
            <w:pPr>
              <w:spacing w:line="300" w:lineRule="exact"/>
              <w:jc w:val="right"/>
              <w:rPr>
                <w:rFonts w:hint="eastAsia" w:ascii="宋体" w:hAnsi="宋体" w:cs="宋体"/>
              </w:rPr>
            </w:pPr>
          </w:p>
        </w:tc>
        <w:tc>
          <w:tcPr>
            <w:tcW w:w="1134" w:type="dxa"/>
            <w:vAlign w:val="center"/>
          </w:tcPr>
          <w:p>
            <w:pPr>
              <w:spacing w:line="300" w:lineRule="exact"/>
              <w:jc w:val="right"/>
              <w:rPr>
                <w:rFonts w:hint="eastAsia"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hint="eastAsia" w:ascii="宋体" w:hAnsi="宋体" w:cs="宋体" w:eastAsiaTheme="minorEastAsia"/>
                <w:lang w:eastAsia="zh-CN"/>
              </w:rPr>
            </w:pPr>
            <w:r>
              <w:rPr>
                <w:rFonts w:hint="eastAsia" w:ascii="宋体" w:hAnsi="宋体" w:cs="宋体"/>
                <w:lang w:eastAsia="zh-CN"/>
              </w:rPr>
              <w:t>环卫承包费</w:t>
            </w:r>
          </w:p>
        </w:tc>
        <w:tc>
          <w:tcPr>
            <w:tcW w:w="1134" w:type="dxa"/>
            <w:vAlign w:val="center"/>
          </w:tcPr>
          <w:p>
            <w:pPr>
              <w:spacing w:line="300" w:lineRule="exact"/>
              <w:jc w:val="left"/>
              <w:rPr>
                <w:rFonts w:hint="default" w:ascii="宋体" w:hAnsi="宋体" w:cs="宋体" w:eastAsiaTheme="minorEastAsia"/>
                <w:lang w:val="en-US" w:eastAsia="zh-CN"/>
              </w:rPr>
            </w:pPr>
            <w:r>
              <w:rPr>
                <w:rFonts w:hint="eastAsia" w:ascii="宋体" w:hAnsi="宋体" w:cs="宋体"/>
                <w:lang w:val="en-US" w:eastAsia="zh-CN"/>
              </w:rPr>
              <w:t>1290.35</w:t>
            </w:r>
          </w:p>
        </w:tc>
        <w:tc>
          <w:tcPr>
            <w:tcW w:w="1531" w:type="dxa"/>
            <w:vAlign w:val="center"/>
          </w:tcPr>
          <w:p>
            <w:pPr>
              <w:spacing w:line="300" w:lineRule="exact"/>
              <w:jc w:val="left"/>
              <w:rPr>
                <w:rFonts w:hint="eastAsia" w:ascii="宋体" w:hAnsi="宋体" w:cs="宋体" w:eastAsiaTheme="minorEastAsia"/>
                <w:lang w:eastAsia="zh-CN"/>
              </w:rPr>
            </w:pPr>
            <w:r>
              <w:rPr>
                <w:rFonts w:hint="eastAsia" w:ascii="宋体" w:hAnsi="宋体" w:cs="宋体"/>
                <w:lang w:eastAsia="zh-CN"/>
              </w:rPr>
              <w:t>清扫服务</w:t>
            </w:r>
          </w:p>
        </w:tc>
        <w:tc>
          <w:tcPr>
            <w:tcW w:w="1531" w:type="dxa"/>
            <w:vAlign w:val="center"/>
          </w:tcPr>
          <w:p>
            <w:pPr>
              <w:spacing w:line="300" w:lineRule="exact"/>
              <w:jc w:val="left"/>
              <w:rPr>
                <w:rFonts w:hint="default" w:ascii="宋体" w:hAnsi="宋体" w:cs="宋体" w:eastAsiaTheme="minorEastAsia"/>
                <w:lang w:val="en-US" w:eastAsia="zh-CN"/>
              </w:rPr>
            </w:pPr>
            <w:r>
              <w:rPr>
                <w:rFonts w:hint="eastAsia" w:ascii="宋体" w:hAnsi="宋体" w:cs="宋体"/>
                <w:lang w:val="en-US" w:eastAsia="zh-CN"/>
              </w:rPr>
              <w:t>C160101</w:t>
            </w:r>
          </w:p>
        </w:tc>
        <w:tc>
          <w:tcPr>
            <w:tcW w:w="709" w:type="dxa"/>
            <w:vAlign w:val="center"/>
          </w:tcPr>
          <w:p>
            <w:pPr>
              <w:spacing w:line="300" w:lineRule="exact"/>
              <w:jc w:val="center"/>
              <w:rPr>
                <w:rFonts w:hint="eastAsia" w:ascii="宋体" w:hAnsi="宋体" w:cs="宋体"/>
              </w:rPr>
            </w:pPr>
            <w:r>
              <w:rPr>
                <w:rFonts w:hint="eastAsia" w:ascii="宋体" w:hAnsi="宋体" w:cs="宋体"/>
              </w:rPr>
              <w:t>项</w:t>
            </w:r>
          </w:p>
        </w:tc>
        <w:tc>
          <w:tcPr>
            <w:tcW w:w="907" w:type="dxa"/>
            <w:vAlign w:val="center"/>
          </w:tcPr>
          <w:p>
            <w:pPr>
              <w:spacing w:line="300" w:lineRule="exact"/>
              <w:jc w:val="right"/>
              <w:rPr>
                <w:rFonts w:hint="eastAsia" w:ascii="宋体" w:hAnsi="宋体" w:cs="宋体"/>
              </w:rPr>
            </w:pPr>
            <w:r>
              <w:rPr>
                <w:rFonts w:hint="eastAsia" w:ascii="宋体" w:hAnsi="宋体" w:cs="宋体"/>
              </w:rPr>
              <w:t>1.00</w:t>
            </w:r>
          </w:p>
        </w:tc>
        <w:tc>
          <w:tcPr>
            <w:tcW w:w="1000" w:type="dxa"/>
            <w:vAlign w:val="center"/>
          </w:tcPr>
          <w:p>
            <w:pPr>
              <w:spacing w:line="300" w:lineRule="exact"/>
              <w:jc w:val="both"/>
              <w:rPr>
                <w:rFonts w:hint="default" w:ascii="宋体" w:hAnsi="宋体" w:cs="宋体" w:eastAsiaTheme="minorEastAsia"/>
                <w:lang w:val="en-US" w:eastAsia="zh-CN"/>
              </w:rPr>
            </w:pPr>
            <w:r>
              <w:rPr>
                <w:rFonts w:hint="eastAsia" w:ascii="宋体" w:hAnsi="宋体" w:cs="宋体"/>
                <w:lang w:val="en-US" w:eastAsia="zh-CN"/>
              </w:rPr>
              <w:t>1290.35</w:t>
            </w:r>
          </w:p>
        </w:tc>
        <w:tc>
          <w:tcPr>
            <w:tcW w:w="1041" w:type="dxa"/>
            <w:vAlign w:val="center"/>
          </w:tcPr>
          <w:p>
            <w:pPr>
              <w:spacing w:line="300" w:lineRule="exact"/>
              <w:jc w:val="center"/>
              <w:rPr>
                <w:rFonts w:hint="default" w:ascii="宋体" w:hAnsi="宋体" w:cs="宋体" w:eastAsiaTheme="minorEastAsia"/>
                <w:lang w:val="en-US" w:eastAsia="zh-CN"/>
              </w:rPr>
            </w:pPr>
            <w:r>
              <w:rPr>
                <w:rFonts w:hint="eastAsia" w:ascii="宋体" w:hAnsi="宋体" w:cs="宋体"/>
                <w:lang w:val="en-US" w:eastAsia="zh-CN"/>
              </w:rPr>
              <w:t>1290.35</w:t>
            </w:r>
          </w:p>
        </w:tc>
        <w:tc>
          <w:tcPr>
            <w:tcW w:w="1134" w:type="dxa"/>
            <w:vAlign w:val="center"/>
          </w:tcPr>
          <w:p>
            <w:pPr>
              <w:spacing w:line="300" w:lineRule="exact"/>
              <w:jc w:val="both"/>
              <w:rPr>
                <w:rFonts w:hint="default" w:ascii="宋体" w:hAnsi="宋体" w:cs="宋体" w:eastAsiaTheme="minorEastAsia"/>
                <w:lang w:val="en-US" w:eastAsia="zh-CN"/>
              </w:rPr>
            </w:pPr>
            <w:r>
              <w:rPr>
                <w:rFonts w:hint="eastAsia" w:ascii="宋体" w:hAnsi="宋体" w:cs="宋体"/>
                <w:lang w:val="en-US" w:eastAsia="zh-CN"/>
              </w:rPr>
              <w:t>1290.35</w:t>
            </w:r>
          </w:p>
        </w:tc>
        <w:tc>
          <w:tcPr>
            <w:tcW w:w="1134" w:type="dxa"/>
            <w:vAlign w:val="center"/>
          </w:tcPr>
          <w:p>
            <w:pPr>
              <w:spacing w:line="300" w:lineRule="exact"/>
              <w:jc w:val="both"/>
              <w:rPr>
                <w:rFonts w:hint="eastAsia" w:ascii="宋体" w:hAnsi="宋体" w:cs="宋体"/>
              </w:rPr>
            </w:pPr>
          </w:p>
        </w:tc>
        <w:tc>
          <w:tcPr>
            <w:tcW w:w="1134" w:type="dxa"/>
            <w:vAlign w:val="center"/>
          </w:tcPr>
          <w:p>
            <w:pPr>
              <w:spacing w:line="300" w:lineRule="exact"/>
              <w:jc w:val="right"/>
              <w:rPr>
                <w:rFonts w:hint="eastAsia" w:ascii="宋体" w:hAnsi="宋体" w:cs="宋体"/>
              </w:rPr>
            </w:pPr>
          </w:p>
        </w:tc>
        <w:tc>
          <w:tcPr>
            <w:tcW w:w="1134" w:type="dxa"/>
            <w:vAlign w:val="center"/>
          </w:tcPr>
          <w:p>
            <w:pPr>
              <w:spacing w:line="300" w:lineRule="exact"/>
              <w:jc w:val="right"/>
              <w:rPr>
                <w:rFonts w:hint="eastAsia" w:ascii="宋体" w:hAnsi="宋体" w:cs="宋体"/>
              </w:rPr>
            </w:pPr>
          </w:p>
        </w:tc>
        <w:tc>
          <w:tcPr>
            <w:tcW w:w="1134" w:type="dxa"/>
            <w:vAlign w:val="center"/>
          </w:tcPr>
          <w:p>
            <w:pPr>
              <w:spacing w:line="300" w:lineRule="exact"/>
              <w:jc w:val="right"/>
              <w:rPr>
                <w:rFonts w:hint="eastAsia"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hint="eastAsia" w:ascii="宋体" w:hAnsi="宋体" w:cs="宋体"/>
              </w:rPr>
            </w:pPr>
          </w:p>
        </w:tc>
        <w:tc>
          <w:tcPr>
            <w:tcW w:w="1134" w:type="dxa"/>
            <w:vAlign w:val="center"/>
          </w:tcPr>
          <w:p>
            <w:pPr>
              <w:spacing w:line="300" w:lineRule="exact"/>
              <w:jc w:val="center"/>
              <w:rPr>
                <w:rFonts w:hint="eastAsia" w:ascii="宋体" w:hAnsi="宋体" w:cs="宋体"/>
              </w:rPr>
            </w:pPr>
          </w:p>
        </w:tc>
        <w:tc>
          <w:tcPr>
            <w:tcW w:w="1531" w:type="dxa"/>
            <w:vAlign w:val="center"/>
          </w:tcPr>
          <w:p>
            <w:pPr>
              <w:spacing w:line="300" w:lineRule="exact"/>
              <w:jc w:val="left"/>
              <w:rPr>
                <w:rFonts w:hint="eastAsia" w:ascii="宋体" w:hAnsi="宋体" w:cs="宋体" w:eastAsiaTheme="minorEastAsia"/>
                <w:lang w:eastAsia="zh-CN"/>
              </w:rPr>
            </w:pPr>
          </w:p>
        </w:tc>
        <w:tc>
          <w:tcPr>
            <w:tcW w:w="1531" w:type="dxa"/>
            <w:vAlign w:val="center"/>
          </w:tcPr>
          <w:p>
            <w:pPr>
              <w:spacing w:line="300" w:lineRule="exact"/>
              <w:jc w:val="left"/>
              <w:rPr>
                <w:rFonts w:hint="eastAsia" w:ascii="宋体" w:hAnsi="宋体" w:cs="宋体"/>
              </w:rPr>
            </w:pPr>
          </w:p>
        </w:tc>
        <w:tc>
          <w:tcPr>
            <w:tcW w:w="709" w:type="dxa"/>
            <w:vAlign w:val="center"/>
          </w:tcPr>
          <w:p>
            <w:pPr>
              <w:spacing w:line="300" w:lineRule="exact"/>
              <w:jc w:val="center"/>
              <w:rPr>
                <w:rFonts w:hint="eastAsia" w:ascii="宋体" w:hAnsi="宋体" w:cs="宋体"/>
              </w:rPr>
            </w:pPr>
          </w:p>
        </w:tc>
        <w:tc>
          <w:tcPr>
            <w:tcW w:w="907" w:type="dxa"/>
            <w:vAlign w:val="center"/>
          </w:tcPr>
          <w:p>
            <w:pPr>
              <w:spacing w:line="300" w:lineRule="exact"/>
              <w:jc w:val="center"/>
              <w:rPr>
                <w:rFonts w:hint="eastAsia" w:ascii="宋体" w:hAnsi="宋体" w:cs="宋体"/>
              </w:rPr>
            </w:pPr>
          </w:p>
        </w:tc>
        <w:tc>
          <w:tcPr>
            <w:tcW w:w="1000" w:type="dxa"/>
            <w:vAlign w:val="center"/>
          </w:tcPr>
          <w:p>
            <w:pPr>
              <w:spacing w:line="300" w:lineRule="exact"/>
              <w:jc w:val="center"/>
              <w:rPr>
                <w:rFonts w:hint="eastAsia" w:ascii="宋体" w:hAnsi="宋体" w:cs="宋体"/>
              </w:rPr>
            </w:pPr>
          </w:p>
        </w:tc>
        <w:tc>
          <w:tcPr>
            <w:tcW w:w="1041" w:type="dxa"/>
            <w:vAlign w:val="center"/>
          </w:tcPr>
          <w:p>
            <w:pPr>
              <w:spacing w:line="300" w:lineRule="exact"/>
              <w:jc w:val="center"/>
              <w:rPr>
                <w:rFonts w:hint="eastAsia" w:ascii="宋体" w:hAnsi="宋体" w:cs="宋体"/>
              </w:rPr>
            </w:pPr>
          </w:p>
        </w:tc>
        <w:tc>
          <w:tcPr>
            <w:tcW w:w="1134" w:type="dxa"/>
            <w:vAlign w:val="center"/>
          </w:tcPr>
          <w:p>
            <w:pPr>
              <w:spacing w:line="300" w:lineRule="exact"/>
              <w:jc w:val="right"/>
              <w:rPr>
                <w:rFonts w:hint="eastAsia" w:ascii="宋体" w:hAnsi="宋体" w:cs="宋体"/>
              </w:rPr>
            </w:pPr>
          </w:p>
        </w:tc>
        <w:tc>
          <w:tcPr>
            <w:tcW w:w="1134" w:type="dxa"/>
            <w:vAlign w:val="center"/>
          </w:tcPr>
          <w:p>
            <w:pPr>
              <w:spacing w:line="300" w:lineRule="exact"/>
              <w:jc w:val="both"/>
              <w:rPr>
                <w:rFonts w:hint="eastAsia" w:ascii="宋体" w:hAnsi="宋体" w:cs="宋体"/>
              </w:rPr>
            </w:pPr>
          </w:p>
        </w:tc>
        <w:tc>
          <w:tcPr>
            <w:tcW w:w="1134" w:type="dxa"/>
            <w:vAlign w:val="center"/>
          </w:tcPr>
          <w:p>
            <w:pPr>
              <w:spacing w:line="300" w:lineRule="exact"/>
              <w:jc w:val="right"/>
              <w:rPr>
                <w:rFonts w:hint="eastAsia" w:ascii="宋体" w:hAnsi="宋体" w:cs="宋体"/>
              </w:rPr>
            </w:pPr>
          </w:p>
        </w:tc>
        <w:tc>
          <w:tcPr>
            <w:tcW w:w="1134" w:type="dxa"/>
            <w:vAlign w:val="center"/>
          </w:tcPr>
          <w:p>
            <w:pPr>
              <w:spacing w:line="300" w:lineRule="exact"/>
              <w:jc w:val="right"/>
              <w:rPr>
                <w:rFonts w:hint="eastAsia" w:ascii="宋体" w:hAnsi="宋体" w:cs="宋体"/>
              </w:rPr>
            </w:pPr>
          </w:p>
        </w:tc>
        <w:tc>
          <w:tcPr>
            <w:tcW w:w="1134" w:type="dxa"/>
            <w:vAlign w:val="center"/>
          </w:tcPr>
          <w:p>
            <w:pPr>
              <w:spacing w:line="300" w:lineRule="exact"/>
              <w:jc w:val="right"/>
              <w:rPr>
                <w:rFonts w:hint="eastAsia" w:ascii="宋体" w:hAnsi="宋体" w:cs="宋体"/>
              </w:rPr>
            </w:pPr>
          </w:p>
        </w:tc>
      </w:tr>
    </w:tbl>
    <w:p>
      <w:pPr>
        <w:spacing w:line="560" w:lineRule="exact"/>
        <w:outlineLvl w:val="0"/>
        <w:rPr>
          <w:rFonts w:ascii="仿宋" w:hAnsi="仿宋" w:eastAsia="仿宋" w:cs="仿宋"/>
          <w:sz w:val="32"/>
          <w:szCs w:val="32"/>
        </w:rPr>
        <w:sectPr>
          <w:pgSz w:w="16839" w:h="11907" w:orient="landscape"/>
          <w:pgMar w:top="1021" w:right="1361" w:bottom="1021" w:left="1361" w:header="851" w:footer="992" w:gutter="0"/>
          <w:cols w:space="720" w:num="1"/>
          <w:docGrid w:type="lines" w:linePitch="312" w:charSpace="0"/>
        </w:sectPr>
      </w:pPr>
    </w:p>
    <w:p>
      <w:pPr>
        <w:spacing w:line="560" w:lineRule="exact"/>
        <w:rPr>
          <w:rFonts w:hint="eastAsia" w:ascii="仿宋_GB2312" w:hAnsi="仿宋_GB2312" w:eastAsia="仿宋_GB2312" w:cs="仿宋_GB2312"/>
          <w:sz w:val="32"/>
          <w:szCs w:val="32"/>
        </w:rPr>
      </w:pPr>
    </w:p>
    <w:p>
      <w:pPr>
        <w:spacing w:line="560" w:lineRule="exact"/>
        <w:ind w:firstLine="630"/>
        <w:rPr>
          <w:rFonts w:hint="eastAsia" w:ascii="黑体" w:hAnsi="黑体" w:eastAsia="黑体" w:cs="黑体"/>
          <w:b w:val="0"/>
          <w:bCs w:val="0"/>
          <w:sz w:val="32"/>
          <w:szCs w:val="32"/>
        </w:rPr>
      </w:pPr>
      <w:r>
        <w:rPr>
          <w:rFonts w:hint="eastAsia" w:ascii="黑体" w:hAnsi="黑体" w:eastAsia="黑体" w:cs="黑体"/>
          <w:b w:val="0"/>
          <w:bCs w:val="0"/>
          <w:sz w:val="32"/>
          <w:szCs w:val="32"/>
        </w:rPr>
        <w:t>七、国有资产信息情况</w:t>
      </w:r>
    </w:p>
    <w:p>
      <w:pPr>
        <w:spacing w:line="560" w:lineRule="exact"/>
        <w:ind w:firstLine="56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年末执法</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固定资产总额</w:t>
      </w:r>
      <w:r>
        <w:rPr>
          <w:rFonts w:hint="eastAsia" w:ascii="仿宋_GB2312" w:hAnsi="仿宋_GB2312" w:eastAsia="仿宋_GB2312" w:cs="仿宋_GB2312"/>
          <w:sz w:val="32"/>
          <w:szCs w:val="32"/>
          <w:lang w:val="en-US" w:eastAsia="zh-CN"/>
        </w:rPr>
        <w:t>730.1109</w:t>
      </w:r>
      <w:r>
        <w:rPr>
          <w:rFonts w:hint="eastAsia" w:ascii="仿宋_GB2312" w:hAnsi="仿宋_GB2312" w:eastAsia="仿宋_GB2312" w:cs="仿宋_GB2312"/>
          <w:sz w:val="32"/>
          <w:szCs w:val="32"/>
        </w:rPr>
        <w:t xml:space="preserve"> 万元，</w:t>
      </w:r>
      <w:r>
        <w:rPr>
          <w:rFonts w:hint="eastAsia" w:ascii="仿宋_GB2312" w:hAnsi="宋体" w:eastAsia="仿宋_GB2312" w:cs="宋体"/>
          <w:sz w:val="32"/>
          <w:szCs w:val="32"/>
        </w:rPr>
        <w:t>主要包括车辆 27 辆价值 339.1507万元</w:t>
      </w:r>
      <w:r>
        <w:rPr>
          <w:rFonts w:hint="eastAsia" w:ascii="仿宋_GB2312" w:hAnsi="宋体" w:eastAsia="仿宋_GB2312" w:cs="宋体"/>
          <w:sz w:val="32"/>
          <w:szCs w:val="32"/>
          <w:lang w:eastAsia="zh-CN"/>
        </w:rPr>
        <w:t>、单价在</w:t>
      </w:r>
      <w:r>
        <w:rPr>
          <w:rFonts w:hint="eastAsia" w:ascii="仿宋_GB2312" w:hAnsi="宋体" w:eastAsia="仿宋_GB2312" w:cs="宋体"/>
          <w:sz w:val="32"/>
          <w:szCs w:val="32"/>
          <w:lang w:val="en-US" w:eastAsia="zh-CN"/>
        </w:rPr>
        <w:t>20万元以上的设备1台305.86万元</w:t>
      </w:r>
      <w:r>
        <w:rPr>
          <w:rFonts w:hint="eastAsia" w:ascii="仿宋_GB2312" w:hAnsi="宋体" w:eastAsia="仿宋_GB2312" w:cs="宋体"/>
          <w:sz w:val="32"/>
          <w:szCs w:val="32"/>
        </w:rPr>
        <w:t>及其他固定资产</w:t>
      </w:r>
      <w:r>
        <w:rPr>
          <w:rFonts w:hint="eastAsia" w:ascii="仿宋_GB2312" w:hAnsi="宋体" w:eastAsia="仿宋_GB2312" w:cs="宋体"/>
          <w:sz w:val="32"/>
          <w:szCs w:val="32"/>
          <w:lang w:val="en-US" w:eastAsia="zh-CN"/>
        </w:rPr>
        <w:t>85.1002</w:t>
      </w:r>
      <w:r>
        <w:rPr>
          <w:rFonts w:hint="eastAsia" w:ascii="仿宋_GB2312" w:hAnsi="宋体" w:eastAsia="仿宋_GB2312" w:cs="宋体"/>
          <w:sz w:val="32"/>
          <w:szCs w:val="32"/>
        </w:rPr>
        <w:t xml:space="preserve"> 万元。</w:t>
      </w:r>
      <w:r>
        <w:rPr>
          <w:rFonts w:hint="eastAsia" w:ascii="仿宋_GB2312" w:hAnsi="宋体" w:eastAsia="仿宋_GB2312" w:cs="宋体"/>
          <w:sz w:val="32"/>
          <w:szCs w:val="32"/>
          <w:lang w:val="en-US" w:eastAsia="zh-CN"/>
        </w:rPr>
        <w:t>2021年拟采购固定资产金额为0万元。</w:t>
      </w:r>
    </w:p>
    <w:p>
      <w:pPr>
        <w:spacing w:line="560" w:lineRule="exact"/>
        <w:ind w:firstLine="64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涞水县城市管理综合执法</w:t>
      </w:r>
      <w:r>
        <w:rPr>
          <w:rFonts w:hint="eastAsia" w:ascii="仿宋_GB2312" w:hAnsi="仿宋_GB2312" w:eastAsia="仿宋_GB2312" w:cs="仿宋_GB2312"/>
          <w:sz w:val="32"/>
          <w:szCs w:val="32"/>
          <w:lang w:val="en-US" w:eastAsia="zh-CN"/>
        </w:rPr>
        <w:t>队</w:t>
      </w:r>
    </w:p>
    <w:p>
      <w:pPr>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截止时间：20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129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1" w:type="dxa"/>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   目</w:t>
            </w:r>
          </w:p>
        </w:tc>
        <w:tc>
          <w:tcPr>
            <w:tcW w:w="1290" w:type="dxa"/>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2791" w:type="dxa"/>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1"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固定资产总额</w:t>
            </w:r>
          </w:p>
        </w:tc>
        <w:tc>
          <w:tcPr>
            <w:tcW w:w="129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791" w:type="dxa"/>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730.1109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129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791"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其中：办公用房(平方米）</w:t>
            </w:r>
          </w:p>
        </w:tc>
        <w:tc>
          <w:tcPr>
            <w:tcW w:w="129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791"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129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279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339.1507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3、单价在20万元以上的设备</w:t>
            </w:r>
          </w:p>
        </w:tc>
        <w:tc>
          <w:tcPr>
            <w:tcW w:w="1290"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p>
        </w:tc>
        <w:tc>
          <w:tcPr>
            <w:tcW w:w="2791" w:type="dxa"/>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129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791" w:type="dxa"/>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85.1002</w:t>
            </w:r>
          </w:p>
        </w:tc>
      </w:tr>
    </w:tbl>
    <w:p>
      <w:pPr>
        <w:rPr>
          <w:rFonts w:hint="eastAsia" w:ascii="黑体" w:hAnsi="黑体" w:eastAsia="黑体" w:cs="黑体"/>
          <w:b w:val="0"/>
          <w:bCs/>
          <w:sz w:val="32"/>
          <w:szCs w:val="32"/>
        </w:rPr>
      </w:pPr>
      <w:r>
        <w:rPr>
          <w:rFonts w:hint="eastAsia" w:ascii="仿宋_GB2312" w:hAnsi="仿宋_GB2312" w:eastAsia="仿宋_GB2312" w:cs="仿宋_GB2312"/>
          <w:b w:val="0"/>
          <w:bCs/>
          <w:sz w:val="32"/>
          <w:szCs w:val="32"/>
          <w:lang w:eastAsia="zh-CN"/>
        </w:rPr>
        <w:t>其他固定资产主要是电脑、空调、办公桌椅等。</w:t>
      </w:r>
    </w:p>
    <w:p>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八、名词解释</w:t>
      </w:r>
    </w:p>
    <w:p>
      <w:pPr>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w:t>
      </w:r>
      <w:r>
        <w:rPr>
          <w:rFonts w:hint="eastAsia" w:ascii="仿宋_GB2312" w:hAnsi="宋体" w:eastAsia="仿宋_GB2312"/>
          <w:b w:val="0"/>
          <w:bCs w:val="0"/>
          <w:sz w:val="32"/>
          <w:szCs w:val="32"/>
        </w:rPr>
        <w:t>一般公共预算财政拨款收入：</w:t>
      </w:r>
      <w:r>
        <w:rPr>
          <w:rFonts w:hint="eastAsia" w:ascii="仿宋_GB2312" w:hAnsi="宋体" w:eastAsia="仿宋_GB2312"/>
          <w:sz w:val="32"/>
          <w:szCs w:val="32"/>
        </w:rPr>
        <w:t>县级财政当年拨付的资金。</w:t>
      </w:r>
    </w:p>
    <w:p>
      <w:pPr>
        <w:pStyle w:val="4"/>
        <w:widowControl/>
        <w:spacing w:line="560" w:lineRule="exact"/>
        <w:ind w:firstLine="578" w:firstLineChars="180"/>
        <w:rPr>
          <w:rFonts w:ascii="仿宋_GB2312" w:hAnsi="仿宋_GB2312" w:eastAsia="仿宋_GB2312" w:cs="仿宋_GB2312"/>
          <w:sz w:val="32"/>
          <w:szCs w:val="32"/>
          <w:shd w:val="clear" w:color="auto" w:fill="FFFFFF"/>
        </w:rPr>
      </w:pPr>
      <w:r>
        <w:rPr>
          <w:rStyle w:val="6"/>
          <w:rFonts w:ascii="仿宋_GB2312" w:hAnsi="仿宋_GB2312" w:eastAsia="仿宋_GB2312" w:cs="仿宋_GB2312"/>
          <w:sz w:val="32"/>
          <w:szCs w:val="32"/>
          <w:shd w:val="clear" w:color="auto" w:fill="FFFFFF"/>
        </w:rPr>
        <w:t>2</w:t>
      </w:r>
      <w:r>
        <w:rPr>
          <w:rStyle w:val="6"/>
          <w:rFonts w:hint="eastAsia" w:ascii="仿宋_GB2312" w:hAnsi="仿宋_GB2312" w:eastAsia="仿宋_GB2312" w:cs="仿宋_GB2312"/>
          <w:sz w:val="32"/>
          <w:szCs w:val="32"/>
          <w:shd w:val="clear" w:color="auto" w:fill="FFFFFF"/>
        </w:rPr>
        <w:t>、</w:t>
      </w:r>
      <w:r>
        <w:rPr>
          <w:rStyle w:val="6"/>
          <w:rFonts w:hint="eastAsia" w:ascii="仿宋_GB2312" w:hAnsi="仿宋_GB2312" w:eastAsia="仿宋_GB2312" w:cs="仿宋_GB2312"/>
          <w:b w:val="0"/>
          <w:bCs/>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pPr>
        <w:pStyle w:val="4"/>
        <w:widowControl/>
        <w:spacing w:line="560" w:lineRule="exact"/>
        <w:ind w:firstLine="578" w:firstLineChars="180"/>
        <w:rPr>
          <w:rFonts w:ascii="仿宋_GB2312" w:hAnsi="宋体" w:eastAsia="仿宋_GB2312"/>
          <w:sz w:val="32"/>
          <w:szCs w:val="32"/>
        </w:rPr>
      </w:pPr>
      <w:r>
        <w:rPr>
          <w:rStyle w:val="6"/>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w:t>
      </w:r>
      <w:r>
        <w:rPr>
          <w:rFonts w:hint="eastAsia" w:ascii="仿宋_GB2312" w:hAnsi="宋体" w:eastAsia="仿宋_GB2312"/>
          <w:b w:val="0"/>
          <w:bCs w:val="0"/>
          <w:sz w:val="32"/>
          <w:szCs w:val="32"/>
        </w:rPr>
        <w:t>基本支出：</w:t>
      </w:r>
      <w:r>
        <w:rPr>
          <w:rFonts w:hint="eastAsia" w:ascii="仿宋_GB2312" w:hAnsi="宋体" w:eastAsia="仿宋_GB2312"/>
          <w:sz w:val="32"/>
          <w:szCs w:val="32"/>
        </w:rPr>
        <w:t>指为保障机构正常运转、完成日常工作任务而发生的人员支出和公用支出。</w:t>
      </w:r>
    </w:p>
    <w:p>
      <w:pPr>
        <w:pStyle w:val="4"/>
        <w:widowControl/>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4</w:t>
      </w:r>
      <w:r>
        <w:rPr>
          <w:rFonts w:hint="eastAsia" w:ascii="仿宋_GB2312" w:hAnsi="宋体" w:eastAsia="仿宋_GB2312"/>
          <w:b/>
          <w:bCs/>
          <w:sz w:val="32"/>
          <w:szCs w:val="32"/>
        </w:rPr>
        <w:t>、</w:t>
      </w:r>
      <w:r>
        <w:rPr>
          <w:rFonts w:hint="eastAsia" w:ascii="仿宋_GB2312" w:hAnsi="宋体" w:eastAsia="仿宋_GB2312"/>
          <w:b w:val="0"/>
          <w:bCs w:val="0"/>
          <w:sz w:val="32"/>
          <w:szCs w:val="32"/>
        </w:rPr>
        <w:t>项目支出：</w:t>
      </w:r>
      <w:r>
        <w:rPr>
          <w:rFonts w:hint="eastAsia" w:ascii="仿宋_GB2312" w:hAnsi="宋体" w:eastAsia="仿宋_GB2312"/>
          <w:sz w:val="32"/>
          <w:szCs w:val="32"/>
        </w:rPr>
        <w:t>指在基本支出之外为完成特定行政任务和事业发展目标所发生的支出。</w:t>
      </w:r>
    </w:p>
    <w:p>
      <w:pPr>
        <w:pStyle w:val="4"/>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w:t>
      </w:r>
      <w:r>
        <w:rPr>
          <w:rFonts w:hint="eastAsia" w:ascii="仿宋_GB2312" w:hAnsi="宋体" w:eastAsia="仿宋_GB2312"/>
          <w:b w:val="0"/>
          <w:bCs w:val="0"/>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w:t>
      </w:r>
      <w:r>
        <w:rPr>
          <w:rFonts w:hint="eastAsia" w:ascii="仿宋_GB2312" w:hAnsi="宋体" w:eastAsia="仿宋_GB2312"/>
          <w:b w:val="0"/>
          <w:bCs w:val="0"/>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val="0"/>
          <w:bCs w:val="0"/>
          <w:sz w:val="32"/>
          <w:szCs w:val="32"/>
        </w:rPr>
        <w:t xml:space="preserve">  九、其他需要说明的事项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我部门无政府性基金预算及国有资本经营预算，空表列示。</w:t>
      </w:r>
    </w:p>
    <w:p>
      <w:pPr>
        <w:spacing w:line="560" w:lineRule="exact"/>
        <w:rPr>
          <w:rFonts w:hint="eastAsia" w:ascii="仿宋_GB2312" w:hAnsi="仿宋_GB2312" w:eastAsia="仿宋_GB2312" w:cs="仿宋_GB2312"/>
          <w:sz w:val="32"/>
          <w:szCs w:val="32"/>
        </w:rPr>
      </w:pPr>
    </w:p>
    <w:p>
      <w:pPr>
        <w:spacing w:line="560" w:lineRule="exact"/>
        <w:ind w:right="640"/>
        <w:rPr>
          <w:rFonts w:hint="eastAsia" w:ascii="仿宋_GB2312" w:hAnsi="仿宋_GB2312" w:eastAsia="仿宋_GB2312" w:cs="仿宋_GB2312"/>
          <w:sz w:val="32"/>
          <w:szCs w:val="32"/>
        </w:rPr>
      </w:pPr>
      <w:bookmarkStart w:id="5" w:name="_GoBack"/>
      <w:bookmarkEnd w:id="5"/>
    </w:p>
    <w:p>
      <w:pPr>
        <w:spacing w:line="560" w:lineRule="exact"/>
        <w:ind w:right="640"/>
        <w:jc w:val="right"/>
        <w:rPr>
          <w:rFonts w:ascii="仿宋_GB2312" w:hAnsi="宋体"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FFE53"/>
    <w:multiLevelType w:val="singleLevel"/>
    <w:tmpl w:val="9F0FFE53"/>
    <w:lvl w:ilvl="0" w:tentative="0">
      <w:start w:val="3"/>
      <w:numFmt w:val="decimal"/>
      <w:suff w:val="nothing"/>
      <w:lvlText w:val="%1、"/>
      <w:lvlJc w:val="left"/>
      <w:pPr>
        <w:ind w:left="8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6D5E"/>
    <w:rsid w:val="00002798"/>
    <w:rsid w:val="00010A4D"/>
    <w:rsid w:val="00012C53"/>
    <w:rsid w:val="00025BB0"/>
    <w:rsid w:val="000543DC"/>
    <w:rsid w:val="00076AAF"/>
    <w:rsid w:val="00092D27"/>
    <w:rsid w:val="000A45FE"/>
    <w:rsid w:val="000B6AD6"/>
    <w:rsid w:val="000F1172"/>
    <w:rsid w:val="000F308D"/>
    <w:rsid w:val="001438F1"/>
    <w:rsid w:val="001475BB"/>
    <w:rsid w:val="001673E1"/>
    <w:rsid w:val="00187AB3"/>
    <w:rsid w:val="001C2FC6"/>
    <w:rsid w:val="001D555D"/>
    <w:rsid w:val="001E3E1E"/>
    <w:rsid w:val="001E455D"/>
    <w:rsid w:val="001F5C05"/>
    <w:rsid w:val="00221D80"/>
    <w:rsid w:val="00285E2B"/>
    <w:rsid w:val="0029094C"/>
    <w:rsid w:val="002A48C3"/>
    <w:rsid w:val="002C7542"/>
    <w:rsid w:val="002E0E7A"/>
    <w:rsid w:val="002E4D07"/>
    <w:rsid w:val="002F0BF1"/>
    <w:rsid w:val="002F572A"/>
    <w:rsid w:val="00307095"/>
    <w:rsid w:val="00321732"/>
    <w:rsid w:val="00334E57"/>
    <w:rsid w:val="003402BE"/>
    <w:rsid w:val="003561E6"/>
    <w:rsid w:val="00366D5E"/>
    <w:rsid w:val="003A1292"/>
    <w:rsid w:val="003D362B"/>
    <w:rsid w:val="003D5BC3"/>
    <w:rsid w:val="003E6B25"/>
    <w:rsid w:val="003E7D88"/>
    <w:rsid w:val="00437583"/>
    <w:rsid w:val="00446035"/>
    <w:rsid w:val="00476ABB"/>
    <w:rsid w:val="00484B61"/>
    <w:rsid w:val="004B60A6"/>
    <w:rsid w:val="004C1D40"/>
    <w:rsid w:val="00503961"/>
    <w:rsid w:val="0051504D"/>
    <w:rsid w:val="00523167"/>
    <w:rsid w:val="00532D0A"/>
    <w:rsid w:val="00541A6C"/>
    <w:rsid w:val="00556E10"/>
    <w:rsid w:val="00593A0A"/>
    <w:rsid w:val="00594DF0"/>
    <w:rsid w:val="005C1DA7"/>
    <w:rsid w:val="005C31EE"/>
    <w:rsid w:val="005E49FC"/>
    <w:rsid w:val="005E5FFD"/>
    <w:rsid w:val="005F3FC8"/>
    <w:rsid w:val="00642528"/>
    <w:rsid w:val="0067618A"/>
    <w:rsid w:val="00684817"/>
    <w:rsid w:val="006869DD"/>
    <w:rsid w:val="006B3CC6"/>
    <w:rsid w:val="00703609"/>
    <w:rsid w:val="00744A1C"/>
    <w:rsid w:val="00754CA6"/>
    <w:rsid w:val="00781117"/>
    <w:rsid w:val="007A1F3C"/>
    <w:rsid w:val="007C1C24"/>
    <w:rsid w:val="008111BE"/>
    <w:rsid w:val="00821BFF"/>
    <w:rsid w:val="00824045"/>
    <w:rsid w:val="008469D1"/>
    <w:rsid w:val="00867006"/>
    <w:rsid w:val="008722F4"/>
    <w:rsid w:val="008B0E18"/>
    <w:rsid w:val="008C4365"/>
    <w:rsid w:val="008F47DB"/>
    <w:rsid w:val="00902969"/>
    <w:rsid w:val="00912AD2"/>
    <w:rsid w:val="00923EB7"/>
    <w:rsid w:val="0092549B"/>
    <w:rsid w:val="0099654E"/>
    <w:rsid w:val="009A0115"/>
    <w:rsid w:val="009C7D8E"/>
    <w:rsid w:val="009F27B8"/>
    <w:rsid w:val="00A45D61"/>
    <w:rsid w:val="00A56E12"/>
    <w:rsid w:val="00A7133C"/>
    <w:rsid w:val="00A81F9D"/>
    <w:rsid w:val="00A91798"/>
    <w:rsid w:val="00A92B3C"/>
    <w:rsid w:val="00AC4142"/>
    <w:rsid w:val="00B1374A"/>
    <w:rsid w:val="00B9115A"/>
    <w:rsid w:val="00C03D4E"/>
    <w:rsid w:val="00C56020"/>
    <w:rsid w:val="00C6098F"/>
    <w:rsid w:val="00CE5C77"/>
    <w:rsid w:val="00D22DC4"/>
    <w:rsid w:val="00D64DCA"/>
    <w:rsid w:val="00D879E4"/>
    <w:rsid w:val="00DC4E6F"/>
    <w:rsid w:val="00DE6C02"/>
    <w:rsid w:val="00DE7134"/>
    <w:rsid w:val="00E11C27"/>
    <w:rsid w:val="00E24A37"/>
    <w:rsid w:val="00E34AFD"/>
    <w:rsid w:val="00E369C1"/>
    <w:rsid w:val="00E64B8D"/>
    <w:rsid w:val="00E653DB"/>
    <w:rsid w:val="00EA6D67"/>
    <w:rsid w:val="00ED3FF1"/>
    <w:rsid w:val="00EE0F93"/>
    <w:rsid w:val="00F04EF9"/>
    <w:rsid w:val="00F05B01"/>
    <w:rsid w:val="00F2071F"/>
    <w:rsid w:val="00F223BA"/>
    <w:rsid w:val="00F51F34"/>
    <w:rsid w:val="00F72430"/>
    <w:rsid w:val="00F72AF5"/>
    <w:rsid w:val="00F84421"/>
    <w:rsid w:val="00FB587A"/>
    <w:rsid w:val="00FC26AD"/>
    <w:rsid w:val="00FD73B5"/>
    <w:rsid w:val="00FE0070"/>
    <w:rsid w:val="0119349C"/>
    <w:rsid w:val="01731F59"/>
    <w:rsid w:val="01D74BA7"/>
    <w:rsid w:val="0259220A"/>
    <w:rsid w:val="029C0D5B"/>
    <w:rsid w:val="03CC5DA2"/>
    <w:rsid w:val="04E0078F"/>
    <w:rsid w:val="052543F8"/>
    <w:rsid w:val="06584A58"/>
    <w:rsid w:val="06DF670C"/>
    <w:rsid w:val="07247A18"/>
    <w:rsid w:val="07D353F5"/>
    <w:rsid w:val="09370A82"/>
    <w:rsid w:val="0943339B"/>
    <w:rsid w:val="0AE424E2"/>
    <w:rsid w:val="0C1E29DC"/>
    <w:rsid w:val="0C911BC1"/>
    <w:rsid w:val="0CC82E21"/>
    <w:rsid w:val="0D886B39"/>
    <w:rsid w:val="0ECA6CD3"/>
    <w:rsid w:val="10070535"/>
    <w:rsid w:val="10236789"/>
    <w:rsid w:val="114803C6"/>
    <w:rsid w:val="121E18FB"/>
    <w:rsid w:val="124A6B7C"/>
    <w:rsid w:val="13904C94"/>
    <w:rsid w:val="14685729"/>
    <w:rsid w:val="14F11E6B"/>
    <w:rsid w:val="1520665C"/>
    <w:rsid w:val="16044220"/>
    <w:rsid w:val="16177A92"/>
    <w:rsid w:val="165420AC"/>
    <w:rsid w:val="168B097A"/>
    <w:rsid w:val="16ED206B"/>
    <w:rsid w:val="17605846"/>
    <w:rsid w:val="176D0862"/>
    <w:rsid w:val="17AF4F5B"/>
    <w:rsid w:val="17B61CF8"/>
    <w:rsid w:val="17D35F57"/>
    <w:rsid w:val="18D1237B"/>
    <w:rsid w:val="194C34A6"/>
    <w:rsid w:val="196B2135"/>
    <w:rsid w:val="19C0202E"/>
    <w:rsid w:val="1A5C001D"/>
    <w:rsid w:val="1AA11227"/>
    <w:rsid w:val="1AF46605"/>
    <w:rsid w:val="1B2F424B"/>
    <w:rsid w:val="1B4B53D7"/>
    <w:rsid w:val="1BC04297"/>
    <w:rsid w:val="1C52408E"/>
    <w:rsid w:val="1CCD09C7"/>
    <w:rsid w:val="1DAF21CC"/>
    <w:rsid w:val="1DC778D7"/>
    <w:rsid w:val="1FC97F9E"/>
    <w:rsid w:val="20DA14D5"/>
    <w:rsid w:val="21727AF4"/>
    <w:rsid w:val="248A4D55"/>
    <w:rsid w:val="24B7143C"/>
    <w:rsid w:val="25E41E15"/>
    <w:rsid w:val="2628734F"/>
    <w:rsid w:val="291361EF"/>
    <w:rsid w:val="293C27E2"/>
    <w:rsid w:val="29B001E8"/>
    <w:rsid w:val="29DA48FB"/>
    <w:rsid w:val="2A5E5745"/>
    <w:rsid w:val="2A84020D"/>
    <w:rsid w:val="2B9E7B75"/>
    <w:rsid w:val="2C7C6E0C"/>
    <w:rsid w:val="2CC14DD1"/>
    <w:rsid w:val="2D3A5336"/>
    <w:rsid w:val="2D4E74CD"/>
    <w:rsid w:val="2EB519C9"/>
    <w:rsid w:val="2EE64D96"/>
    <w:rsid w:val="2F2E141D"/>
    <w:rsid w:val="2F6E49EA"/>
    <w:rsid w:val="2F824C96"/>
    <w:rsid w:val="30433476"/>
    <w:rsid w:val="311A096D"/>
    <w:rsid w:val="315B45E7"/>
    <w:rsid w:val="31FA77DC"/>
    <w:rsid w:val="32010995"/>
    <w:rsid w:val="32F26A5B"/>
    <w:rsid w:val="34521CE7"/>
    <w:rsid w:val="35CA7AC4"/>
    <w:rsid w:val="36021233"/>
    <w:rsid w:val="37275D95"/>
    <w:rsid w:val="38435BC0"/>
    <w:rsid w:val="38A47C7D"/>
    <w:rsid w:val="396C04AA"/>
    <w:rsid w:val="39981EC1"/>
    <w:rsid w:val="3A652367"/>
    <w:rsid w:val="3B9B1822"/>
    <w:rsid w:val="3C024D77"/>
    <w:rsid w:val="3C293CF5"/>
    <w:rsid w:val="3D064D55"/>
    <w:rsid w:val="3D570FF4"/>
    <w:rsid w:val="3D5A38F6"/>
    <w:rsid w:val="3F0D07A1"/>
    <w:rsid w:val="40FB066E"/>
    <w:rsid w:val="416F2B42"/>
    <w:rsid w:val="41DA2404"/>
    <w:rsid w:val="44401FB8"/>
    <w:rsid w:val="45A45754"/>
    <w:rsid w:val="45FD33AC"/>
    <w:rsid w:val="464D3D06"/>
    <w:rsid w:val="469701AF"/>
    <w:rsid w:val="471B69F0"/>
    <w:rsid w:val="47232B44"/>
    <w:rsid w:val="474F0154"/>
    <w:rsid w:val="4808375B"/>
    <w:rsid w:val="48A8077D"/>
    <w:rsid w:val="48C22675"/>
    <w:rsid w:val="48F04010"/>
    <w:rsid w:val="49431159"/>
    <w:rsid w:val="49DB735A"/>
    <w:rsid w:val="4A4F6CC5"/>
    <w:rsid w:val="4A7E15E9"/>
    <w:rsid w:val="4BA326CC"/>
    <w:rsid w:val="4BE52B98"/>
    <w:rsid w:val="4C264065"/>
    <w:rsid w:val="4C736A6F"/>
    <w:rsid w:val="4CD34789"/>
    <w:rsid w:val="4EA9205E"/>
    <w:rsid w:val="4F072B79"/>
    <w:rsid w:val="4F521E7D"/>
    <w:rsid w:val="4F6E6EDC"/>
    <w:rsid w:val="4FA40A3B"/>
    <w:rsid w:val="50517078"/>
    <w:rsid w:val="5067719A"/>
    <w:rsid w:val="50C2343D"/>
    <w:rsid w:val="50D86F3E"/>
    <w:rsid w:val="517153C6"/>
    <w:rsid w:val="52B22AD0"/>
    <w:rsid w:val="53237492"/>
    <w:rsid w:val="54D9570B"/>
    <w:rsid w:val="560027C3"/>
    <w:rsid w:val="564C6B77"/>
    <w:rsid w:val="56950AF6"/>
    <w:rsid w:val="57277744"/>
    <w:rsid w:val="584A1C2E"/>
    <w:rsid w:val="58A1747E"/>
    <w:rsid w:val="59301AF9"/>
    <w:rsid w:val="5A7C66EF"/>
    <w:rsid w:val="5D145229"/>
    <w:rsid w:val="5D2D23BA"/>
    <w:rsid w:val="5D456F5C"/>
    <w:rsid w:val="5EBF66CB"/>
    <w:rsid w:val="5F4C5CC2"/>
    <w:rsid w:val="6151573D"/>
    <w:rsid w:val="617123B1"/>
    <w:rsid w:val="61CD1627"/>
    <w:rsid w:val="62042C18"/>
    <w:rsid w:val="65DF314A"/>
    <w:rsid w:val="66EE5684"/>
    <w:rsid w:val="67D32BD4"/>
    <w:rsid w:val="69C87783"/>
    <w:rsid w:val="69F7211C"/>
    <w:rsid w:val="6A695F29"/>
    <w:rsid w:val="6BA540C0"/>
    <w:rsid w:val="6BEB5D49"/>
    <w:rsid w:val="6C820BDC"/>
    <w:rsid w:val="6DEC46F3"/>
    <w:rsid w:val="6E05380A"/>
    <w:rsid w:val="6F5D33A7"/>
    <w:rsid w:val="6F881BC6"/>
    <w:rsid w:val="6FE71E66"/>
    <w:rsid w:val="6FF82B1C"/>
    <w:rsid w:val="704A519F"/>
    <w:rsid w:val="708D1BB3"/>
    <w:rsid w:val="72716421"/>
    <w:rsid w:val="727462F3"/>
    <w:rsid w:val="72F64186"/>
    <w:rsid w:val="730374DF"/>
    <w:rsid w:val="74B306DB"/>
    <w:rsid w:val="74D11B0F"/>
    <w:rsid w:val="75BB36AC"/>
    <w:rsid w:val="75D5506B"/>
    <w:rsid w:val="75E17A28"/>
    <w:rsid w:val="76094BCD"/>
    <w:rsid w:val="76BF60F1"/>
    <w:rsid w:val="77C15345"/>
    <w:rsid w:val="79C3220F"/>
    <w:rsid w:val="7A92030B"/>
    <w:rsid w:val="7AE40C6A"/>
    <w:rsid w:val="7AFE5FC7"/>
    <w:rsid w:val="7C48370F"/>
    <w:rsid w:val="7CD74E5A"/>
    <w:rsid w:val="7CFC7160"/>
    <w:rsid w:val="7D4322F8"/>
    <w:rsid w:val="7D4C758F"/>
    <w:rsid w:val="7E443A42"/>
    <w:rsid w:val="7E4F76CF"/>
    <w:rsid w:val="7FD43269"/>
    <w:rsid w:val="7FD7693E"/>
    <w:rsid w:val="7FFD703D"/>
    <w:rsid w:val="7FFE3F9D"/>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styleId="6">
    <w:name w:val="Strong"/>
    <w:basedOn w:val="5"/>
    <w:qFormat/>
    <w:uiPriority w:val="22"/>
    <w:rPr>
      <w:b/>
    </w:rPr>
  </w:style>
  <w:style w:type="character" w:styleId="7">
    <w:name w:val="page number"/>
    <w:basedOn w:val="5"/>
    <w:unhideWhenUsed/>
    <w:qFormat/>
    <w:uiPriority w:val="99"/>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12">
    <w:name w:val="页脚 Char"/>
    <w:basedOn w:val="5"/>
    <w:link w:val="2"/>
    <w:semiHidden/>
    <w:qFormat/>
    <w:uiPriority w:val="99"/>
    <w:rPr>
      <w:rFonts w:asciiTheme="minorHAnsi" w:hAnsiTheme="minorHAnsi" w:eastAsiaTheme="minorEastAsia" w:cstheme="minorBidi"/>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1238</Words>
  <Characters>7063</Characters>
  <Lines>58</Lines>
  <Paragraphs>16</Paragraphs>
  <TotalTime>0</TotalTime>
  <ScaleCrop>false</ScaleCrop>
  <LinksUpToDate>false</LinksUpToDate>
  <CharactersWithSpaces>8285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2017-03-21T06:26:00Z</dcterms:created>
  <dc:creator>Lenovo User</dc:creator>
  <cp:lastModifiedBy>P</cp:lastModifiedBy>
  <cp:lastPrinted>2017-03-27T06:55:00Z</cp:lastPrinted>
  <dcterms:modified xsi:type="dcterms:W3CDTF">2021-06-09T07:12:00Z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