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heme="minorEastAsia" w:hAnsiTheme="minorEastAsia" w:eastAsiaTheme="minorEastAsia" w:cstheme="majorEastAsia"/>
          <w:b/>
          <w:bCs/>
          <w:kern w:val="0"/>
          <w:sz w:val="44"/>
          <w:szCs w:val="44"/>
        </w:rPr>
      </w:pPr>
      <w:r>
        <w:rPr>
          <w:rFonts w:hint="eastAsia" w:asciiTheme="minorEastAsia" w:hAnsiTheme="minorEastAsia" w:eastAsiaTheme="minorEastAsia" w:cstheme="majorEastAsia"/>
          <w:b/>
          <w:bCs/>
          <w:kern w:val="0"/>
          <w:sz w:val="44"/>
          <w:szCs w:val="44"/>
        </w:rPr>
        <w:t>中国人民解放军涞水县人民武装部</w:t>
      </w:r>
    </w:p>
    <w:p>
      <w:pPr>
        <w:spacing w:line="560" w:lineRule="exact"/>
        <w:jc w:val="center"/>
        <w:rPr>
          <w:rFonts w:hint="eastAsia" w:asciiTheme="minorEastAsia" w:hAnsiTheme="minorEastAsia" w:eastAsiaTheme="minorEastAsia"/>
          <w:b/>
          <w:sz w:val="44"/>
          <w:szCs w:val="44"/>
        </w:rPr>
      </w:pPr>
      <w:r>
        <w:rPr>
          <w:rFonts w:asciiTheme="minorEastAsia" w:hAnsiTheme="minorEastAsia" w:eastAsiaTheme="minorEastAsia"/>
          <w:b/>
          <w:sz w:val="44"/>
          <w:szCs w:val="44"/>
        </w:rPr>
        <w:t>20</w:t>
      </w:r>
      <w:r>
        <w:rPr>
          <w:rFonts w:hint="eastAsia" w:asciiTheme="minorEastAsia" w:hAnsiTheme="minorEastAsia" w:eastAsiaTheme="minorEastAsia"/>
          <w:b/>
          <w:sz w:val="44"/>
          <w:szCs w:val="44"/>
        </w:rPr>
        <w:t>20年部门预算公开有关事项的说明</w:t>
      </w:r>
    </w:p>
    <w:p>
      <w:pPr>
        <w:spacing w:line="560" w:lineRule="exact"/>
        <w:jc w:val="center"/>
        <w:rPr>
          <w:rFonts w:hint="eastAsia" w:asciiTheme="minorEastAsia" w:hAnsiTheme="minorEastAsia" w:eastAsiaTheme="minorEastAsia"/>
          <w:b/>
          <w:sz w:val="44"/>
          <w:szCs w:val="44"/>
        </w:rPr>
      </w:pPr>
    </w:p>
    <w:p>
      <w:pPr>
        <w:widowControl/>
        <w:spacing w:line="560" w:lineRule="exac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按照《预算法》、《地方预决算公开操作规程》和《河北省省级预算公开办法》规定，现将涞水县武装部2020年部门预算公开如下：</w:t>
      </w:r>
    </w:p>
    <w:p>
      <w:pPr>
        <w:widowControl/>
        <w:spacing w:line="560" w:lineRule="exact"/>
        <w:rPr>
          <w:rFonts w:ascii="仿宋" w:hAnsi="仿宋" w:eastAsia="仿宋" w:cs="仿宋"/>
          <w:b/>
          <w:bCs/>
          <w:kern w:val="0"/>
          <w:sz w:val="28"/>
          <w:szCs w:val="28"/>
        </w:rPr>
      </w:pPr>
      <w:r>
        <w:rPr>
          <w:rFonts w:hint="eastAsia" w:ascii="黑体" w:hAnsi="黑体" w:eastAsia="黑体" w:cs="黑体"/>
          <w:kern w:val="0"/>
          <w:sz w:val="32"/>
          <w:szCs w:val="32"/>
        </w:rPr>
        <w:t xml:space="preserve">    </w:t>
      </w:r>
      <w:r>
        <w:rPr>
          <w:rFonts w:hint="eastAsia" w:ascii="黑体" w:hAnsi="黑体" w:eastAsia="黑体" w:cs="黑体"/>
          <w:kern w:val="0"/>
          <w:sz w:val="28"/>
          <w:szCs w:val="28"/>
        </w:rPr>
        <w:t>一、部门职责、机构设置等基本情况</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1、部门职责：涞水县人民武装部负责全县的军事工作，主要是民兵、兵役和国防动员工作，是我县的军事领导指挥机关、地方党委的军事部兼县人民政府的兵役机关，是县人民武装委员会的组成单位及其办事机构。主要职责是：</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（一）负责我县民兵、</w:t>
      </w:r>
      <w:r>
        <w:fldChar w:fldCharType="begin"/>
      </w:r>
      <w:r>
        <w:instrText xml:space="preserve"> HYPERLINK "http://baike.baidu.com/view/158572.htm" \t "_blank" </w:instrText>
      </w:r>
      <w:r>
        <w:fldChar w:fldCharType="separate"/>
      </w:r>
      <w:r>
        <w:rPr>
          <w:rFonts w:hint="eastAsia" w:ascii="仿宋" w:hAnsi="仿宋" w:eastAsia="仿宋" w:cs="仿宋"/>
          <w:kern w:val="0"/>
          <w:sz w:val="28"/>
          <w:szCs w:val="28"/>
        </w:rPr>
        <w:t>预备役</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工作，领导县人民武装工作。</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（二）领导全县的民兵组织建设、政治教育和军事训练。</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（三）开展全民国防教育，做好拥军优属和</w:t>
      </w:r>
      <w:r>
        <w:fldChar w:fldCharType="begin"/>
      </w:r>
      <w:r>
        <w:instrText xml:space="preserve"> HYPERLINK "http://baike.baidu.com/view/299867.htm" \t "_blank" </w:instrText>
      </w:r>
      <w:r>
        <w:fldChar w:fldCharType="separate"/>
      </w:r>
      <w:r>
        <w:rPr>
          <w:rFonts w:hint="eastAsia" w:ascii="仿宋" w:hAnsi="仿宋" w:eastAsia="仿宋" w:cs="仿宋"/>
          <w:kern w:val="0"/>
          <w:sz w:val="28"/>
          <w:szCs w:val="28"/>
        </w:rPr>
        <w:t>拥政爱民</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的工作。</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（四）组织带领民兵完成战备执勤、防汛、抢险、救灾等任务，配合公安部门维护社会治安。</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（五）负责民兵和</w:t>
      </w:r>
      <w:r>
        <w:fldChar w:fldCharType="begin"/>
      </w:r>
      <w:r>
        <w:instrText xml:space="preserve"> HYPERLINK "http://baike.baidu.com/view/3366793.htm" \t "_blank" </w:instrText>
      </w:r>
      <w:r>
        <w:fldChar w:fldCharType="separate"/>
      </w:r>
      <w:r>
        <w:rPr>
          <w:rFonts w:hint="eastAsia" w:ascii="仿宋" w:hAnsi="仿宋" w:eastAsia="仿宋" w:cs="仿宋"/>
          <w:kern w:val="0"/>
          <w:sz w:val="28"/>
          <w:szCs w:val="28"/>
        </w:rPr>
        <w:t>预备役人员</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登记、统计工作，保质保量完成征兵任务。</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（六）负责国防动员工作，平时会同有关部门进行战争潜力调查，做好相关动员准备工作；战时负责组织动员民兵参军参战，支援前线、保卫后方和协助组织人口疏散等工作。</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（七）做好我县的军事设施保护工作。</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（八）完成地方党委、人民政府和上级军事机关交给的其他工作任务。</w:t>
      </w:r>
    </w:p>
    <w:p>
      <w:pPr>
        <w:widowControl/>
        <w:spacing w:line="560" w:lineRule="exact"/>
        <w:ind w:firstLine="645"/>
        <w:rPr>
          <w:rFonts w:ascii="仿宋" w:hAnsi="仿宋" w:eastAsia="仿宋" w:cs="仿宋"/>
          <w:kern w:val="0"/>
          <w:sz w:val="28"/>
          <w:szCs w:val="28"/>
        </w:rPr>
      </w:pPr>
      <w:r>
        <w:rPr>
          <w:rFonts w:hint="eastAsia" w:ascii="仿宋" w:hAnsi="仿宋" w:eastAsia="仿宋" w:cs="仿宋"/>
          <w:kern w:val="0"/>
          <w:sz w:val="28"/>
          <w:szCs w:val="28"/>
        </w:rPr>
        <w:t>2、机构设置：</w:t>
      </w:r>
    </w:p>
    <w:p>
      <w:pPr>
        <w:widowControl/>
        <w:spacing w:line="560" w:lineRule="exact"/>
        <w:ind w:firstLine="645"/>
        <w:rPr>
          <w:rFonts w:ascii="仿宋" w:hAnsi="仿宋" w:eastAsia="仿宋" w:cs="仿宋"/>
          <w:kern w:val="0"/>
          <w:sz w:val="28"/>
          <w:szCs w:val="28"/>
        </w:rPr>
      </w:pPr>
    </w:p>
    <w:p>
      <w:pPr>
        <w:widowControl/>
        <w:spacing w:line="560" w:lineRule="exact"/>
        <w:ind w:firstLine="645"/>
        <w:rPr>
          <w:rFonts w:ascii="仿宋" w:hAnsi="仿宋" w:eastAsia="仿宋" w:cs="仿宋"/>
          <w:kern w:val="0"/>
          <w:sz w:val="28"/>
          <w:szCs w:val="28"/>
        </w:rPr>
      </w:pPr>
    </w:p>
    <w:p>
      <w:pPr>
        <w:widowControl/>
        <w:spacing w:line="560" w:lineRule="exact"/>
        <w:ind w:firstLine="645"/>
        <w:rPr>
          <w:rFonts w:ascii="仿宋" w:hAnsi="仿宋" w:eastAsia="仿宋" w:cs="仿宋"/>
          <w:kern w:val="0"/>
          <w:sz w:val="28"/>
          <w:szCs w:val="28"/>
        </w:rPr>
      </w:pPr>
    </w:p>
    <w:p>
      <w:pPr>
        <w:widowControl/>
        <w:spacing w:line="560" w:lineRule="exact"/>
        <w:ind w:firstLine="645"/>
        <w:rPr>
          <w:rFonts w:ascii="仿宋" w:hAnsi="仿宋" w:eastAsia="仿宋" w:cs="仿宋"/>
          <w:kern w:val="0"/>
          <w:sz w:val="28"/>
          <w:szCs w:val="28"/>
        </w:rPr>
      </w:pPr>
    </w:p>
    <w:tbl>
      <w:tblPr>
        <w:tblStyle w:val="7"/>
        <w:tblW w:w="9200" w:type="dxa"/>
        <w:tblInd w:w="93" w:type="dxa"/>
        <w:tblLayout w:type="fixed"/>
        <w:tblCellMar>
          <w:top w:w="0" w:type="dxa"/>
          <w:left w:w="108" w:type="dxa"/>
          <w:bottom w:w="0" w:type="dxa"/>
          <w:right w:w="108" w:type="dxa"/>
        </w:tblCellMar>
      </w:tblPr>
      <w:tblGrid>
        <w:gridCol w:w="1014"/>
        <w:gridCol w:w="2179"/>
        <w:gridCol w:w="1991"/>
        <w:gridCol w:w="1785"/>
        <w:gridCol w:w="2231"/>
      </w:tblGrid>
      <w:tr>
        <w:tblPrEx>
          <w:tblLayout w:type="fixed"/>
          <w:tblCellMar>
            <w:top w:w="0" w:type="dxa"/>
            <w:left w:w="108" w:type="dxa"/>
            <w:bottom w:w="0" w:type="dxa"/>
            <w:right w:w="108" w:type="dxa"/>
          </w:tblCellMar>
        </w:tblPrEx>
        <w:trPr>
          <w:trHeight w:val="803" w:hRule="atLeast"/>
        </w:trPr>
        <w:tc>
          <w:tcPr>
            <w:tcW w:w="9200" w:type="dxa"/>
            <w:gridSpan w:val="5"/>
            <w:tcBorders>
              <w:top w:val="nil"/>
              <w:left w:val="nil"/>
              <w:bottom w:val="single" w:color="auto" w:sz="4" w:space="0"/>
              <w:right w:val="nil"/>
            </w:tcBorders>
            <w:shd w:val="clear" w:color="auto" w:fill="auto"/>
            <w:vAlign w:val="center"/>
          </w:tcPr>
          <w:p>
            <w:pPr>
              <w:widowControl/>
              <w:spacing w:line="560" w:lineRule="exact"/>
              <w:jc w:val="center"/>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部门机构设置情况</w:t>
            </w:r>
          </w:p>
        </w:tc>
      </w:tr>
      <w:tr>
        <w:tblPrEx>
          <w:tblLayout w:type="fixed"/>
          <w:tblCellMar>
            <w:top w:w="0" w:type="dxa"/>
            <w:left w:w="108" w:type="dxa"/>
            <w:bottom w:w="0" w:type="dxa"/>
            <w:right w:w="108" w:type="dxa"/>
          </w:tblCellMar>
        </w:tblPrEx>
        <w:trPr>
          <w:trHeight w:val="724" w:hRule="atLeast"/>
        </w:trPr>
        <w:tc>
          <w:tcPr>
            <w:tcW w:w="101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序号</w:t>
            </w:r>
          </w:p>
        </w:tc>
        <w:tc>
          <w:tcPr>
            <w:tcW w:w="217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单位名称</w:t>
            </w:r>
          </w:p>
        </w:tc>
        <w:tc>
          <w:tcPr>
            <w:tcW w:w="199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单位性质</w:t>
            </w:r>
          </w:p>
        </w:tc>
        <w:tc>
          <w:tcPr>
            <w:tcW w:w="17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单位规格</w:t>
            </w:r>
          </w:p>
        </w:tc>
        <w:tc>
          <w:tcPr>
            <w:tcW w:w="223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经费保障形式</w:t>
            </w:r>
          </w:p>
        </w:tc>
      </w:tr>
      <w:tr>
        <w:tblPrEx>
          <w:tblLayout w:type="fixed"/>
          <w:tblCellMar>
            <w:top w:w="0" w:type="dxa"/>
            <w:left w:w="108" w:type="dxa"/>
            <w:bottom w:w="0" w:type="dxa"/>
            <w:right w:w="108" w:type="dxa"/>
          </w:tblCellMar>
        </w:tblPrEx>
        <w:trPr>
          <w:trHeight w:val="560" w:hRule="atLeast"/>
        </w:trPr>
        <w:tc>
          <w:tcPr>
            <w:tcW w:w="1014"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cs="宋体" w:asciiTheme="minorEastAsia" w:hAnsiTheme="minorEastAsia" w:eastAsiaTheme="minorEastAsia"/>
                <w:color w:val="000000"/>
                <w:kern w:val="0"/>
                <w:sz w:val="28"/>
                <w:szCs w:val="28"/>
              </w:rPr>
            </w:pPr>
          </w:p>
        </w:tc>
        <w:tc>
          <w:tcPr>
            <w:tcW w:w="2179"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cs="宋体" w:asciiTheme="minorEastAsia" w:hAnsiTheme="minorEastAsia" w:eastAsiaTheme="minorEastAsia"/>
                <w:color w:val="000000"/>
                <w:kern w:val="0"/>
                <w:sz w:val="28"/>
                <w:szCs w:val="28"/>
              </w:rPr>
            </w:pPr>
          </w:p>
        </w:tc>
        <w:tc>
          <w:tcPr>
            <w:tcW w:w="1991"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cs="宋体" w:asciiTheme="minorEastAsia" w:hAnsiTheme="minorEastAsia" w:eastAsiaTheme="minorEastAsia"/>
                <w:color w:val="000000"/>
                <w:kern w:val="0"/>
                <w:sz w:val="28"/>
                <w:szCs w:val="28"/>
              </w:rPr>
            </w:pPr>
          </w:p>
        </w:tc>
        <w:tc>
          <w:tcPr>
            <w:tcW w:w="1785"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cs="宋体" w:asciiTheme="minorEastAsia" w:hAnsiTheme="minorEastAsia" w:eastAsiaTheme="minorEastAsia"/>
                <w:color w:val="000000"/>
                <w:kern w:val="0"/>
                <w:sz w:val="28"/>
                <w:szCs w:val="28"/>
              </w:rPr>
            </w:pPr>
          </w:p>
        </w:tc>
        <w:tc>
          <w:tcPr>
            <w:tcW w:w="2231"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cs="宋体" w:asciiTheme="minorEastAsia" w:hAnsiTheme="minorEastAsia" w:eastAsiaTheme="minorEastAsia"/>
                <w:color w:val="000000"/>
                <w:kern w:val="0"/>
                <w:sz w:val="28"/>
                <w:szCs w:val="28"/>
              </w:rPr>
            </w:pPr>
          </w:p>
        </w:tc>
      </w:tr>
      <w:tr>
        <w:tblPrEx>
          <w:tblLayout w:type="fixed"/>
          <w:tblCellMar>
            <w:top w:w="0" w:type="dxa"/>
            <w:left w:w="108" w:type="dxa"/>
            <w:bottom w:w="0" w:type="dxa"/>
            <w:right w:w="108" w:type="dxa"/>
          </w:tblCellMar>
        </w:tblPrEx>
        <w:trPr>
          <w:trHeight w:val="1257" w:hRule="atLeast"/>
        </w:trPr>
        <w:tc>
          <w:tcPr>
            <w:tcW w:w="1014"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1</w:t>
            </w:r>
          </w:p>
        </w:tc>
        <w:tc>
          <w:tcPr>
            <w:tcW w:w="217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ascii="仿宋" w:hAnsi="仿宋" w:eastAsia="仿宋" w:cs="仿宋"/>
                <w:kern w:val="0"/>
                <w:sz w:val="28"/>
                <w:szCs w:val="28"/>
              </w:rPr>
              <w:t>中国人民解放军河北省涞水县人民武装部</w:t>
            </w:r>
          </w:p>
        </w:tc>
        <w:tc>
          <w:tcPr>
            <w:tcW w:w="199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行政</w:t>
            </w:r>
          </w:p>
        </w:tc>
        <w:tc>
          <w:tcPr>
            <w:tcW w:w="178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正处级</w:t>
            </w:r>
          </w:p>
        </w:tc>
        <w:tc>
          <w:tcPr>
            <w:tcW w:w="223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财政拨款</w:t>
            </w:r>
          </w:p>
        </w:tc>
      </w:tr>
    </w:tbl>
    <w:p>
      <w:pPr>
        <w:widowControl/>
        <w:spacing w:line="560" w:lineRule="exact"/>
        <w:ind w:firstLine="645"/>
        <w:rPr>
          <w:rFonts w:ascii="仿宋" w:hAnsi="仿宋" w:eastAsia="仿宋" w:cs="仿宋"/>
          <w:kern w:val="0"/>
          <w:sz w:val="28"/>
          <w:szCs w:val="28"/>
        </w:rPr>
      </w:pPr>
      <w:r>
        <w:rPr>
          <w:rFonts w:hint="eastAsia" w:ascii="仿宋" w:hAnsi="仿宋" w:eastAsia="仿宋" w:cs="仿宋"/>
          <w:kern w:val="0"/>
          <w:sz w:val="28"/>
          <w:szCs w:val="28"/>
        </w:rPr>
        <w:t>涞水县人民武装部下设军事科、政工科、后勤科为部队编制，另有国防教育办公室和民兵训练基地为地方编制。</w:t>
      </w:r>
    </w:p>
    <w:p>
      <w:pPr>
        <w:widowControl/>
        <w:spacing w:line="560" w:lineRule="exact"/>
        <w:ind w:firstLine="551" w:firstLineChars="196"/>
        <w:rPr>
          <w:rFonts w:ascii="仿宋" w:hAnsi="仿宋" w:eastAsia="仿宋" w:cs="仿宋"/>
          <w:b/>
          <w:bCs/>
          <w:kern w:val="0"/>
          <w:sz w:val="28"/>
          <w:szCs w:val="28"/>
        </w:rPr>
      </w:pPr>
      <w:r>
        <w:rPr>
          <w:rFonts w:hint="eastAsia" w:ascii="黑体" w:hAnsi="黑体" w:eastAsia="黑体" w:cs="黑体"/>
          <w:b/>
          <w:bCs/>
          <w:kern w:val="0"/>
          <w:sz w:val="28"/>
          <w:szCs w:val="28"/>
        </w:rPr>
        <w:t>二、部门预算安排总体情况</w:t>
      </w:r>
    </w:p>
    <w:p>
      <w:pPr>
        <w:widowControl/>
        <w:spacing w:line="560" w:lineRule="exact"/>
        <w:ind w:firstLine="640"/>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（一）收入情况</w:t>
      </w:r>
    </w:p>
    <w:p>
      <w:pPr>
        <w:widowControl/>
        <w:spacing w:line="560" w:lineRule="exact"/>
        <w:ind w:firstLine="640"/>
        <w:rPr>
          <w:rFonts w:hint="eastAsia" w:ascii="仿宋" w:hAnsi="仿宋" w:eastAsia="仿宋" w:cs="仿宋"/>
          <w:kern w:val="0"/>
          <w:sz w:val="28"/>
          <w:szCs w:val="28"/>
        </w:rPr>
      </w:pPr>
      <w:r>
        <w:rPr>
          <w:rFonts w:hint="eastAsia" w:ascii="仿宋" w:hAnsi="仿宋" w:eastAsia="仿宋" w:cs="仿宋"/>
          <w:kern w:val="0"/>
          <w:sz w:val="28"/>
          <w:szCs w:val="28"/>
        </w:rPr>
        <w:t>2020年部门预算总收入</w:t>
      </w:r>
      <w:r>
        <w:rPr>
          <w:rFonts w:hint="eastAsia" w:ascii="仿宋" w:hAnsi="仿宋" w:eastAsia="仿宋" w:cs="仿宋"/>
          <w:kern w:val="0"/>
          <w:sz w:val="28"/>
          <w:szCs w:val="28"/>
          <w:lang w:val="en-US" w:eastAsia="zh-CN"/>
        </w:rPr>
        <w:t>237.58万元，其中；</w:t>
      </w:r>
      <w:r>
        <w:rPr>
          <w:rFonts w:hint="eastAsia" w:ascii="仿宋" w:hAnsi="仿宋" w:eastAsia="仿宋" w:cs="仿宋"/>
          <w:kern w:val="0"/>
          <w:sz w:val="28"/>
          <w:szCs w:val="28"/>
        </w:rPr>
        <w:t>一般</w:t>
      </w:r>
      <w:r>
        <w:rPr>
          <w:rFonts w:hint="eastAsia" w:ascii="仿宋" w:hAnsi="仿宋" w:eastAsia="仿宋" w:cs="仿宋"/>
          <w:kern w:val="0"/>
          <w:sz w:val="28"/>
          <w:szCs w:val="28"/>
          <w:lang w:eastAsia="zh-CN"/>
        </w:rPr>
        <w:t>公共</w:t>
      </w:r>
      <w:r>
        <w:rPr>
          <w:rFonts w:hint="eastAsia" w:ascii="仿宋" w:hAnsi="仿宋" w:eastAsia="仿宋" w:cs="仿宋"/>
          <w:kern w:val="0"/>
          <w:sz w:val="28"/>
          <w:szCs w:val="28"/>
        </w:rPr>
        <w:t>预算拨款</w:t>
      </w:r>
      <w:r>
        <w:rPr>
          <w:rFonts w:hint="eastAsia" w:ascii="仿宋" w:hAnsi="仿宋" w:eastAsia="仿宋" w:cs="仿宋"/>
          <w:kern w:val="0"/>
          <w:sz w:val="28"/>
          <w:szCs w:val="28"/>
          <w:lang w:eastAsia="zh-CN"/>
        </w:rPr>
        <w:t>收入</w:t>
      </w:r>
      <w:r>
        <w:rPr>
          <w:rFonts w:hint="eastAsia" w:ascii="仿宋" w:hAnsi="仿宋" w:eastAsia="仿宋" w:cs="仿宋"/>
          <w:kern w:val="0"/>
          <w:sz w:val="28"/>
          <w:szCs w:val="28"/>
        </w:rPr>
        <w:t>237.58万元</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zh-CN"/>
        </w:rPr>
        <w:t>基金预算收入0 万元 ，财政专户核拨收入 0 万元，其他来源收入  0 万元</w:t>
      </w:r>
      <w:r>
        <w:rPr>
          <w:rFonts w:hint="eastAsia" w:ascii="仿宋" w:hAnsi="仿宋" w:eastAsia="仿宋" w:cs="仿宋"/>
          <w:kern w:val="0"/>
          <w:sz w:val="28"/>
          <w:szCs w:val="28"/>
        </w:rPr>
        <w:t>。</w:t>
      </w:r>
    </w:p>
    <w:p>
      <w:pPr>
        <w:widowControl/>
        <w:numPr>
          <w:ilvl w:val="0"/>
          <w:numId w:val="1"/>
        </w:numPr>
        <w:spacing w:line="560" w:lineRule="exact"/>
        <w:ind w:firstLine="640"/>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支出情况</w:t>
      </w:r>
    </w:p>
    <w:p>
      <w:pPr>
        <w:widowControl/>
        <w:numPr>
          <w:numId w:val="0"/>
        </w:numPr>
        <w:spacing w:line="560" w:lineRule="exact"/>
        <w:rPr>
          <w:rFonts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2020年部门预算总支出237.58万元。其中基本支出121.63万元，项目支出115.95万元。</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1、基本支出121.63万元，其中：人员经费合计111.61万元，含工资福利支出111.61万元、个人和家庭的补助0万元；日常公用经费合计10.02万元，含基础定额项目7.76万元、按规定比例计提项目2.26万元。</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2、项目支出115.95万元，其中民兵应急力量建设5万元、新征集入伍10万元、年度征兵奖励经费30.95万元、综合办公70万元。</w:t>
      </w:r>
    </w:p>
    <w:p>
      <w:pPr>
        <w:widowControl/>
        <w:spacing w:line="560" w:lineRule="exact"/>
        <w:ind w:firstLine="640"/>
        <w:rPr>
          <w:rFonts w:ascii="仿宋" w:hAnsi="仿宋" w:eastAsia="仿宋" w:cs="仿宋"/>
          <w:kern w:val="0"/>
          <w:sz w:val="28"/>
          <w:szCs w:val="28"/>
        </w:rPr>
      </w:pPr>
      <w:r>
        <w:rPr>
          <w:rFonts w:hint="eastAsia" w:ascii="仿宋" w:hAnsi="仿宋" w:eastAsia="仿宋" w:cs="仿宋"/>
          <w:kern w:val="0"/>
          <w:sz w:val="28"/>
          <w:szCs w:val="28"/>
          <w:lang w:eastAsia="zh-CN"/>
        </w:rPr>
        <w:t>（三）</w:t>
      </w:r>
      <w:bookmarkStart w:id="5" w:name="_GoBack"/>
      <w:bookmarkEnd w:id="5"/>
      <w:r>
        <w:rPr>
          <w:rFonts w:hint="eastAsia" w:ascii="仿宋" w:hAnsi="仿宋" w:eastAsia="仿宋" w:cs="仿宋"/>
          <w:kern w:val="0"/>
          <w:sz w:val="28"/>
          <w:szCs w:val="28"/>
        </w:rPr>
        <w:t>比上年增减情况</w:t>
      </w:r>
    </w:p>
    <w:p>
      <w:pPr>
        <w:widowControl/>
        <w:spacing w:line="560" w:lineRule="exact"/>
        <w:ind w:firstLine="640"/>
        <w:rPr>
          <w:rFonts w:ascii="仿宋" w:hAnsi="仿宋" w:eastAsia="仿宋" w:cs="仿宋"/>
          <w:kern w:val="0"/>
          <w:sz w:val="28"/>
          <w:szCs w:val="28"/>
        </w:rPr>
      </w:pPr>
      <w:r>
        <w:rPr>
          <w:rFonts w:hint="eastAsia" w:ascii="仿宋" w:hAnsi="仿宋" w:eastAsia="仿宋" w:cs="仿宋"/>
          <w:kern w:val="0"/>
          <w:sz w:val="28"/>
          <w:szCs w:val="28"/>
        </w:rPr>
        <w:t>本年度预算支出237.58万元，较上年减少了42.55万元，主要减少了在项目经费中的征兵奖励经费、应急力量建设经费和国防工程建设经费等预算，基本</w:t>
      </w:r>
      <w:r>
        <w:rPr>
          <w:rFonts w:ascii="仿宋" w:hAnsi="仿宋" w:eastAsia="仿宋" w:cs="仿宋"/>
          <w:kern w:val="0"/>
          <w:sz w:val="28"/>
          <w:szCs w:val="28"/>
        </w:rPr>
        <w:t>支出</w:t>
      </w:r>
      <w:r>
        <w:rPr>
          <w:rFonts w:hint="eastAsia" w:ascii="仿宋" w:hAnsi="仿宋" w:eastAsia="仿宋" w:cs="仿宋"/>
          <w:kern w:val="0"/>
          <w:sz w:val="28"/>
          <w:szCs w:val="28"/>
        </w:rPr>
        <w:t>除工资</w:t>
      </w:r>
      <w:r>
        <w:rPr>
          <w:rFonts w:ascii="仿宋" w:hAnsi="仿宋" w:eastAsia="仿宋" w:cs="仿宋"/>
          <w:kern w:val="0"/>
          <w:sz w:val="28"/>
          <w:szCs w:val="28"/>
        </w:rPr>
        <w:t>调整</w:t>
      </w:r>
      <w:r>
        <w:rPr>
          <w:rFonts w:hint="eastAsia" w:ascii="仿宋" w:hAnsi="仿宋" w:eastAsia="仿宋" w:cs="仿宋"/>
          <w:kern w:val="0"/>
          <w:sz w:val="28"/>
          <w:szCs w:val="28"/>
        </w:rPr>
        <w:t>外</w:t>
      </w:r>
      <w:r>
        <w:rPr>
          <w:rFonts w:ascii="仿宋" w:hAnsi="仿宋" w:eastAsia="仿宋" w:cs="仿宋"/>
          <w:kern w:val="0"/>
          <w:sz w:val="28"/>
          <w:szCs w:val="28"/>
        </w:rPr>
        <w:t>其他与上年</w:t>
      </w:r>
      <w:r>
        <w:rPr>
          <w:rFonts w:hint="eastAsia" w:ascii="仿宋" w:hAnsi="仿宋" w:eastAsia="仿宋" w:cs="仿宋"/>
          <w:kern w:val="0"/>
          <w:sz w:val="28"/>
          <w:szCs w:val="28"/>
        </w:rPr>
        <w:t>基本一致。</w:t>
      </w:r>
    </w:p>
    <w:p>
      <w:pPr>
        <w:widowControl/>
        <w:spacing w:line="560" w:lineRule="exact"/>
        <w:ind w:firstLine="551" w:firstLineChars="196"/>
        <w:rPr>
          <w:rFonts w:ascii="仿宋" w:hAnsi="仿宋" w:eastAsia="仿宋" w:cs="仿宋"/>
          <w:b/>
          <w:bCs/>
          <w:kern w:val="0"/>
          <w:sz w:val="28"/>
          <w:szCs w:val="28"/>
        </w:rPr>
      </w:pPr>
      <w:r>
        <w:rPr>
          <w:rFonts w:hint="eastAsia" w:ascii="黑体" w:hAnsi="黑体" w:eastAsia="黑体" w:cs="黑体"/>
          <w:b/>
          <w:bCs/>
          <w:kern w:val="0"/>
          <w:sz w:val="28"/>
          <w:szCs w:val="28"/>
        </w:rPr>
        <w:t>三、机关运行经费安排情况</w:t>
      </w:r>
    </w:p>
    <w:p>
      <w:pPr>
        <w:widowControl/>
        <w:spacing w:line="560" w:lineRule="exact"/>
        <w:rPr>
          <w:rFonts w:ascii="仿宋" w:hAnsi="仿宋" w:eastAsia="仿宋" w:cs="仿宋"/>
          <w:b/>
          <w:bCs/>
          <w:kern w:val="0"/>
          <w:sz w:val="28"/>
          <w:szCs w:val="28"/>
        </w:rPr>
      </w:pPr>
      <w:r>
        <w:rPr>
          <w:rFonts w:hint="eastAsia" w:ascii="仿宋" w:hAnsi="仿宋" w:eastAsia="仿宋" w:cs="仿宋"/>
          <w:kern w:val="0"/>
          <w:sz w:val="28"/>
          <w:szCs w:val="28"/>
        </w:rPr>
        <w:t xml:space="preserve">    日常公用费合计10.02万元，其中：基础定额项目7.76万元，包括四大班子领导办公费5万元、交通补贴2.64万元、离退休人员办公经费0.12万元；按规定比例计提项目2.26万元，包括工会经费0.76万元和职工福利费1.50万元。</w:t>
      </w:r>
    </w:p>
    <w:p>
      <w:pPr>
        <w:widowControl/>
        <w:spacing w:line="560" w:lineRule="exact"/>
        <w:ind w:firstLine="551" w:firstLineChars="196"/>
        <w:rPr>
          <w:rFonts w:ascii="黑体" w:hAnsi="黑体" w:eastAsia="黑体" w:cs="黑体"/>
          <w:kern w:val="0"/>
          <w:sz w:val="28"/>
          <w:szCs w:val="28"/>
        </w:rPr>
      </w:pPr>
      <w:r>
        <w:rPr>
          <w:rFonts w:hint="eastAsia" w:ascii="黑体" w:hAnsi="黑体" w:eastAsia="黑体" w:cs="黑体"/>
          <w:b/>
          <w:bCs/>
          <w:kern w:val="0"/>
          <w:sz w:val="28"/>
          <w:szCs w:val="28"/>
        </w:rPr>
        <w:t>四、财政拨款“三公”经费预算情况</w:t>
      </w:r>
    </w:p>
    <w:p>
      <w:pPr>
        <w:widowControl/>
        <w:spacing w:line="560" w:lineRule="exact"/>
        <w:ind w:firstLine="640"/>
        <w:rPr>
          <w:rFonts w:ascii="仿宋" w:hAnsi="仿宋" w:eastAsia="仿宋" w:cs="仿宋"/>
          <w:kern w:val="0"/>
          <w:sz w:val="28"/>
          <w:szCs w:val="28"/>
        </w:rPr>
      </w:pPr>
      <w:r>
        <w:rPr>
          <w:rFonts w:hint="eastAsia" w:ascii="仿宋" w:hAnsi="仿宋" w:eastAsia="仿宋" w:cs="仿宋"/>
          <w:kern w:val="0"/>
          <w:sz w:val="28"/>
          <w:szCs w:val="28"/>
        </w:rPr>
        <w:t>我部门</w:t>
      </w:r>
      <w:r>
        <w:rPr>
          <w:rFonts w:ascii="仿宋" w:hAnsi="仿宋" w:eastAsia="仿宋" w:cs="仿宋"/>
          <w:kern w:val="0"/>
          <w:sz w:val="28"/>
          <w:szCs w:val="28"/>
        </w:rPr>
        <w:t>属上级军事机关统一</w:t>
      </w:r>
      <w:r>
        <w:rPr>
          <w:rFonts w:hint="eastAsia" w:ascii="仿宋" w:hAnsi="仿宋" w:eastAsia="仿宋" w:cs="仿宋"/>
          <w:kern w:val="0"/>
          <w:sz w:val="28"/>
          <w:szCs w:val="28"/>
        </w:rPr>
        <w:t>管理，在地方财政预算中没有“三公经费”开支情况，空表列示。</w:t>
      </w:r>
    </w:p>
    <w:tbl>
      <w:tblPr>
        <w:tblStyle w:val="7"/>
        <w:tblW w:w="9280" w:type="dxa"/>
        <w:tblInd w:w="-96" w:type="dxa"/>
        <w:tblLayout w:type="fixed"/>
        <w:tblCellMar>
          <w:top w:w="0" w:type="dxa"/>
          <w:left w:w="108" w:type="dxa"/>
          <w:bottom w:w="0" w:type="dxa"/>
          <w:right w:w="108" w:type="dxa"/>
        </w:tblCellMar>
      </w:tblPr>
      <w:tblGrid>
        <w:gridCol w:w="2081"/>
        <w:gridCol w:w="1602"/>
        <w:gridCol w:w="1601"/>
        <w:gridCol w:w="1098"/>
        <w:gridCol w:w="2898"/>
      </w:tblGrid>
      <w:tr>
        <w:tblPrEx>
          <w:tblLayout w:type="fixed"/>
          <w:tblCellMar>
            <w:top w:w="0" w:type="dxa"/>
            <w:left w:w="108" w:type="dxa"/>
            <w:bottom w:w="0" w:type="dxa"/>
            <w:right w:w="108" w:type="dxa"/>
          </w:tblCellMar>
        </w:tblPrEx>
        <w:trPr>
          <w:trHeight w:val="518" w:hRule="atLeast"/>
        </w:trPr>
        <w:tc>
          <w:tcPr>
            <w:tcW w:w="9280" w:type="dxa"/>
            <w:gridSpan w:val="5"/>
            <w:tcBorders>
              <w:top w:val="nil"/>
              <w:left w:val="nil"/>
              <w:bottom w:val="nil"/>
              <w:right w:val="nil"/>
            </w:tcBorders>
            <w:shd w:val="clear" w:color="auto" w:fill="auto"/>
            <w:vAlign w:val="center"/>
          </w:tcPr>
          <w:p>
            <w:pPr>
              <w:widowControl/>
              <w:spacing w:line="560" w:lineRule="exact"/>
              <w:jc w:val="center"/>
              <w:rPr>
                <w:rFonts w:ascii="黑体" w:hAnsi="黑体" w:eastAsia="黑体" w:cs="宋体"/>
                <w:kern w:val="0"/>
                <w:sz w:val="28"/>
                <w:szCs w:val="28"/>
              </w:rPr>
            </w:pPr>
            <w:r>
              <w:rPr>
                <w:rFonts w:hint="eastAsia" w:ascii="黑体" w:hAnsi="黑体" w:eastAsia="黑体"/>
                <w:sz w:val="28"/>
                <w:szCs w:val="28"/>
              </w:rPr>
              <w:t>“三公”经费预算情况及增减变化原因</w:t>
            </w:r>
          </w:p>
        </w:tc>
      </w:tr>
      <w:tr>
        <w:tblPrEx>
          <w:tblLayout w:type="fixed"/>
          <w:tblCellMar>
            <w:top w:w="0" w:type="dxa"/>
            <w:left w:w="108" w:type="dxa"/>
            <w:bottom w:w="0" w:type="dxa"/>
            <w:right w:w="108" w:type="dxa"/>
          </w:tblCellMar>
        </w:tblPrEx>
        <w:trPr>
          <w:trHeight w:val="311" w:hRule="atLeast"/>
        </w:trPr>
        <w:tc>
          <w:tcPr>
            <w:tcW w:w="2081" w:type="dxa"/>
            <w:tcBorders>
              <w:top w:val="nil"/>
              <w:left w:val="nil"/>
              <w:bottom w:val="nil"/>
              <w:right w:val="nil"/>
            </w:tcBorders>
            <w:shd w:val="clear" w:color="auto" w:fill="auto"/>
            <w:vAlign w:val="center"/>
          </w:tcPr>
          <w:p>
            <w:pPr>
              <w:widowControl/>
              <w:spacing w:line="560" w:lineRule="exact"/>
              <w:jc w:val="left"/>
              <w:rPr>
                <w:rFonts w:ascii="宋体" w:hAnsi="宋体" w:cs="宋体"/>
                <w:kern w:val="0"/>
                <w:sz w:val="28"/>
                <w:szCs w:val="28"/>
              </w:rPr>
            </w:pPr>
          </w:p>
        </w:tc>
        <w:tc>
          <w:tcPr>
            <w:tcW w:w="1602" w:type="dxa"/>
            <w:tcBorders>
              <w:top w:val="nil"/>
              <w:left w:val="nil"/>
              <w:bottom w:val="nil"/>
              <w:right w:val="nil"/>
            </w:tcBorders>
            <w:shd w:val="clear" w:color="auto" w:fill="auto"/>
            <w:vAlign w:val="center"/>
          </w:tcPr>
          <w:p>
            <w:pPr>
              <w:widowControl/>
              <w:spacing w:line="560" w:lineRule="exact"/>
              <w:jc w:val="left"/>
              <w:rPr>
                <w:rFonts w:ascii="宋体" w:hAnsi="宋体" w:cs="宋体"/>
                <w:kern w:val="0"/>
                <w:sz w:val="28"/>
                <w:szCs w:val="28"/>
              </w:rPr>
            </w:pPr>
          </w:p>
        </w:tc>
        <w:tc>
          <w:tcPr>
            <w:tcW w:w="1601" w:type="dxa"/>
            <w:tcBorders>
              <w:top w:val="nil"/>
              <w:left w:val="nil"/>
              <w:bottom w:val="nil"/>
              <w:right w:val="nil"/>
            </w:tcBorders>
            <w:shd w:val="clear" w:color="auto" w:fill="auto"/>
            <w:vAlign w:val="center"/>
          </w:tcPr>
          <w:p>
            <w:pPr>
              <w:widowControl/>
              <w:spacing w:line="560" w:lineRule="exact"/>
              <w:jc w:val="left"/>
              <w:rPr>
                <w:rFonts w:ascii="宋体" w:hAnsi="宋体" w:cs="宋体"/>
                <w:kern w:val="0"/>
                <w:sz w:val="28"/>
                <w:szCs w:val="28"/>
              </w:rPr>
            </w:pPr>
          </w:p>
        </w:tc>
        <w:tc>
          <w:tcPr>
            <w:tcW w:w="1098" w:type="dxa"/>
            <w:tcBorders>
              <w:top w:val="nil"/>
              <w:left w:val="nil"/>
              <w:bottom w:val="nil"/>
              <w:right w:val="nil"/>
            </w:tcBorders>
            <w:shd w:val="clear" w:color="auto" w:fill="auto"/>
            <w:vAlign w:val="center"/>
          </w:tcPr>
          <w:p>
            <w:pPr>
              <w:widowControl/>
              <w:spacing w:line="560" w:lineRule="exact"/>
              <w:jc w:val="left"/>
              <w:rPr>
                <w:rFonts w:ascii="宋体" w:hAnsi="宋体" w:cs="宋体"/>
                <w:kern w:val="0"/>
                <w:sz w:val="28"/>
                <w:szCs w:val="28"/>
              </w:rPr>
            </w:pPr>
          </w:p>
        </w:tc>
        <w:tc>
          <w:tcPr>
            <w:tcW w:w="2898" w:type="dxa"/>
            <w:tcBorders>
              <w:top w:val="nil"/>
              <w:left w:val="nil"/>
              <w:bottom w:val="nil"/>
              <w:right w:val="nil"/>
            </w:tcBorders>
            <w:shd w:val="clear" w:color="auto" w:fill="auto"/>
            <w:vAlign w:val="center"/>
          </w:tcPr>
          <w:p>
            <w:pPr>
              <w:widowControl/>
              <w:spacing w:line="560" w:lineRule="exact"/>
              <w:jc w:val="right"/>
              <w:rPr>
                <w:rFonts w:ascii="宋体" w:hAnsi="宋体" w:cs="宋体"/>
                <w:kern w:val="0"/>
                <w:sz w:val="28"/>
                <w:szCs w:val="28"/>
              </w:rPr>
            </w:pPr>
            <w:r>
              <w:rPr>
                <w:rFonts w:hint="eastAsia" w:ascii="宋体" w:hAnsi="宋体" w:cs="宋体"/>
                <w:kern w:val="0"/>
                <w:sz w:val="28"/>
                <w:szCs w:val="28"/>
              </w:rPr>
              <w:t>单位：万元</w:t>
            </w:r>
          </w:p>
        </w:tc>
      </w:tr>
      <w:tr>
        <w:tblPrEx>
          <w:tblLayout w:type="fixed"/>
          <w:tblCellMar>
            <w:top w:w="0" w:type="dxa"/>
            <w:left w:w="108" w:type="dxa"/>
            <w:bottom w:w="0" w:type="dxa"/>
            <w:right w:w="108" w:type="dxa"/>
          </w:tblCellMar>
        </w:tblPrEx>
        <w:trPr>
          <w:trHeight w:val="321" w:hRule="atLeast"/>
        </w:trPr>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项目名称</w:t>
            </w:r>
          </w:p>
        </w:tc>
        <w:tc>
          <w:tcPr>
            <w:tcW w:w="1602"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2019年度预算</w:t>
            </w:r>
          </w:p>
        </w:tc>
        <w:tc>
          <w:tcPr>
            <w:tcW w:w="1601"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2020年度预算</w:t>
            </w:r>
          </w:p>
        </w:tc>
        <w:tc>
          <w:tcPr>
            <w:tcW w:w="109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增减金额</w:t>
            </w:r>
          </w:p>
        </w:tc>
        <w:tc>
          <w:tcPr>
            <w:tcW w:w="2898"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变化原因</w:t>
            </w:r>
          </w:p>
        </w:tc>
      </w:tr>
      <w:tr>
        <w:tblPrEx>
          <w:tblLayout w:type="fixed"/>
          <w:tblCellMar>
            <w:top w:w="0" w:type="dxa"/>
            <w:left w:w="108" w:type="dxa"/>
            <w:bottom w:w="0" w:type="dxa"/>
            <w:right w:w="108" w:type="dxa"/>
          </w:tblCellMar>
        </w:tblPrEx>
        <w:trPr>
          <w:trHeight w:val="321" w:hRule="atLeast"/>
        </w:trPr>
        <w:tc>
          <w:tcPr>
            <w:tcW w:w="2081" w:type="dxa"/>
            <w:tcBorders>
              <w:top w:val="nil"/>
              <w:left w:val="single" w:color="auto" w:sz="4" w:space="0"/>
              <w:bottom w:val="single" w:color="auto" w:sz="4" w:space="0"/>
              <w:right w:val="single" w:color="auto" w:sz="4" w:space="0"/>
            </w:tcBorders>
            <w:shd w:val="clear" w:color="auto" w:fill="auto"/>
          </w:tcPr>
          <w:p>
            <w:pPr>
              <w:snapToGrid w:val="0"/>
              <w:spacing w:line="520" w:lineRule="exact"/>
              <w:jc w:val="center"/>
              <w:rPr>
                <w:rFonts w:ascii="仿宋_GB2312" w:hAnsi="宋体" w:eastAsia="仿宋_GB2312" w:cs="宋体"/>
                <w:kern w:val="0"/>
                <w:szCs w:val="21"/>
              </w:rPr>
            </w:pPr>
            <w:r>
              <w:rPr>
                <w:rFonts w:hint="eastAsia" w:ascii="仿宋" w:hAnsi="仿宋" w:eastAsia="仿宋"/>
                <w:szCs w:val="21"/>
              </w:rPr>
              <w:t>因公出国经费</w:t>
            </w:r>
          </w:p>
        </w:tc>
        <w:tc>
          <w:tcPr>
            <w:tcW w:w="1602"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1601"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1098"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2898"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无增减变化</w:t>
            </w:r>
          </w:p>
        </w:tc>
      </w:tr>
      <w:tr>
        <w:tblPrEx>
          <w:tblLayout w:type="fixed"/>
          <w:tblCellMar>
            <w:top w:w="0" w:type="dxa"/>
            <w:left w:w="108" w:type="dxa"/>
            <w:bottom w:w="0" w:type="dxa"/>
            <w:right w:w="108" w:type="dxa"/>
          </w:tblCellMar>
        </w:tblPrEx>
        <w:trPr>
          <w:trHeight w:val="321" w:hRule="atLeast"/>
        </w:trPr>
        <w:tc>
          <w:tcPr>
            <w:tcW w:w="2081" w:type="dxa"/>
            <w:tcBorders>
              <w:top w:val="nil"/>
              <w:left w:val="single" w:color="auto" w:sz="4" w:space="0"/>
              <w:bottom w:val="single" w:color="auto" w:sz="4" w:space="0"/>
              <w:right w:val="single" w:color="auto" w:sz="4" w:space="0"/>
            </w:tcBorders>
            <w:shd w:val="clear" w:color="auto" w:fill="auto"/>
          </w:tcPr>
          <w:p>
            <w:pPr>
              <w:snapToGrid w:val="0"/>
              <w:spacing w:line="520" w:lineRule="exact"/>
              <w:jc w:val="center"/>
              <w:rPr>
                <w:rFonts w:ascii="仿宋_GB2312" w:hAnsi="宋体" w:eastAsia="仿宋_GB2312" w:cs="宋体"/>
                <w:kern w:val="0"/>
                <w:szCs w:val="21"/>
              </w:rPr>
            </w:pPr>
            <w:r>
              <w:rPr>
                <w:rFonts w:hint="eastAsia" w:ascii="仿宋" w:hAnsi="仿宋" w:eastAsia="仿宋"/>
                <w:szCs w:val="21"/>
              </w:rPr>
              <w:t>公务用车购置经费</w:t>
            </w:r>
          </w:p>
        </w:tc>
        <w:tc>
          <w:tcPr>
            <w:tcW w:w="1602"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1601"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1098"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2898"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无增减变化</w:t>
            </w:r>
          </w:p>
        </w:tc>
      </w:tr>
      <w:tr>
        <w:tblPrEx>
          <w:tblLayout w:type="fixed"/>
          <w:tblCellMar>
            <w:top w:w="0" w:type="dxa"/>
            <w:left w:w="108" w:type="dxa"/>
            <w:bottom w:w="0" w:type="dxa"/>
            <w:right w:w="108" w:type="dxa"/>
          </w:tblCellMar>
        </w:tblPrEx>
        <w:trPr>
          <w:trHeight w:val="321" w:hRule="atLeast"/>
        </w:trPr>
        <w:tc>
          <w:tcPr>
            <w:tcW w:w="2081" w:type="dxa"/>
            <w:tcBorders>
              <w:top w:val="nil"/>
              <w:left w:val="single" w:color="auto" w:sz="4" w:space="0"/>
              <w:bottom w:val="single" w:color="auto" w:sz="4" w:space="0"/>
              <w:right w:val="single" w:color="auto" w:sz="4" w:space="0"/>
            </w:tcBorders>
            <w:shd w:val="clear" w:color="auto" w:fill="auto"/>
          </w:tcPr>
          <w:p>
            <w:pPr>
              <w:snapToGrid w:val="0"/>
              <w:spacing w:line="520" w:lineRule="exact"/>
              <w:jc w:val="center"/>
              <w:rPr>
                <w:rFonts w:ascii="仿宋_GB2312" w:hAnsi="宋体" w:eastAsia="仿宋_GB2312" w:cs="宋体"/>
                <w:kern w:val="0"/>
                <w:szCs w:val="21"/>
              </w:rPr>
            </w:pPr>
            <w:r>
              <w:rPr>
                <w:rFonts w:hint="eastAsia" w:ascii="仿宋" w:hAnsi="仿宋" w:eastAsia="仿宋"/>
                <w:szCs w:val="21"/>
              </w:rPr>
              <w:t>公务用车运行经费</w:t>
            </w:r>
          </w:p>
        </w:tc>
        <w:tc>
          <w:tcPr>
            <w:tcW w:w="1602"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1601"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1098"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2898"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无增减变化</w:t>
            </w:r>
          </w:p>
        </w:tc>
      </w:tr>
      <w:tr>
        <w:tblPrEx>
          <w:tblLayout w:type="fixed"/>
          <w:tblCellMar>
            <w:top w:w="0" w:type="dxa"/>
            <w:left w:w="108" w:type="dxa"/>
            <w:bottom w:w="0" w:type="dxa"/>
            <w:right w:w="108" w:type="dxa"/>
          </w:tblCellMar>
        </w:tblPrEx>
        <w:trPr>
          <w:trHeight w:val="321" w:hRule="atLeast"/>
        </w:trPr>
        <w:tc>
          <w:tcPr>
            <w:tcW w:w="2081" w:type="dxa"/>
            <w:tcBorders>
              <w:top w:val="nil"/>
              <w:left w:val="single" w:color="auto" w:sz="4" w:space="0"/>
              <w:bottom w:val="single" w:color="auto" w:sz="4" w:space="0"/>
              <w:right w:val="single" w:color="auto" w:sz="4" w:space="0"/>
            </w:tcBorders>
            <w:shd w:val="clear" w:color="auto" w:fill="auto"/>
          </w:tcPr>
          <w:p>
            <w:pPr>
              <w:snapToGrid w:val="0"/>
              <w:spacing w:line="520" w:lineRule="exact"/>
              <w:jc w:val="center"/>
              <w:rPr>
                <w:rFonts w:ascii="仿宋_GB2312" w:hAnsi="宋体" w:eastAsia="仿宋_GB2312" w:cs="宋体"/>
                <w:kern w:val="0"/>
                <w:szCs w:val="21"/>
              </w:rPr>
            </w:pPr>
            <w:r>
              <w:rPr>
                <w:rFonts w:hint="eastAsia" w:ascii="仿宋" w:hAnsi="仿宋" w:eastAsia="仿宋"/>
                <w:szCs w:val="21"/>
              </w:rPr>
              <w:t>公务接待费支出</w:t>
            </w:r>
          </w:p>
        </w:tc>
        <w:tc>
          <w:tcPr>
            <w:tcW w:w="1602"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1601"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1098"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0</w:t>
            </w:r>
          </w:p>
        </w:tc>
        <w:tc>
          <w:tcPr>
            <w:tcW w:w="2898"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sz w:val="24"/>
              </w:rPr>
              <w:t>无增减变化</w:t>
            </w:r>
          </w:p>
        </w:tc>
      </w:tr>
      <w:tr>
        <w:tblPrEx>
          <w:tblLayout w:type="fixed"/>
          <w:tblCellMar>
            <w:top w:w="0" w:type="dxa"/>
            <w:left w:w="108" w:type="dxa"/>
            <w:bottom w:w="0" w:type="dxa"/>
            <w:right w:w="108" w:type="dxa"/>
          </w:tblCellMar>
        </w:tblPrEx>
        <w:trPr>
          <w:trHeight w:val="576" w:hRule="atLeast"/>
        </w:trPr>
        <w:tc>
          <w:tcPr>
            <w:tcW w:w="2081"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合计</w:t>
            </w:r>
          </w:p>
        </w:tc>
        <w:tc>
          <w:tcPr>
            <w:tcW w:w="160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kern w:val="0"/>
                <w:sz w:val="28"/>
                <w:szCs w:val="28"/>
              </w:rPr>
            </w:pPr>
          </w:p>
        </w:tc>
        <w:tc>
          <w:tcPr>
            <w:tcW w:w="160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kern w:val="0"/>
                <w:sz w:val="28"/>
                <w:szCs w:val="28"/>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kern w:val="0"/>
                <w:sz w:val="28"/>
                <w:szCs w:val="28"/>
              </w:rPr>
            </w:pPr>
          </w:p>
        </w:tc>
        <w:tc>
          <w:tcPr>
            <w:tcW w:w="2898" w:type="dxa"/>
            <w:tcBorders>
              <w:top w:val="nil"/>
              <w:left w:val="nil"/>
              <w:bottom w:val="single" w:color="auto" w:sz="4" w:space="0"/>
              <w:right w:val="single" w:color="auto" w:sz="4" w:space="0"/>
            </w:tcBorders>
            <w:shd w:val="clear" w:color="auto" w:fill="auto"/>
            <w:vAlign w:val="center"/>
          </w:tcPr>
          <w:p>
            <w:pPr>
              <w:snapToGrid w:val="0"/>
              <w:spacing w:line="520" w:lineRule="exact"/>
              <w:jc w:val="center"/>
              <w:rPr>
                <w:rFonts w:ascii="仿宋_GB2312" w:hAnsi="宋体" w:eastAsia="仿宋_GB2312" w:cs="宋体"/>
                <w:kern w:val="0"/>
                <w:sz w:val="28"/>
                <w:szCs w:val="28"/>
              </w:rPr>
            </w:pPr>
            <w:r>
              <w:rPr>
                <w:rFonts w:hint="eastAsia" w:ascii="仿宋" w:hAnsi="仿宋" w:eastAsia="仿宋" w:cs="仿宋"/>
                <w:kern w:val="0"/>
                <w:szCs w:val="21"/>
              </w:rPr>
              <w:t>我部门</w:t>
            </w:r>
            <w:r>
              <w:rPr>
                <w:rFonts w:ascii="仿宋" w:hAnsi="仿宋" w:eastAsia="仿宋" w:cs="仿宋"/>
                <w:kern w:val="0"/>
                <w:szCs w:val="21"/>
              </w:rPr>
              <w:t>属上级军事机关统一</w:t>
            </w:r>
            <w:r>
              <w:rPr>
                <w:rFonts w:hint="eastAsia" w:ascii="仿宋" w:hAnsi="仿宋" w:eastAsia="仿宋" w:cs="仿宋"/>
                <w:kern w:val="0"/>
                <w:szCs w:val="21"/>
              </w:rPr>
              <w:t>管理在</w:t>
            </w:r>
            <w:r>
              <w:rPr>
                <w:rFonts w:hint="eastAsia" w:ascii="仿宋" w:hAnsi="仿宋" w:eastAsia="仿宋"/>
                <w:szCs w:val="21"/>
              </w:rPr>
              <w:t>地方</w:t>
            </w:r>
            <w:r>
              <w:rPr>
                <w:rFonts w:hint="eastAsia" w:ascii="仿宋" w:hAnsi="仿宋" w:eastAsia="仿宋" w:cs="仿宋"/>
                <w:kern w:val="0"/>
                <w:szCs w:val="21"/>
              </w:rPr>
              <w:t>财政预算中没有“三公经费”开支情况</w:t>
            </w:r>
          </w:p>
        </w:tc>
      </w:tr>
      <w:tr>
        <w:tblPrEx>
          <w:tblLayout w:type="fixed"/>
          <w:tblCellMar>
            <w:top w:w="0" w:type="dxa"/>
            <w:left w:w="108" w:type="dxa"/>
            <w:bottom w:w="0" w:type="dxa"/>
            <w:right w:w="108" w:type="dxa"/>
          </w:tblCellMar>
        </w:tblPrEx>
        <w:trPr>
          <w:trHeight w:val="321" w:hRule="atLeast"/>
        </w:trPr>
        <w:tc>
          <w:tcPr>
            <w:tcW w:w="2081" w:type="dxa"/>
            <w:tcBorders>
              <w:top w:val="nil"/>
              <w:left w:val="nil"/>
              <w:bottom w:val="nil"/>
              <w:right w:val="nil"/>
            </w:tcBorders>
            <w:shd w:val="clear" w:color="auto" w:fill="auto"/>
            <w:vAlign w:val="center"/>
          </w:tcPr>
          <w:p>
            <w:pPr>
              <w:widowControl/>
              <w:spacing w:line="560" w:lineRule="exact"/>
              <w:jc w:val="left"/>
              <w:rPr>
                <w:rFonts w:ascii="宋体" w:hAnsi="宋体" w:cs="宋体"/>
                <w:kern w:val="0"/>
                <w:sz w:val="28"/>
                <w:szCs w:val="28"/>
              </w:rPr>
            </w:pPr>
          </w:p>
        </w:tc>
        <w:tc>
          <w:tcPr>
            <w:tcW w:w="1602" w:type="dxa"/>
            <w:tcBorders>
              <w:top w:val="nil"/>
              <w:left w:val="nil"/>
              <w:bottom w:val="nil"/>
              <w:right w:val="nil"/>
            </w:tcBorders>
            <w:shd w:val="clear" w:color="auto" w:fill="auto"/>
            <w:vAlign w:val="center"/>
          </w:tcPr>
          <w:p>
            <w:pPr>
              <w:widowControl/>
              <w:spacing w:line="560" w:lineRule="exact"/>
              <w:jc w:val="left"/>
              <w:rPr>
                <w:rFonts w:ascii="宋体" w:hAnsi="宋体" w:cs="宋体"/>
                <w:kern w:val="0"/>
                <w:sz w:val="28"/>
                <w:szCs w:val="28"/>
              </w:rPr>
            </w:pPr>
          </w:p>
        </w:tc>
        <w:tc>
          <w:tcPr>
            <w:tcW w:w="1601" w:type="dxa"/>
            <w:tcBorders>
              <w:top w:val="nil"/>
              <w:left w:val="nil"/>
              <w:bottom w:val="nil"/>
              <w:right w:val="nil"/>
            </w:tcBorders>
            <w:shd w:val="clear" w:color="auto" w:fill="auto"/>
            <w:vAlign w:val="center"/>
          </w:tcPr>
          <w:p>
            <w:pPr>
              <w:widowControl/>
              <w:spacing w:line="560" w:lineRule="exact"/>
              <w:jc w:val="left"/>
              <w:rPr>
                <w:rFonts w:ascii="宋体" w:hAnsi="宋体" w:cs="宋体"/>
                <w:kern w:val="0"/>
                <w:sz w:val="28"/>
                <w:szCs w:val="28"/>
              </w:rPr>
            </w:pPr>
          </w:p>
        </w:tc>
        <w:tc>
          <w:tcPr>
            <w:tcW w:w="1098" w:type="dxa"/>
            <w:tcBorders>
              <w:top w:val="nil"/>
              <w:left w:val="nil"/>
              <w:bottom w:val="nil"/>
              <w:right w:val="nil"/>
            </w:tcBorders>
            <w:shd w:val="clear" w:color="auto" w:fill="auto"/>
            <w:vAlign w:val="center"/>
          </w:tcPr>
          <w:p>
            <w:pPr>
              <w:widowControl/>
              <w:spacing w:line="560" w:lineRule="exact"/>
              <w:jc w:val="left"/>
              <w:rPr>
                <w:rFonts w:ascii="宋体" w:hAnsi="宋体" w:cs="宋体"/>
                <w:kern w:val="0"/>
                <w:sz w:val="28"/>
                <w:szCs w:val="28"/>
              </w:rPr>
            </w:pPr>
          </w:p>
        </w:tc>
        <w:tc>
          <w:tcPr>
            <w:tcW w:w="2898" w:type="dxa"/>
            <w:tcBorders>
              <w:top w:val="nil"/>
              <w:left w:val="nil"/>
              <w:bottom w:val="nil"/>
              <w:right w:val="nil"/>
            </w:tcBorders>
            <w:shd w:val="clear" w:color="auto" w:fill="auto"/>
            <w:vAlign w:val="center"/>
          </w:tcPr>
          <w:p>
            <w:pPr>
              <w:widowControl/>
              <w:spacing w:line="560" w:lineRule="exact"/>
              <w:jc w:val="left"/>
              <w:rPr>
                <w:rFonts w:ascii="宋体" w:hAnsi="宋体" w:cs="宋体"/>
                <w:kern w:val="0"/>
                <w:sz w:val="28"/>
                <w:szCs w:val="28"/>
              </w:rPr>
            </w:pPr>
          </w:p>
        </w:tc>
      </w:tr>
    </w:tbl>
    <w:p>
      <w:pPr>
        <w:widowControl/>
        <w:spacing w:line="560" w:lineRule="exact"/>
        <w:ind w:firstLine="640"/>
        <w:rPr>
          <w:rFonts w:ascii="黑体" w:hAnsi="黑体" w:eastAsia="黑体" w:cs="黑体"/>
          <w:b/>
          <w:bCs/>
          <w:kern w:val="0"/>
          <w:sz w:val="28"/>
          <w:szCs w:val="28"/>
        </w:rPr>
      </w:pPr>
      <w:r>
        <w:rPr>
          <w:rFonts w:hint="eastAsia" w:ascii="黑体" w:hAnsi="黑体" w:eastAsia="黑体" w:cs="黑体"/>
          <w:b/>
          <w:bCs/>
          <w:kern w:val="0"/>
          <w:sz w:val="28"/>
          <w:szCs w:val="28"/>
        </w:rPr>
        <w:t>五、绩效预算信息情况</w:t>
      </w:r>
    </w:p>
    <w:p>
      <w:pPr>
        <w:widowControl/>
        <w:spacing w:line="560" w:lineRule="exact"/>
        <w:ind w:firstLine="640"/>
        <w:rPr>
          <w:rFonts w:ascii="仿宋" w:hAnsi="仿宋" w:eastAsia="仿宋" w:cs="仿宋"/>
          <w:kern w:val="0"/>
          <w:sz w:val="28"/>
          <w:szCs w:val="28"/>
        </w:rPr>
      </w:pPr>
      <w:r>
        <w:rPr>
          <w:rFonts w:hint="eastAsia" w:ascii="仿宋" w:hAnsi="仿宋" w:eastAsia="仿宋" w:cs="仿宋"/>
          <w:b/>
          <w:bCs/>
          <w:kern w:val="0"/>
          <w:sz w:val="28"/>
          <w:szCs w:val="28"/>
        </w:rPr>
        <w:t>1、总体绩效目标</w:t>
      </w:r>
      <w:r>
        <w:rPr>
          <w:rFonts w:hint="eastAsia" w:ascii="仿宋" w:hAnsi="仿宋" w:eastAsia="仿宋" w:cs="仿宋"/>
          <w:kern w:val="0"/>
          <w:sz w:val="28"/>
          <w:szCs w:val="28"/>
        </w:rPr>
        <w:t>：结合年度工作总体安排，高标准完成民兵整组、民兵训练、兵役征集、国防动员建设、地方赋予的日常工作及本单位的正规化建设。达到我县民兵队伍组织健全、坚强有力能完成战备执勤、社会维稳、抢险救灾等遂行各种应急任务；提高全民国防观念、搞好各级各类的动员储备，确保随时参战支前；动员辖区应征青年，把优秀、高素质青年征入部队，保质保量完成好上级的新兵征集任务；搞好军政、军民团结，保证军地联通，形成军爱民、民拥军全民和谐的良好氛围，完成好各级交给的各项任务。</w:t>
      </w:r>
    </w:p>
    <w:p>
      <w:pPr>
        <w:widowControl/>
        <w:spacing w:line="560" w:lineRule="exact"/>
        <w:ind w:firstLine="640"/>
        <w:rPr>
          <w:rFonts w:ascii="仿宋" w:hAnsi="仿宋" w:eastAsia="仿宋" w:cs="仿宋"/>
          <w:b/>
          <w:bCs/>
          <w:kern w:val="0"/>
          <w:sz w:val="28"/>
          <w:szCs w:val="28"/>
        </w:rPr>
      </w:pPr>
      <w:r>
        <w:rPr>
          <w:rFonts w:hint="eastAsia" w:ascii="仿宋" w:hAnsi="仿宋" w:eastAsia="仿宋" w:cs="仿宋"/>
          <w:b/>
          <w:bCs/>
          <w:kern w:val="0"/>
          <w:sz w:val="28"/>
          <w:szCs w:val="28"/>
        </w:rPr>
        <w:t>2、</w:t>
      </w:r>
      <w:r>
        <w:rPr>
          <w:rFonts w:ascii="仿宋" w:hAnsi="仿宋" w:eastAsia="仿宋" w:cs="仿宋"/>
          <w:b/>
          <w:bCs/>
          <w:kern w:val="0"/>
          <w:sz w:val="28"/>
          <w:szCs w:val="28"/>
        </w:rPr>
        <w:t>分项绩效目标</w:t>
      </w:r>
    </w:p>
    <w:p>
      <w:pPr>
        <w:spacing w:line="500" w:lineRule="exact"/>
        <w:ind w:firstLine="560" w:firstLineChars="200"/>
        <w:jc w:val="left"/>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1</w:t>
      </w:r>
      <w:r>
        <w:rPr>
          <w:rFonts w:ascii="仿宋" w:hAnsi="仿宋" w:eastAsia="仿宋"/>
          <w:sz w:val="28"/>
          <w:szCs w:val="28"/>
        </w:rPr>
        <w:t>）民兵工作</w:t>
      </w:r>
    </w:p>
    <w:p>
      <w:pPr>
        <w:spacing w:line="500" w:lineRule="exact"/>
        <w:ind w:firstLine="560" w:firstLineChars="200"/>
        <w:jc w:val="left"/>
        <w:rPr>
          <w:rFonts w:ascii="仿宋" w:hAnsi="仿宋" w:eastAsia="仿宋"/>
          <w:sz w:val="28"/>
          <w:szCs w:val="28"/>
        </w:rPr>
      </w:pPr>
      <w:r>
        <w:rPr>
          <w:rFonts w:ascii="仿宋" w:hAnsi="仿宋" w:eastAsia="仿宋"/>
          <w:sz w:val="28"/>
          <w:szCs w:val="28"/>
        </w:rPr>
        <w:t xml:space="preserve"> 绩效目标：主要用于全县的民兵组织建设、政治教育和军事训练。开展全民国防教育，做好拥军优属和拥政爱民的工作。组织带领民兵完成战备执勤、防汛、抢险、救灾等任务。民兵和预备役人员登记、统计工作</w:t>
      </w:r>
      <w:r>
        <w:rPr>
          <w:rFonts w:ascii="仿宋" w:hAnsi="仿宋" w:eastAsia="仿宋"/>
          <w:sz w:val="28"/>
          <w:szCs w:val="28"/>
        </w:rPr>
        <w:tab/>
      </w:r>
      <w:r>
        <w:rPr>
          <w:rFonts w:ascii="仿宋" w:hAnsi="仿宋" w:eastAsia="仿宋"/>
          <w:sz w:val="28"/>
          <w:szCs w:val="28"/>
        </w:rPr>
        <w:t xml:space="preserve">    绩效指标：完成战备执勤及各项其他任务次数，确保战备秩序良好，信息通信顺畅、战备物资充足。完成任务次不少于20次。参训人员合格率不少于90%。提高全民国防意识，确保社会人员受教育率不少于80%</w:t>
      </w:r>
    </w:p>
    <w:p>
      <w:pPr>
        <w:spacing w:line="500" w:lineRule="exact"/>
        <w:ind w:firstLine="560" w:firstLineChars="200"/>
        <w:jc w:val="left"/>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2</w:t>
      </w:r>
      <w:r>
        <w:rPr>
          <w:rFonts w:ascii="仿宋" w:hAnsi="仿宋" w:eastAsia="仿宋"/>
          <w:sz w:val="28"/>
          <w:szCs w:val="28"/>
        </w:rPr>
        <w:t>）军事训练工作</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绩效目标：通过开展各项训练活动提高民兵、干部组织指挥和管理教育能力，采购必要的物资，确保完成各种战备执勤和应急救援任务。采购必要的物资，确保完成各种战备执勤和应急救援任务。</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绩效指标：提高军事指挥能力和战斗力。参训人员合格率不少于90%。提高全民国防意识，确保受教育率不少于80%。</w:t>
      </w:r>
    </w:p>
    <w:p>
      <w:pPr>
        <w:spacing w:line="500" w:lineRule="exact"/>
        <w:ind w:firstLine="560" w:firstLineChars="200"/>
        <w:jc w:val="left"/>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）国防动员工作</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绩效目标：开展全民国防教育，做好拥军优属和拥政爱民的工作。组织带领民兵完成战备执勤、防汛、抢险、救灾等任务。保质保量完成征兵任务。国防动员工作，平时会同有关部门进行战争潜力调查，做好相关动员准备工作；战时组织动员民兵参军参战，支援前线、保卫后方和协助组织人口疏散等工作。同时做好我县的军事设施保护工作。</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绩效指标：完成国防动员潜力调查，确保登记率90%，提高全民国防意识，教育率90%，武装工作动员任务圆满，完成任务率95%。</w:t>
      </w:r>
    </w:p>
    <w:p>
      <w:pPr>
        <w:spacing w:line="500" w:lineRule="exact"/>
        <w:ind w:firstLine="560" w:firstLineChars="200"/>
        <w:jc w:val="left"/>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4</w:t>
      </w:r>
      <w:r>
        <w:rPr>
          <w:rFonts w:ascii="仿宋" w:hAnsi="仿宋" w:eastAsia="仿宋"/>
          <w:sz w:val="28"/>
          <w:szCs w:val="28"/>
        </w:rPr>
        <w:t>）兵役征集工作</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绩效目标：解决征兵冷、征兵难的实际，高标准完成上级人民政府赋予征集新兵的任务年度征兵的宣传工作圆满完成。按照上级要求，征集优质兵员，确保大学生特别是大学毕业生的征集工作任务。</w:t>
      </w:r>
    </w:p>
    <w:p>
      <w:pPr>
        <w:spacing w:line="500" w:lineRule="exact"/>
        <w:ind w:firstLine="560" w:firstLineChars="200"/>
        <w:jc w:val="left"/>
        <w:rPr>
          <w:rFonts w:ascii="仿宋" w:hAnsi="仿宋" w:eastAsia="仿宋"/>
          <w:sz w:val="28"/>
          <w:szCs w:val="28"/>
        </w:rPr>
      </w:pPr>
      <w:r>
        <w:rPr>
          <w:rFonts w:ascii="仿宋" w:hAnsi="仿宋" w:eastAsia="仿宋"/>
          <w:sz w:val="28"/>
          <w:szCs w:val="28"/>
        </w:rPr>
        <w:t>绩效指标：严格把关体各体检及政治审查工作，降低退兵率，出色完成上级交给的征集任务，确保完成100%要求。做好军属满意度，确保应征青年和家属满意度不少于95%。</w:t>
      </w:r>
    </w:p>
    <w:p>
      <w:pPr>
        <w:spacing w:line="500" w:lineRule="exact"/>
        <w:ind w:firstLine="562" w:firstLineChars="200"/>
        <w:jc w:val="left"/>
        <w:rPr>
          <w:rFonts w:ascii="仿宋" w:hAnsi="仿宋" w:eastAsia="仿宋"/>
          <w:b/>
          <w:sz w:val="28"/>
          <w:szCs w:val="28"/>
        </w:rPr>
      </w:pPr>
      <w:r>
        <w:rPr>
          <w:rFonts w:hint="eastAsia" w:ascii="仿宋" w:hAnsi="仿宋" w:eastAsia="仿宋" w:cs="仿宋"/>
          <w:b/>
          <w:bCs/>
          <w:kern w:val="0"/>
          <w:sz w:val="28"/>
          <w:szCs w:val="28"/>
        </w:rPr>
        <w:t>3、</w:t>
      </w:r>
      <w:r>
        <w:rPr>
          <w:rFonts w:ascii="仿宋" w:hAnsi="仿宋" w:eastAsia="仿宋"/>
          <w:b/>
          <w:sz w:val="28"/>
          <w:szCs w:val="28"/>
        </w:rPr>
        <w:t>工作保障措施</w:t>
      </w:r>
    </w:p>
    <w:p>
      <w:pPr>
        <w:spacing w:line="500" w:lineRule="exact"/>
        <w:ind w:firstLine="560" w:firstLineChars="200"/>
        <w:jc w:val="left"/>
        <w:rPr>
          <w:rFonts w:ascii="仿宋" w:hAnsi="仿宋" w:eastAsia="仿宋"/>
          <w:sz w:val="28"/>
          <w:szCs w:val="28"/>
        </w:rPr>
      </w:pPr>
      <w:r>
        <w:rPr>
          <w:rFonts w:ascii="仿宋" w:hAnsi="仿宋" w:eastAsia="仿宋"/>
          <w:sz w:val="28"/>
          <w:szCs w:val="28"/>
        </w:rPr>
        <w:t>完善制度建设。</w:t>
      </w:r>
      <w:r>
        <w:rPr>
          <w:rFonts w:ascii="仿宋" w:eastAsia="仿宋"/>
          <w:sz w:val="28"/>
          <w:szCs w:val="28"/>
        </w:rPr>
        <w:t> </w:t>
      </w:r>
      <w:r>
        <w:rPr>
          <w:rFonts w:ascii="仿宋" w:hAnsi="仿宋" w:eastAsia="仿宋"/>
          <w:sz w:val="28"/>
          <w:szCs w:val="28"/>
        </w:rPr>
        <w:t>以抓制度建设为重点,完善了会计人员岗位责任制、财务处理程序制度、原始记录管理制度、财产保管清查制度等相关制度。从而进一步完善了财务管理制度，规范了财务管理行为，为全年预算绩效目标的实现奠定制度基础。</w:t>
      </w:r>
    </w:p>
    <w:p>
      <w:pPr>
        <w:spacing w:line="500" w:lineRule="exact"/>
        <w:ind w:firstLine="560" w:firstLineChars="200"/>
        <w:jc w:val="left"/>
        <w:rPr>
          <w:rFonts w:ascii="仿宋" w:hAnsi="仿宋" w:eastAsia="仿宋"/>
          <w:sz w:val="28"/>
          <w:szCs w:val="28"/>
        </w:rPr>
      </w:pPr>
      <w:r>
        <w:rPr>
          <w:rFonts w:ascii="仿宋" w:hAnsi="仿宋" w:eastAsia="仿宋"/>
          <w:sz w:val="28"/>
          <w:szCs w:val="28"/>
        </w:rPr>
        <w:t>加强支出管理。优化支出结构，按照财务规定对每一笔收支票据的真实性、完整性，按照《会计法》的有关规定从事会计工作，工作中真正做到报表的及时性，数据的真实性，资料的完整性，分析的针对性，财务的规范性，从而进一步提高工作质量。为了提高财务管理水平和会计核算质量，制订了工作计划，量化、细化计划内容，实行工作计划责任制，确保支出进度达标。</w:t>
      </w:r>
    </w:p>
    <w:p>
      <w:pPr>
        <w:spacing w:line="500" w:lineRule="exact"/>
        <w:ind w:firstLine="560" w:firstLineChars="200"/>
        <w:jc w:val="left"/>
        <w:rPr>
          <w:rFonts w:ascii="仿宋" w:hAnsi="仿宋" w:eastAsia="仿宋"/>
          <w:sz w:val="28"/>
          <w:szCs w:val="28"/>
        </w:rPr>
      </w:pPr>
      <w:r>
        <w:rPr>
          <w:rFonts w:ascii="仿宋" w:hAnsi="仿宋" w:eastAsia="仿宋"/>
          <w:sz w:val="28"/>
          <w:szCs w:val="28"/>
        </w:rPr>
        <w:t>加强绩效运行监控。严格业务处理程序的管理，严格财务审批制度，保证会计数据正确合法。对当天发生的业务，当天登记入帐，现金和银行存款日记帐做到日清月结。根据各项资金的性质，严格做到专款专用，账目清楚，手续齐全，没有发现挪用、私分等违纪行为。会计报表数据做到了真实准确、内容完整，报送及时并附有财务情况说明书，确保绩效目标如期保质实现。</w:t>
      </w:r>
    </w:p>
    <w:p>
      <w:pPr>
        <w:spacing w:line="500" w:lineRule="exact"/>
        <w:ind w:firstLine="560" w:firstLineChars="200"/>
        <w:jc w:val="left"/>
        <w:rPr>
          <w:rFonts w:ascii="仿宋" w:hAnsi="仿宋" w:eastAsia="仿宋"/>
          <w:sz w:val="28"/>
          <w:szCs w:val="28"/>
        </w:rPr>
      </w:pPr>
      <w:r>
        <w:rPr>
          <w:rFonts w:ascii="仿宋" w:hAnsi="仿宋" w:eastAsia="仿宋"/>
          <w:sz w:val="28"/>
          <w:szCs w:val="28"/>
        </w:rPr>
        <w:t>做好绩效自评。按要求开展上年度部门预算绩效自评和重点评价工作，对评价中发现的问题及时整改，调整优化支出结构，提高财政资金使用效益。</w:t>
      </w:r>
    </w:p>
    <w:p>
      <w:pPr>
        <w:spacing w:line="500" w:lineRule="exact"/>
        <w:ind w:firstLine="560" w:firstLineChars="200"/>
        <w:jc w:val="left"/>
        <w:rPr>
          <w:rFonts w:ascii="仿宋" w:hAnsi="仿宋" w:eastAsia="仿宋"/>
          <w:sz w:val="28"/>
          <w:szCs w:val="28"/>
        </w:rPr>
      </w:pPr>
      <w:r>
        <w:rPr>
          <w:rFonts w:ascii="仿宋" w:hAnsi="仿宋" w:eastAsia="仿宋"/>
          <w:sz w:val="28"/>
          <w:szCs w:val="28"/>
        </w:rPr>
        <w:t>规范财务资产管理。开展资产清查，是国家规范国有资产管理、保障国有资产安全完整的一项重要举措。我部领导高度重视，按照“统一标准、统一方法、统一步骤、统一要求”的原则，完善财务管理制度，严格审批程序，加强固定资产登记、使用和报废处置管理，做到支出合理，物尽其用。</w:t>
      </w:r>
    </w:p>
    <w:p>
      <w:pPr>
        <w:spacing w:line="500" w:lineRule="exact"/>
        <w:ind w:firstLine="560" w:firstLineChars="200"/>
        <w:jc w:val="left"/>
        <w:rPr>
          <w:rFonts w:ascii="仿宋" w:hAnsi="仿宋" w:eastAsia="仿宋"/>
          <w:sz w:val="28"/>
          <w:szCs w:val="28"/>
        </w:rPr>
      </w:pPr>
      <w:r>
        <w:rPr>
          <w:rFonts w:ascii="仿宋" w:hAnsi="仿宋" w:eastAsia="仿宋"/>
          <w:sz w:val="28"/>
          <w:szCs w:val="28"/>
        </w:rPr>
        <w:t>加强内部监督。加强内部监督制度建设，对绩效运行情况、重大支出决策、对外投资、资产处置及其他重要经济业务事项的决策和执行进行督导确保财政资金安全有效。</w:t>
      </w:r>
    </w:p>
    <w:p>
      <w:pPr>
        <w:spacing w:line="500" w:lineRule="exact"/>
        <w:ind w:firstLine="560" w:firstLineChars="200"/>
        <w:jc w:val="left"/>
        <w:rPr>
          <w:rFonts w:ascii="仿宋" w:hAnsi="仿宋" w:eastAsia="仿宋"/>
          <w:sz w:val="28"/>
          <w:szCs w:val="28"/>
        </w:rPr>
      </w:pPr>
      <w:r>
        <w:rPr>
          <w:rFonts w:ascii="仿宋" w:hAnsi="仿宋" w:eastAsia="仿宋"/>
          <w:sz w:val="28"/>
          <w:szCs w:val="28"/>
        </w:rPr>
        <w:t>加强宣传培训。加强人员培训，提高本部门职工业务素质；加大宣传力度，强化预算绩效管理意识，促进预算绩效管理水平进一步提升。</w:t>
      </w:r>
    </w:p>
    <w:p>
      <w:pPr>
        <w:ind w:firstLine="422" w:firstLineChars="200"/>
        <w:outlineLvl w:val="0"/>
        <w:rPr>
          <w:rFonts w:asciiTheme="minorEastAsia" w:hAnsiTheme="minorEastAsia" w:eastAsiaTheme="minorEastAsia" w:cstheme="minorEastAsia"/>
          <w:b/>
          <w:szCs w:val="21"/>
        </w:rPr>
      </w:pPr>
    </w:p>
    <w:p>
      <w:pPr>
        <w:ind w:firstLine="422" w:firstLineChars="200"/>
        <w:outlineLvl w:val="0"/>
        <w:rPr>
          <w:rFonts w:asciiTheme="minorEastAsia" w:hAnsiTheme="minorEastAsia" w:eastAsiaTheme="minorEastAsia" w:cstheme="minorEastAsia"/>
          <w:b/>
          <w:szCs w:val="21"/>
        </w:rPr>
      </w:pPr>
    </w:p>
    <w:p>
      <w:pPr>
        <w:ind w:firstLine="422" w:firstLineChars="200"/>
        <w:outlineLvl w:val="0"/>
        <w:rPr>
          <w:rFonts w:asciiTheme="minorEastAsia" w:hAnsiTheme="minorEastAsia" w:eastAsiaTheme="minorEastAsia" w:cstheme="minorEastAsia"/>
          <w:b/>
          <w:szCs w:val="21"/>
        </w:rPr>
      </w:pPr>
    </w:p>
    <w:p>
      <w:pPr>
        <w:ind w:firstLine="422" w:firstLineChars="200"/>
        <w:outlineLvl w:val="0"/>
        <w:rPr>
          <w:rFonts w:asciiTheme="minorEastAsia" w:hAnsiTheme="minorEastAsia" w:eastAsiaTheme="minorEastAsia" w:cstheme="minorEastAsia"/>
          <w:b/>
          <w:szCs w:val="21"/>
        </w:rPr>
      </w:pPr>
    </w:p>
    <w:p>
      <w:pPr>
        <w:ind w:firstLine="422" w:firstLineChars="200"/>
        <w:outlineLvl w:val="0"/>
        <w:rPr>
          <w:rFonts w:asciiTheme="minorEastAsia" w:hAnsiTheme="minorEastAsia" w:eastAsiaTheme="minorEastAsia" w:cstheme="minorEastAsia"/>
          <w:b/>
          <w:szCs w:val="21"/>
        </w:rPr>
      </w:pPr>
    </w:p>
    <w:p>
      <w:pPr>
        <w:ind w:firstLine="562" w:firstLineChars="200"/>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3、预算项目绩效目标</w:t>
      </w:r>
    </w:p>
    <w:p>
      <w:pPr>
        <w:ind w:firstLine="422" w:firstLineChars="200"/>
        <w:jc w:val="left"/>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（1）2019年征兵奖励经费绩效目标表</w:t>
      </w:r>
      <w:r>
        <w:rPr>
          <w:rFonts w:hint="eastAsia" w:asciiTheme="minorEastAsia" w:hAnsiTheme="minorEastAsia" w:eastAsiaTheme="minorEastAsia" w:cstheme="minorEastAsia"/>
          <w:b/>
          <w:szCs w:val="21"/>
        </w:rPr>
        <w:fldChar w:fldCharType="begin"/>
      </w:r>
      <w:r>
        <w:rPr>
          <w:rFonts w:hint="eastAsia" w:asciiTheme="minorEastAsia" w:hAnsiTheme="minorEastAsia" w:eastAsiaTheme="minorEastAsia" w:cstheme="minorEastAsia"/>
          <w:b/>
          <w:szCs w:val="21"/>
        </w:rPr>
        <w:instrText xml:space="preserve"> TC </w:instrText>
      </w:r>
      <w:bookmarkStart w:id="0" w:name="_Toc30000565"/>
      <w:r>
        <w:rPr>
          <w:rFonts w:hint="eastAsia" w:asciiTheme="minorEastAsia" w:hAnsiTheme="minorEastAsia" w:eastAsiaTheme="minorEastAsia" w:cstheme="minorEastAsia"/>
          <w:b/>
          <w:szCs w:val="21"/>
        </w:rPr>
        <w:instrText xml:space="preserve">1、2019年征兵奖励经费绩效目标表</w:instrText>
      </w:r>
      <w:bookmarkEnd w:id="0"/>
      <w:r>
        <w:rPr>
          <w:rFonts w:hint="eastAsia" w:asciiTheme="minorEastAsia" w:hAnsiTheme="minorEastAsia" w:eastAsiaTheme="minorEastAsia" w:cstheme="minorEastAsia"/>
          <w:b/>
          <w:szCs w:val="21"/>
        </w:rPr>
        <w:instrText xml:space="preserve"> \f C \l 1 </w:instrText>
      </w:r>
      <w:r>
        <w:rPr>
          <w:rFonts w:hint="eastAsia" w:asciiTheme="minorEastAsia" w:hAnsiTheme="minorEastAsia" w:eastAsiaTheme="minorEastAsia" w:cstheme="minorEastAsia"/>
          <w:b/>
          <w:szCs w:val="21"/>
        </w:rPr>
        <w:fldChar w:fldCharType="end"/>
      </w:r>
    </w:p>
    <w:tbl>
      <w:tblPr>
        <w:tblStyle w:val="7"/>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801002中国人民解放军河北省涞水县人民武装部</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项目编码</w:t>
            </w:r>
          </w:p>
        </w:tc>
        <w:tc>
          <w:tcPr>
            <w:tcW w:w="2410" w:type="dxa"/>
            <w:gridSpan w:val="2"/>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801-0701-YBN-EB1N</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项目名称</w:t>
            </w:r>
          </w:p>
        </w:tc>
        <w:tc>
          <w:tcPr>
            <w:tcW w:w="4281" w:type="dxa"/>
            <w:gridSpan w:val="3"/>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2019年征兵奖励经费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预算规模及资金用途</w:t>
            </w:r>
          </w:p>
        </w:tc>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预算数</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30.95</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其中：财政资金</w:t>
            </w:r>
          </w:p>
        </w:tc>
        <w:tc>
          <w:tcPr>
            <w:tcW w:w="130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30.95</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其他资金</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asciiTheme="minorEastAsia" w:hAnsiTheme="minorEastAsia" w:eastAsiaTheme="minorEastAsia" w:cstheme="minorEastAsia"/>
                <w:szCs w:val="21"/>
              </w:rPr>
            </w:pPr>
          </w:p>
        </w:tc>
        <w:tc>
          <w:tcPr>
            <w:tcW w:w="8278" w:type="dxa"/>
            <w:gridSpan w:val="6"/>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表彰2019年度征兵先进单位及奖励高学历、高素质入伍人员，确保高标准完成下年度征兵工作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资金支出计划（%）</w:t>
            </w:r>
          </w:p>
        </w:tc>
        <w:tc>
          <w:tcPr>
            <w:tcW w:w="2410" w:type="dxa"/>
            <w:gridSpan w:val="2"/>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3月底</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6月底</w:t>
            </w:r>
          </w:p>
        </w:tc>
        <w:tc>
          <w:tcPr>
            <w:tcW w:w="130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10月底</w:t>
            </w:r>
          </w:p>
        </w:tc>
        <w:tc>
          <w:tcPr>
            <w:tcW w:w="2977" w:type="dxa"/>
            <w:gridSpan w:val="2"/>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asciiTheme="minorEastAsia" w:hAnsiTheme="minorEastAsia" w:eastAsiaTheme="minorEastAsia" w:cstheme="minorEastAsia"/>
                <w:szCs w:val="21"/>
              </w:rPr>
            </w:pPr>
          </w:p>
        </w:tc>
        <w:tc>
          <w:tcPr>
            <w:tcW w:w="2410" w:type="dxa"/>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w:t>
            </w:r>
          </w:p>
        </w:tc>
        <w:tc>
          <w:tcPr>
            <w:tcW w:w="1587" w:type="dxa"/>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p>
        </w:tc>
        <w:tc>
          <w:tcPr>
            <w:tcW w:w="1304" w:type="dxa"/>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p>
        </w:tc>
        <w:tc>
          <w:tcPr>
            <w:tcW w:w="2977" w:type="dxa"/>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绩效目标</w:t>
            </w:r>
          </w:p>
        </w:tc>
        <w:tc>
          <w:tcPr>
            <w:tcW w:w="8278" w:type="dxa"/>
            <w:gridSpan w:val="6"/>
            <w:tcBorders>
              <w:bottom w:val="nil"/>
            </w:tcBorders>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1、表彰先进，确保积性</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2、鼓励高素质应征青年入伍</w:t>
            </w:r>
          </w:p>
        </w:tc>
      </w:tr>
    </w:tbl>
    <w:p>
      <w:pPr>
        <w:spacing w:line="14" w:lineRule="exact"/>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bl>
      <w:tblPr>
        <w:tblStyle w:val="7"/>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一级指标</w:t>
            </w:r>
          </w:p>
        </w:tc>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二级指标</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三级指标</w:t>
            </w:r>
          </w:p>
        </w:tc>
        <w:tc>
          <w:tcPr>
            <w:tcW w:w="2891"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绩效指标描述</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指标值</w:t>
            </w:r>
          </w:p>
        </w:tc>
        <w:tc>
          <w:tcPr>
            <w:tcW w:w="1701"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产出指标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提高积极性</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表彰先进，提高工作质量，高标准完成征集任务</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heme="minorEastAsia" w:hAnsiTheme="minorEastAsia" w:eastAsiaTheme="minorEastAsia" w:cstheme="minorEastAsia"/>
                <w:szCs w:val="21"/>
              </w:rPr>
            </w:pP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鼓励踊跃入伍</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提高入伍积极性，确保征集高素质兵员</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效果指标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社会效益指标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满意程度</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圆满完成征集任务</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heme="minorEastAsia" w:hAnsiTheme="minorEastAsia" w:eastAsiaTheme="minorEastAsia" w:cstheme="minorEastAsia"/>
                <w:szCs w:val="21"/>
              </w:rPr>
            </w:pP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可持续影响指标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工作人员及军属满意度</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确保工作人员及军人家属满意度</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满意度指标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服务对象满意度指标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满意度</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圆满完成上级交给的征兵任务</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bl>
    <w:p>
      <w:pPr>
        <w:spacing w:line="300" w:lineRule="exact"/>
        <w:ind w:firstLine="420" w:firstLineChars="200"/>
        <w:jc w:val="left"/>
        <w:rPr>
          <w:rFonts w:asciiTheme="minorEastAsia" w:hAnsiTheme="minorEastAsia" w:eastAsiaTheme="minorEastAsia" w:cstheme="minorEastAsia"/>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asciiTheme="minorEastAsia" w:hAnsiTheme="minorEastAsia" w:eastAsiaTheme="minorEastAsia" w:cstheme="minorEastAsia"/>
          <w:szCs w:val="21"/>
        </w:rPr>
      </w:pPr>
    </w:p>
    <w:p>
      <w:pPr>
        <w:ind w:firstLine="422" w:firstLineChars="200"/>
        <w:jc w:val="left"/>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（2）应急力量建设绩效目标表</w:t>
      </w:r>
      <w:r>
        <w:rPr>
          <w:rFonts w:hint="eastAsia" w:asciiTheme="minorEastAsia" w:hAnsiTheme="minorEastAsia" w:eastAsiaTheme="minorEastAsia" w:cstheme="minorEastAsia"/>
          <w:b/>
          <w:szCs w:val="21"/>
        </w:rPr>
        <w:fldChar w:fldCharType="begin"/>
      </w:r>
      <w:r>
        <w:rPr>
          <w:rFonts w:hint="eastAsia" w:asciiTheme="minorEastAsia" w:hAnsiTheme="minorEastAsia" w:eastAsiaTheme="minorEastAsia" w:cstheme="minorEastAsia"/>
          <w:b/>
          <w:szCs w:val="21"/>
        </w:rPr>
        <w:instrText xml:space="preserve"> TC </w:instrText>
      </w:r>
      <w:bookmarkStart w:id="1" w:name="_Toc30000566"/>
      <w:r>
        <w:rPr>
          <w:rFonts w:hint="eastAsia" w:asciiTheme="minorEastAsia" w:hAnsiTheme="minorEastAsia" w:eastAsiaTheme="minorEastAsia" w:cstheme="minorEastAsia"/>
          <w:b/>
          <w:szCs w:val="21"/>
        </w:rPr>
        <w:instrText xml:space="preserve">2、应急力量建设绩效目标表</w:instrText>
      </w:r>
      <w:bookmarkEnd w:id="1"/>
      <w:r>
        <w:rPr>
          <w:rFonts w:hint="eastAsia" w:asciiTheme="minorEastAsia" w:hAnsiTheme="minorEastAsia" w:eastAsiaTheme="minorEastAsia" w:cstheme="minorEastAsia"/>
          <w:b/>
          <w:szCs w:val="21"/>
        </w:rPr>
        <w:instrText xml:space="preserve"> \f C \l 1 </w:instrText>
      </w:r>
      <w:r>
        <w:rPr>
          <w:rFonts w:hint="eastAsia" w:asciiTheme="minorEastAsia" w:hAnsiTheme="minorEastAsia" w:eastAsiaTheme="minorEastAsia" w:cstheme="minorEastAsia"/>
          <w:b/>
          <w:szCs w:val="21"/>
        </w:rPr>
        <w:fldChar w:fldCharType="end"/>
      </w:r>
    </w:p>
    <w:tbl>
      <w:tblPr>
        <w:tblStyle w:val="7"/>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801002中国人民解放军河北省涞水县人民武装部</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项目编码</w:t>
            </w:r>
          </w:p>
        </w:tc>
        <w:tc>
          <w:tcPr>
            <w:tcW w:w="2410" w:type="dxa"/>
            <w:gridSpan w:val="2"/>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801-0402-JBN-EKNG</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项目名称</w:t>
            </w:r>
          </w:p>
        </w:tc>
        <w:tc>
          <w:tcPr>
            <w:tcW w:w="4281" w:type="dxa"/>
            <w:gridSpan w:val="3"/>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应急力量建设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预算规模及资金用途</w:t>
            </w:r>
          </w:p>
        </w:tc>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预算数</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其中：财政资金</w:t>
            </w:r>
          </w:p>
        </w:tc>
        <w:tc>
          <w:tcPr>
            <w:tcW w:w="130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其他资金</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asciiTheme="minorEastAsia" w:hAnsiTheme="minorEastAsia" w:eastAsiaTheme="minorEastAsia" w:cstheme="minorEastAsia"/>
                <w:szCs w:val="21"/>
              </w:rPr>
            </w:pPr>
          </w:p>
        </w:tc>
        <w:tc>
          <w:tcPr>
            <w:tcW w:w="8278" w:type="dxa"/>
            <w:gridSpan w:val="6"/>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通过开展各项训练活动提高民兵、干部组织指挥和管理教育能力。采购必要的物资，确保完成各种战备执勤和应急救援任务。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资金支出计划（%）</w:t>
            </w:r>
          </w:p>
        </w:tc>
        <w:tc>
          <w:tcPr>
            <w:tcW w:w="2410" w:type="dxa"/>
            <w:gridSpan w:val="2"/>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3月底</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6月底</w:t>
            </w:r>
          </w:p>
        </w:tc>
        <w:tc>
          <w:tcPr>
            <w:tcW w:w="130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10月底</w:t>
            </w:r>
          </w:p>
        </w:tc>
        <w:tc>
          <w:tcPr>
            <w:tcW w:w="2977" w:type="dxa"/>
            <w:gridSpan w:val="2"/>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asciiTheme="minorEastAsia" w:hAnsiTheme="minorEastAsia" w:eastAsiaTheme="minorEastAsia" w:cstheme="minorEastAsia"/>
                <w:szCs w:val="21"/>
              </w:rPr>
            </w:pPr>
          </w:p>
        </w:tc>
        <w:tc>
          <w:tcPr>
            <w:tcW w:w="2410" w:type="dxa"/>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p>
        </w:tc>
        <w:tc>
          <w:tcPr>
            <w:tcW w:w="1587" w:type="dxa"/>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w:t>
            </w:r>
          </w:p>
        </w:tc>
        <w:tc>
          <w:tcPr>
            <w:tcW w:w="1304" w:type="dxa"/>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p>
        </w:tc>
        <w:tc>
          <w:tcPr>
            <w:tcW w:w="2977" w:type="dxa"/>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绩效目标</w:t>
            </w:r>
          </w:p>
        </w:tc>
        <w:tc>
          <w:tcPr>
            <w:tcW w:w="8278" w:type="dxa"/>
            <w:gridSpan w:val="6"/>
            <w:tcBorders>
              <w:bottom w:val="nil"/>
            </w:tcBorders>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1、通过开展各项训练活动提高民兵、干部组织指挥和管理教育能力。</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2、采购必要的物资，确保完成各种战备执勤和应急救援任务。</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采购必要的物资，确保完成各种战备执勤和应急救援任务。</w:t>
            </w:r>
          </w:p>
        </w:tc>
      </w:tr>
    </w:tbl>
    <w:p>
      <w:pPr>
        <w:spacing w:line="14" w:lineRule="exact"/>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bl>
      <w:tblPr>
        <w:tblStyle w:val="7"/>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一级指标</w:t>
            </w:r>
          </w:p>
        </w:tc>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二级指标</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三级指标</w:t>
            </w:r>
          </w:p>
        </w:tc>
        <w:tc>
          <w:tcPr>
            <w:tcW w:w="2891"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绩效指标描述</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指标值</w:t>
            </w:r>
          </w:p>
        </w:tc>
        <w:tc>
          <w:tcPr>
            <w:tcW w:w="1701"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产出指标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完成战备执勤及各项其他任务次数</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战备秩序良好，信息通信顺畅、战备物资充足</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≥5次</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heme="minorEastAsia" w:hAnsiTheme="minorEastAsia" w:eastAsiaTheme="minorEastAsia" w:cstheme="minorEastAsia"/>
                <w:szCs w:val="21"/>
              </w:rPr>
            </w:pP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参训人员合格率</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提高民兵战斗力</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效果指标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社会效益指标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确保社会人员受教育率</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提高全民国防意识</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heme="minorEastAsia" w:hAnsiTheme="minorEastAsia" w:eastAsiaTheme="minorEastAsia" w:cstheme="minorEastAsia"/>
                <w:szCs w:val="21"/>
              </w:rPr>
            </w:pP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可持续影响指标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各类人员、战备物资保障水平</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完成执勤和战备任务</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满意度指标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服务对象满意度指标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确保各项工作完成圆满，各级满意率</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地方工作出色，军地联通良好</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内部考核</w:t>
            </w:r>
          </w:p>
        </w:tc>
      </w:tr>
    </w:tbl>
    <w:p>
      <w:pPr>
        <w:spacing w:line="300" w:lineRule="exact"/>
        <w:ind w:firstLine="420" w:firstLineChars="200"/>
        <w:jc w:val="left"/>
        <w:rPr>
          <w:rFonts w:asciiTheme="minorEastAsia" w:hAnsiTheme="minorEastAsia" w:eastAsiaTheme="minorEastAsia" w:cstheme="minorEastAsia"/>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asciiTheme="minorEastAsia" w:hAnsiTheme="minorEastAsia" w:eastAsiaTheme="minorEastAsia" w:cstheme="minorEastAsia"/>
          <w:szCs w:val="21"/>
        </w:rPr>
      </w:pPr>
    </w:p>
    <w:p>
      <w:pPr>
        <w:ind w:firstLine="422" w:firstLineChars="200"/>
        <w:jc w:val="left"/>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（3）征兵工作经费绩效目标表</w:t>
      </w:r>
      <w:r>
        <w:rPr>
          <w:rFonts w:hint="eastAsia" w:asciiTheme="minorEastAsia" w:hAnsiTheme="minorEastAsia" w:eastAsiaTheme="minorEastAsia" w:cstheme="minorEastAsia"/>
          <w:b/>
          <w:szCs w:val="21"/>
        </w:rPr>
        <w:fldChar w:fldCharType="begin"/>
      </w:r>
      <w:r>
        <w:rPr>
          <w:rFonts w:hint="eastAsia" w:asciiTheme="minorEastAsia" w:hAnsiTheme="minorEastAsia" w:eastAsiaTheme="minorEastAsia" w:cstheme="minorEastAsia"/>
          <w:b/>
          <w:szCs w:val="21"/>
        </w:rPr>
        <w:instrText xml:space="preserve"> TC </w:instrText>
      </w:r>
      <w:bookmarkStart w:id="2" w:name="_Toc30000567"/>
      <w:r>
        <w:rPr>
          <w:rFonts w:hint="eastAsia" w:asciiTheme="minorEastAsia" w:hAnsiTheme="minorEastAsia" w:eastAsiaTheme="minorEastAsia" w:cstheme="minorEastAsia"/>
          <w:b/>
          <w:szCs w:val="21"/>
        </w:rPr>
        <w:instrText xml:space="preserve">3、征兵工作经费绩效目标表</w:instrText>
      </w:r>
      <w:bookmarkEnd w:id="2"/>
      <w:r>
        <w:rPr>
          <w:rFonts w:hint="eastAsia" w:asciiTheme="minorEastAsia" w:hAnsiTheme="minorEastAsia" w:eastAsiaTheme="minorEastAsia" w:cstheme="minorEastAsia"/>
          <w:b/>
          <w:szCs w:val="21"/>
        </w:rPr>
        <w:instrText xml:space="preserve"> \f C \l 1 </w:instrText>
      </w:r>
      <w:r>
        <w:rPr>
          <w:rFonts w:hint="eastAsia" w:asciiTheme="minorEastAsia" w:hAnsiTheme="minorEastAsia" w:eastAsiaTheme="minorEastAsia" w:cstheme="minorEastAsia"/>
          <w:b/>
          <w:szCs w:val="21"/>
        </w:rPr>
        <w:fldChar w:fldCharType="end"/>
      </w:r>
    </w:p>
    <w:tbl>
      <w:tblPr>
        <w:tblStyle w:val="7"/>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801002中国人民解放军河北省涞水县人民武装部</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项目编码</w:t>
            </w:r>
          </w:p>
        </w:tc>
        <w:tc>
          <w:tcPr>
            <w:tcW w:w="2410" w:type="dxa"/>
            <w:gridSpan w:val="2"/>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801-0701-JBN-GFS7</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项目名称</w:t>
            </w:r>
          </w:p>
        </w:tc>
        <w:tc>
          <w:tcPr>
            <w:tcW w:w="4281" w:type="dxa"/>
            <w:gridSpan w:val="3"/>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征兵工作经费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预算规模及资金用途</w:t>
            </w:r>
          </w:p>
        </w:tc>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预算数</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其中：财政资金</w:t>
            </w:r>
          </w:p>
        </w:tc>
        <w:tc>
          <w:tcPr>
            <w:tcW w:w="130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其他资金</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asciiTheme="minorEastAsia" w:hAnsiTheme="minorEastAsia" w:eastAsiaTheme="minorEastAsia" w:cstheme="minorEastAsia"/>
                <w:szCs w:val="21"/>
              </w:rPr>
            </w:pPr>
          </w:p>
        </w:tc>
        <w:tc>
          <w:tcPr>
            <w:tcW w:w="8278" w:type="dxa"/>
            <w:gridSpan w:val="6"/>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用于我县年度征兵宣传和征集工作。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资金支出计划（%）</w:t>
            </w:r>
          </w:p>
        </w:tc>
        <w:tc>
          <w:tcPr>
            <w:tcW w:w="2410" w:type="dxa"/>
            <w:gridSpan w:val="2"/>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3月底</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6月底</w:t>
            </w:r>
          </w:p>
        </w:tc>
        <w:tc>
          <w:tcPr>
            <w:tcW w:w="130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10月底</w:t>
            </w:r>
          </w:p>
        </w:tc>
        <w:tc>
          <w:tcPr>
            <w:tcW w:w="2977" w:type="dxa"/>
            <w:gridSpan w:val="2"/>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asciiTheme="minorEastAsia" w:hAnsiTheme="minorEastAsia" w:eastAsiaTheme="minorEastAsia" w:cstheme="minorEastAsia"/>
                <w:szCs w:val="21"/>
              </w:rPr>
            </w:pPr>
          </w:p>
        </w:tc>
        <w:tc>
          <w:tcPr>
            <w:tcW w:w="2410" w:type="dxa"/>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w:t>
            </w:r>
          </w:p>
        </w:tc>
        <w:tc>
          <w:tcPr>
            <w:tcW w:w="1587" w:type="dxa"/>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w:t>
            </w:r>
          </w:p>
        </w:tc>
        <w:tc>
          <w:tcPr>
            <w:tcW w:w="1304" w:type="dxa"/>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w:t>
            </w:r>
          </w:p>
        </w:tc>
        <w:tc>
          <w:tcPr>
            <w:tcW w:w="2977" w:type="dxa"/>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绩效目标</w:t>
            </w:r>
          </w:p>
        </w:tc>
        <w:tc>
          <w:tcPr>
            <w:tcW w:w="8278" w:type="dxa"/>
            <w:gridSpan w:val="6"/>
            <w:tcBorders>
              <w:bottom w:val="nil"/>
            </w:tcBorders>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1、年度征兵的宣传工作圆满完成。</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2、征集优质兵员。</w:t>
            </w:r>
          </w:p>
        </w:tc>
      </w:tr>
    </w:tbl>
    <w:p>
      <w:pPr>
        <w:spacing w:line="14" w:lineRule="exact"/>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bl>
      <w:tblPr>
        <w:tblStyle w:val="7"/>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一级指标</w:t>
            </w:r>
          </w:p>
        </w:tc>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二级指标</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三级指标</w:t>
            </w:r>
          </w:p>
        </w:tc>
        <w:tc>
          <w:tcPr>
            <w:tcW w:w="2891"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绩效指标描述</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指标值</w:t>
            </w:r>
          </w:p>
        </w:tc>
        <w:tc>
          <w:tcPr>
            <w:tcW w:w="1701"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产出指标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降低退兵率</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完成上级交给的征集任务</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heme="minorEastAsia" w:hAnsiTheme="minorEastAsia" w:eastAsiaTheme="minorEastAsia" w:cstheme="minorEastAsia"/>
                <w:szCs w:val="21"/>
              </w:rPr>
            </w:pP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合格率</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严格把关保证体检合格思想合格</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效果指标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社会效益指标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满意程度</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圆满完成上级交给的征集任务</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heme="minorEastAsia" w:hAnsiTheme="minorEastAsia" w:eastAsiaTheme="minorEastAsia" w:cstheme="minorEastAsia"/>
                <w:szCs w:val="21"/>
              </w:rPr>
            </w:pP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可持续影响指标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军属满意度</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确保应征青年和家属满意</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满意度指标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服务对象满意度指标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满意度</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圆满完成上级交给的征兵任务</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内部考核</w:t>
            </w:r>
          </w:p>
        </w:tc>
      </w:tr>
    </w:tbl>
    <w:p>
      <w:pPr>
        <w:spacing w:line="300" w:lineRule="exact"/>
        <w:ind w:firstLine="420" w:firstLineChars="200"/>
        <w:jc w:val="left"/>
        <w:rPr>
          <w:rFonts w:asciiTheme="minorEastAsia" w:hAnsiTheme="minorEastAsia" w:eastAsiaTheme="minorEastAsia" w:cstheme="minorEastAsia"/>
          <w:szCs w:val="21"/>
        </w:rPr>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rPr>
          <w:rFonts w:asciiTheme="minorEastAsia" w:hAnsiTheme="minorEastAsia" w:eastAsiaTheme="minorEastAsia" w:cstheme="minorEastAsia"/>
          <w:szCs w:val="21"/>
        </w:rPr>
      </w:pPr>
    </w:p>
    <w:p>
      <w:pPr>
        <w:ind w:firstLine="422" w:firstLineChars="200"/>
        <w:jc w:val="left"/>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（4）综合办公费绩效目标表</w:t>
      </w:r>
      <w:r>
        <w:rPr>
          <w:rFonts w:hint="eastAsia" w:asciiTheme="minorEastAsia" w:hAnsiTheme="minorEastAsia" w:eastAsiaTheme="minorEastAsia" w:cstheme="minorEastAsia"/>
          <w:b/>
          <w:szCs w:val="21"/>
        </w:rPr>
        <w:fldChar w:fldCharType="begin"/>
      </w:r>
      <w:r>
        <w:rPr>
          <w:rFonts w:hint="eastAsia" w:asciiTheme="minorEastAsia" w:hAnsiTheme="minorEastAsia" w:eastAsiaTheme="minorEastAsia" w:cstheme="minorEastAsia"/>
          <w:b/>
          <w:szCs w:val="21"/>
        </w:rPr>
        <w:instrText xml:space="preserve"> TC </w:instrText>
      </w:r>
      <w:bookmarkStart w:id="3" w:name="_Toc30000568"/>
      <w:r>
        <w:rPr>
          <w:rFonts w:hint="eastAsia" w:asciiTheme="minorEastAsia" w:hAnsiTheme="minorEastAsia" w:eastAsiaTheme="minorEastAsia" w:cstheme="minorEastAsia"/>
          <w:b/>
          <w:szCs w:val="21"/>
        </w:rPr>
        <w:instrText xml:space="preserve">4、综合办公费绩效目标表</w:instrText>
      </w:r>
      <w:bookmarkEnd w:id="3"/>
      <w:r>
        <w:rPr>
          <w:rFonts w:hint="eastAsia" w:asciiTheme="minorEastAsia" w:hAnsiTheme="minorEastAsia" w:eastAsiaTheme="minorEastAsia" w:cstheme="minorEastAsia"/>
          <w:b/>
          <w:szCs w:val="21"/>
        </w:rPr>
        <w:instrText xml:space="preserve"> \f C \l 1 </w:instrText>
      </w:r>
      <w:r>
        <w:rPr>
          <w:rFonts w:hint="eastAsia" w:asciiTheme="minorEastAsia" w:hAnsiTheme="minorEastAsia" w:eastAsiaTheme="minorEastAsia" w:cstheme="minorEastAsia"/>
          <w:b/>
          <w:szCs w:val="21"/>
        </w:rPr>
        <w:fldChar w:fldCharType="end"/>
      </w:r>
    </w:p>
    <w:tbl>
      <w:tblPr>
        <w:tblStyle w:val="7"/>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801002中国人民解放军河北省涞水县人民武装部</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项目编码</w:t>
            </w:r>
          </w:p>
        </w:tc>
        <w:tc>
          <w:tcPr>
            <w:tcW w:w="2410" w:type="dxa"/>
            <w:gridSpan w:val="2"/>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801-0501-JBN-YCHI</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项目名称</w:t>
            </w:r>
          </w:p>
        </w:tc>
        <w:tc>
          <w:tcPr>
            <w:tcW w:w="4281" w:type="dxa"/>
            <w:gridSpan w:val="3"/>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综合办公费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预算规模及资金用途</w:t>
            </w:r>
          </w:p>
        </w:tc>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预算数</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70.00</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其中：财政资金</w:t>
            </w:r>
          </w:p>
        </w:tc>
        <w:tc>
          <w:tcPr>
            <w:tcW w:w="130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70.00</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其他资金</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rPr>
                <w:rFonts w:asciiTheme="minorEastAsia" w:hAnsiTheme="minorEastAsia" w:eastAsiaTheme="minorEastAsia" w:cstheme="minorEastAsia"/>
                <w:szCs w:val="21"/>
              </w:rPr>
            </w:pPr>
          </w:p>
        </w:tc>
        <w:tc>
          <w:tcPr>
            <w:tcW w:w="8278" w:type="dxa"/>
            <w:gridSpan w:val="6"/>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用于全县的民兵组织建设、政治教育和军事训练。开展全民国防教育，做好拥军优属和拥政爱民的工作。组织带领民兵完成战备执勤、防汛、抢险、救灾等任务。民兵和预备役人员登记、统计工作，保质保量完成征兵任务。国防动员工作，平时会同有关部门进行战争潜力调查，做好相关动员准备工作；战时组织动员民兵参军参战，支援前线、保卫后方和协助组织人口疏散等工作。同时做好我县的军事设施保护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资金支出计划（%）</w:t>
            </w:r>
          </w:p>
        </w:tc>
        <w:tc>
          <w:tcPr>
            <w:tcW w:w="2410" w:type="dxa"/>
            <w:gridSpan w:val="2"/>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3月底</w:t>
            </w:r>
          </w:p>
        </w:tc>
        <w:tc>
          <w:tcPr>
            <w:tcW w:w="1587"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6月底</w:t>
            </w:r>
          </w:p>
        </w:tc>
        <w:tc>
          <w:tcPr>
            <w:tcW w:w="130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10月底</w:t>
            </w:r>
          </w:p>
        </w:tc>
        <w:tc>
          <w:tcPr>
            <w:tcW w:w="2977" w:type="dxa"/>
            <w:gridSpan w:val="2"/>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rPr>
                <w:rFonts w:asciiTheme="minorEastAsia" w:hAnsiTheme="minorEastAsia" w:eastAsiaTheme="minorEastAsia" w:cstheme="minorEastAsia"/>
                <w:szCs w:val="21"/>
              </w:rPr>
            </w:pPr>
          </w:p>
        </w:tc>
        <w:tc>
          <w:tcPr>
            <w:tcW w:w="2410" w:type="dxa"/>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p>
        </w:tc>
        <w:tc>
          <w:tcPr>
            <w:tcW w:w="1587" w:type="dxa"/>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w:t>
            </w:r>
          </w:p>
        </w:tc>
        <w:tc>
          <w:tcPr>
            <w:tcW w:w="1304" w:type="dxa"/>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w:t>
            </w:r>
          </w:p>
        </w:tc>
        <w:tc>
          <w:tcPr>
            <w:tcW w:w="2977" w:type="dxa"/>
            <w:gridSpan w:val="2"/>
            <w:tcBorders>
              <w:bottom w:val="single" w:color="000000" w:sz="6" w:space="0"/>
            </w:tcBorders>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绩效目标</w:t>
            </w:r>
          </w:p>
        </w:tc>
        <w:tc>
          <w:tcPr>
            <w:tcW w:w="8278" w:type="dxa"/>
            <w:gridSpan w:val="6"/>
            <w:tcBorders>
              <w:bottom w:val="nil"/>
            </w:tcBorders>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1、主要用于全县的民兵组织建设、政治教育和军事训练.</w:t>
            </w:r>
          </w:p>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2、组织带领民兵完成战备执勤、防汛、抢险、救灾等任务。</w:t>
            </w:r>
          </w:p>
        </w:tc>
      </w:tr>
    </w:tbl>
    <w:p>
      <w:pPr>
        <w:spacing w:line="14" w:lineRule="exact"/>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bl>
      <w:tblPr>
        <w:tblStyle w:val="7"/>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一级指标</w:t>
            </w:r>
          </w:p>
        </w:tc>
        <w:tc>
          <w:tcPr>
            <w:tcW w:w="1134"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二级指标</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三级指标</w:t>
            </w:r>
          </w:p>
        </w:tc>
        <w:tc>
          <w:tcPr>
            <w:tcW w:w="2891"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绩效指标描述</w:t>
            </w:r>
          </w:p>
        </w:tc>
        <w:tc>
          <w:tcPr>
            <w:tcW w:w="1276"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指标值</w:t>
            </w:r>
          </w:p>
        </w:tc>
        <w:tc>
          <w:tcPr>
            <w:tcW w:w="1701" w:type="dxa"/>
            <w:shd w:val="clear" w:color="auto" w:fill="auto"/>
            <w:vAlign w:val="center"/>
          </w:tcPr>
          <w:p>
            <w:pPr>
              <w:spacing w:line="30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产出指标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完成战备训练次数</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战备秩序良好</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≥10次</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heme="minorEastAsia" w:hAnsiTheme="minorEastAsia" w:eastAsiaTheme="minorEastAsia" w:cstheme="minorEastAsia"/>
                <w:szCs w:val="21"/>
              </w:rPr>
            </w:pP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参训人员和各</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参训人员提高战斗力</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效果指标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社会效益指标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社会人员国防意识合格</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提高全民国防意识</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Theme="minorEastAsia" w:hAnsiTheme="minorEastAsia" w:eastAsiaTheme="minorEastAsia" w:cstheme="minorEastAsia"/>
                <w:szCs w:val="21"/>
              </w:rPr>
            </w:pP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可持续影响指标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完成任务水平</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圆满完成各项任务</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满意度指标</w:t>
            </w:r>
          </w:p>
        </w:tc>
        <w:tc>
          <w:tcPr>
            <w:tcW w:w="1134"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服务对象满意度指标</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确保各项任务完成圆满</w:t>
            </w:r>
          </w:p>
        </w:tc>
        <w:tc>
          <w:tcPr>
            <w:tcW w:w="289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武装工作良好</w:t>
            </w:r>
          </w:p>
        </w:tc>
        <w:tc>
          <w:tcPr>
            <w:tcW w:w="1276"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≥90百分比</w:t>
            </w:r>
          </w:p>
        </w:tc>
        <w:tc>
          <w:tcPr>
            <w:tcW w:w="1701" w:type="dxa"/>
            <w:shd w:val="clear" w:color="auto" w:fill="auto"/>
            <w:vAlign w:val="center"/>
          </w:tcPr>
          <w:p>
            <w:pPr>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内部考核</w:t>
            </w:r>
          </w:p>
        </w:tc>
      </w:tr>
    </w:tbl>
    <w:p>
      <w:pPr>
        <w:widowControl/>
        <w:spacing w:line="560" w:lineRule="exact"/>
        <w:rPr>
          <w:rFonts w:ascii="仿宋" w:hAnsi="仿宋" w:eastAsia="仿宋" w:cs="仿宋"/>
          <w:kern w:val="0"/>
          <w:sz w:val="28"/>
          <w:szCs w:val="28"/>
        </w:rPr>
      </w:pPr>
      <w:r>
        <w:rPr>
          <w:rFonts w:hint="eastAsia" w:ascii="黑体" w:hAnsi="黑体" w:eastAsia="黑体" w:cs="黑体"/>
          <w:kern w:val="0"/>
          <w:sz w:val="28"/>
          <w:szCs w:val="28"/>
        </w:rPr>
        <w:t xml:space="preserve">   六、政府采购预算情况</w:t>
      </w:r>
    </w:p>
    <w:p>
      <w:pPr>
        <w:widowControl/>
        <w:spacing w:line="560" w:lineRule="exact"/>
        <w:ind w:firstLine="560"/>
        <w:rPr>
          <w:rFonts w:ascii="仿宋" w:hAnsi="仿宋" w:eastAsia="仿宋" w:cs="仿宋"/>
          <w:kern w:val="0"/>
          <w:sz w:val="28"/>
          <w:szCs w:val="28"/>
        </w:rPr>
      </w:pPr>
      <w:r>
        <w:rPr>
          <w:rFonts w:hint="eastAsia" w:ascii="仿宋" w:hAnsi="仿宋" w:eastAsia="仿宋" w:cs="仿宋"/>
          <w:kern w:val="0"/>
          <w:sz w:val="28"/>
          <w:szCs w:val="28"/>
        </w:rPr>
        <w:t>2020年我部门无政府采购预算，空表列示。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4" w:name="_Toc30009658"/>
      <w:r>
        <w:rPr>
          <w:rFonts w:hint="eastAsia" w:ascii="方正小标宋_GBK" w:eastAsia="方正小标宋_GBK"/>
          <w:sz w:val="18"/>
          <w:szCs w:val="18"/>
        </w:rPr>
        <w:instrText xml:space="preserve">部门政府采购预算</w:instrText>
      </w:r>
      <w:bookmarkEnd w:id="4"/>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7"/>
        <w:tblW w:w="89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4"/>
        <w:gridCol w:w="695"/>
        <w:gridCol w:w="602"/>
        <w:gridCol w:w="990"/>
        <w:gridCol w:w="485"/>
        <w:gridCol w:w="326"/>
        <w:gridCol w:w="424"/>
        <w:gridCol w:w="548"/>
        <w:gridCol w:w="831"/>
        <w:gridCol w:w="687"/>
        <w:gridCol w:w="647"/>
        <w:gridCol w:w="1093"/>
        <w:gridCol w:w="1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0" w:hRule="atLeast"/>
          <w:tblHeader/>
          <w:jc w:val="center"/>
        </w:trPr>
        <w:tc>
          <w:tcPr>
            <w:tcW w:w="4056"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4924"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6" w:hRule="atLeast"/>
          <w:tblHeader/>
          <w:jc w:val="center"/>
        </w:trPr>
        <w:tc>
          <w:tcPr>
            <w:tcW w:w="1229" w:type="dxa"/>
            <w:gridSpan w:val="2"/>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602"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0"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485"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326"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424"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4924" w:type="dxa"/>
            <w:gridSpan w:val="6"/>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93" w:hRule="atLeast"/>
          <w:tblHeader/>
          <w:jc w:val="center"/>
        </w:trPr>
        <w:tc>
          <w:tcPr>
            <w:tcW w:w="534"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695"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602"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990"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85"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326"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24"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548"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831"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687"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647"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093"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118"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0" w:hRule="atLeast"/>
          <w:jc w:val="center"/>
        </w:trPr>
        <w:tc>
          <w:tcPr>
            <w:tcW w:w="534"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695"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602"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990"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485"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326"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424"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548"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831" w:type="dxa"/>
            <w:shd w:val="clear" w:color="auto" w:fill="auto"/>
            <w:vAlign w:val="center"/>
          </w:tcPr>
          <w:p>
            <w:pPr>
              <w:spacing w:line="400" w:lineRule="exact"/>
              <w:rPr>
                <w:rFonts w:asciiTheme="minorEastAsia" w:hAnsiTheme="minorEastAsia" w:eastAsia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647"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093"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118"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r>
    </w:tbl>
    <w:p>
      <w:pPr>
        <w:widowControl/>
        <w:spacing w:line="560" w:lineRule="exact"/>
        <w:rPr>
          <w:rFonts w:ascii="仿宋" w:hAnsi="仿宋" w:eastAsia="仿宋" w:cs="仿宋"/>
          <w:kern w:val="0"/>
          <w:sz w:val="28"/>
          <w:szCs w:val="28"/>
        </w:rPr>
      </w:pPr>
    </w:p>
    <w:p>
      <w:pPr>
        <w:widowControl/>
        <w:spacing w:line="560" w:lineRule="exact"/>
        <w:rPr>
          <w:rFonts w:ascii="仿宋" w:hAnsi="仿宋" w:eastAsia="仿宋" w:cs="仿宋"/>
          <w:kern w:val="0"/>
          <w:sz w:val="28"/>
          <w:szCs w:val="28"/>
        </w:rPr>
      </w:pPr>
      <w:r>
        <w:rPr>
          <w:rFonts w:hint="eastAsia" w:ascii="黑体" w:hAnsi="黑体" w:eastAsia="黑体" w:cs="黑体"/>
          <w:kern w:val="0"/>
          <w:sz w:val="28"/>
          <w:szCs w:val="28"/>
        </w:rPr>
        <w:t>七、国有资产信息情况</w:t>
      </w:r>
    </w:p>
    <w:p>
      <w:pPr>
        <w:widowControl/>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我部门固定资产台账</w:t>
      </w:r>
      <w:r>
        <w:rPr>
          <w:rFonts w:ascii="仿宋" w:hAnsi="仿宋" w:eastAsia="仿宋" w:cs="仿宋"/>
          <w:kern w:val="0"/>
          <w:sz w:val="28"/>
          <w:szCs w:val="28"/>
        </w:rPr>
        <w:t>，属上级军事机关统一</w:t>
      </w:r>
      <w:r>
        <w:rPr>
          <w:rFonts w:hint="eastAsia" w:ascii="仿宋" w:hAnsi="仿宋" w:eastAsia="仿宋" w:cs="仿宋"/>
          <w:kern w:val="0"/>
          <w:sz w:val="28"/>
          <w:szCs w:val="28"/>
        </w:rPr>
        <w:t>管理。</w:t>
      </w:r>
    </w:p>
    <w:p>
      <w:pPr>
        <w:spacing w:line="560" w:lineRule="exact"/>
        <w:rPr>
          <w:rFonts w:ascii="黑体" w:hAnsi="仿宋_GB2312" w:eastAsia="黑体" w:cs="仿宋_GB2312"/>
          <w:bCs/>
          <w:sz w:val="28"/>
          <w:szCs w:val="28"/>
        </w:rPr>
      </w:pPr>
      <w:r>
        <w:rPr>
          <w:rFonts w:hint="eastAsia" w:ascii="黑体" w:hAnsi="仿宋_GB2312" w:eastAsia="黑体" w:cs="仿宋_GB2312"/>
          <w:bCs/>
          <w:sz w:val="28"/>
          <w:szCs w:val="28"/>
        </w:rPr>
        <w:t>八、专业名词解释</w:t>
      </w:r>
    </w:p>
    <w:p>
      <w:pPr>
        <w:spacing w:line="560" w:lineRule="exact"/>
        <w:ind w:firstLine="551" w:firstLineChars="196"/>
        <w:rPr>
          <w:rFonts w:ascii="仿宋" w:hAnsi="仿宋" w:eastAsia="仿宋"/>
          <w:kern w:val="0"/>
          <w:sz w:val="28"/>
          <w:szCs w:val="28"/>
        </w:rPr>
      </w:pPr>
      <w:r>
        <w:rPr>
          <w:rFonts w:ascii="仿宋_GB2312" w:hAnsi="宋体" w:eastAsia="仿宋_GB2312"/>
          <w:b/>
          <w:bCs/>
          <w:sz w:val="28"/>
          <w:szCs w:val="28"/>
        </w:rPr>
        <w:t>1</w:t>
      </w:r>
      <w:r>
        <w:rPr>
          <w:rFonts w:hint="eastAsia" w:ascii="仿宋_GB2312" w:hAnsi="宋体" w:eastAsia="仿宋_GB2312"/>
          <w:b/>
          <w:bCs/>
          <w:sz w:val="28"/>
          <w:szCs w:val="28"/>
        </w:rPr>
        <w:t>、一般公共预算财政拨款收入：</w:t>
      </w:r>
      <w:r>
        <w:rPr>
          <w:rFonts w:hint="eastAsia" w:ascii="仿宋" w:hAnsi="仿宋" w:eastAsia="仿宋"/>
          <w:kern w:val="0"/>
          <w:sz w:val="28"/>
          <w:szCs w:val="28"/>
        </w:rPr>
        <w:t>县级财政当年拨付的资金。</w:t>
      </w:r>
    </w:p>
    <w:p>
      <w:pPr>
        <w:pStyle w:val="4"/>
        <w:widowControl/>
        <w:spacing w:line="560" w:lineRule="exact"/>
        <w:ind w:firstLine="506" w:firstLineChars="180"/>
        <w:rPr>
          <w:rFonts w:ascii="仿宋" w:hAnsi="仿宋" w:eastAsia="仿宋"/>
          <w:sz w:val="28"/>
          <w:szCs w:val="28"/>
        </w:rPr>
      </w:pPr>
      <w:r>
        <w:rPr>
          <w:rStyle w:val="6"/>
          <w:rFonts w:ascii="仿宋_GB2312" w:hAnsi="仿宋_GB2312" w:eastAsia="仿宋_GB2312" w:cs="仿宋_GB2312"/>
          <w:sz w:val="28"/>
          <w:szCs w:val="28"/>
          <w:shd w:val="clear" w:color="auto" w:fill="FFFFFF"/>
        </w:rPr>
        <w:t>2</w:t>
      </w:r>
      <w:r>
        <w:rPr>
          <w:rStyle w:val="6"/>
          <w:rFonts w:hint="eastAsia" w:ascii="仿宋_GB2312" w:hAnsi="仿宋_GB2312" w:eastAsia="仿宋_GB2312" w:cs="仿宋_GB2312"/>
          <w:sz w:val="28"/>
          <w:szCs w:val="28"/>
          <w:shd w:val="clear" w:color="auto" w:fill="FFFFFF"/>
        </w:rPr>
        <w:t>、其他收入：</w:t>
      </w:r>
      <w:r>
        <w:rPr>
          <w:rFonts w:hint="eastAsia" w:ascii="仿宋" w:hAnsi="仿宋" w:eastAsia="仿宋"/>
          <w:sz w:val="28"/>
          <w:szCs w:val="28"/>
        </w:rPr>
        <w:t>指除上述财政拨款收入以外的收入。主要是存款利息收入。</w:t>
      </w:r>
    </w:p>
    <w:p>
      <w:pPr>
        <w:pStyle w:val="4"/>
        <w:widowControl/>
        <w:spacing w:line="560" w:lineRule="exact"/>
        <w:ind w:firstLine="506" w:firstLineChars="180"/>
        <w:rPr>
          <w:rFonts w:ascii="仿宋" w:hAnsi="仿宋" w:eastAsia="仿宋"/>
          <w:sz w:val="28"/>
          <w:szCs w:val="28"/>
        </w:rPr>
      </w:pPr>
      <w:r>
        <w:rPr>
          <w:rStyle w:val="6"/>
          <w:rFonts w:ascii="仿宋_GB2312" w:hAnsi="仿宋_GB2312" w:eastAsia="仿宋_GB2312" w:cs="仿宋_GB2312"/>
          <w:color w:val="000000"/>
          <w:sz w:val="28"/>
          <w:szCs w:val="28"/>
          <w:shd w:val="clear" w:color="auto" w:fill="FFFFFF"/>
        </w:rPr>
        <w:t>3</w:t>
      </w:r>
      <w:r>
        <w:rPr>
          <w:rFonts w:hint="eastAsia" w:ascii="仿宋_GB2312" w:hAnsi="宋体" w:eastAsia="仿宋_GB2312"/>
          <w:b/>
          <w:bCs/>
          <w:sz w:val="28"/>
          <w:szCs w:val="28"/>
        </w:rPr>
        <w:t>、基本支出：</w:t>
      </w:r>
      <w:r>
        <w:rPr>
          <w:rFonts w:hint="eastAsia" w:ascii="仿宋" w:hAnsi="仿宋" w:eastAsia="仿宋"/>
          <w:sz w:val="28"/>
          <w:szCs w:val="28"/>
        </w:rPr>
        <w:t>指为保障机构正常运转、完成日常工作任务而发生的人员支出和公用支出。</w:t>
      </w:r>
    </w:p>
    <w:p>
      <w:pPr>
        <w:pStyle w:val="4"/>
        <w:widowControl/>
        <w:spacing w:line="560" w:lineRule="exact"/>
        <w:rPr>
          <w:rFonts w:ascii="仿宋" w:hAnsi="仿宋" w:eastAsia="仿宋"/>
          <w:sz w:val="28"/>
          <w:szCs w:val="28"/>
        </w:rPr>
      </w:pPr>
      <w:r>
        <w:rPr>
          <w:rFonts w:ascii="仿宋_GB2312" w:hAnsi="宋体" w:eastAsia="仿宋_GB2312"/>
          <w:b/>
          <w:bCs/>
          <w:sz w:val="28"/>
          <w:szCs w:val="28"/>
        </w:rPr>
        <w:t xml:space="preserve">    4</w:t>
      </w:r>
      <w:r>
        <w:rPr>
          <w:rFonts w:hint="eastAsia" w:ascii="仿宋_GB2312" w:hAnsi="宋体" w:eastAsia="仿宋_GB2312"/>
          <w:b/>
          <w:bCs/>
          <w:sz w:val="28"/>
          <w:szCs w:val="28"/>
        </w:rPr>
        <w:t>、项目支出</w:t>
      </w:r>
      <w:r>
        <w:rPr>
          <w:rFonts w:hint="eastAsia" w:ascii="仿宋_GB2312" w:hAnsi="宋体" w:eastAsia="仿宋_GB2312"/>
          <w:sz w:val="28"/>
          <w:szCs w:val="28"/>
        </w:rPr>
        <w:t>：</w:t>
      </w:r>
      <w:r>
        <w:rPr>
          <w:rFonts w:hint="eastAsia" w:ascii="仿宋" w:hAnsi="仿宋" w:eastAsia="仿宋"/>
          <w:sz w:val="28"/>
          <w:szCs w:val="28"/>
        </w:rPr>
        <w:t>指在基本支出之外为完成特定行政任务和事业发展目标所发生的支出。</w:t>
      </w:r>
    </w:p>
    <w:p>
      <w:pPr>
        <w:pStyle w:val="4"/>
        <w:widowControl/>
        <w:spacing w:line="560" w:lineRule="exact"/>
        <w:ind w:firstLine="562" w:firstLineChars="200"/>
        <w:rPr>
          <w:rFonts w:ascii="仿宋" w:hAnsi="仿宋" w:eastAsia="仿宋"/>
          <w:sz w:val="28"/>
          <w:szCs w:val="28"/>
        </w:rPr>
      </w:pPr>
      <w:r>
        <w:rPr>
          <w:rFonts w:ascii="仿宋_GB2312" w:hAnsi="宋体" w:eastAsia="仿宋_GB2312"/>
          <w:b/>
          <w:bCs/>
          <w:sz w:val="28"/>
          <w:szCs w:val="28"/>
        </w:rPr>
        <w:t>5</w:t>
      </w:r>
      <w:r>
        <w:rPr>
          <w:rFonts w:hint="eastAsia" w:ascii="仿宋_GB2312" w:hAnsi="宋体" w:eastAsia="仿宋_GB2312"/>
          <w:b/>
          <w:bCs/>
          <w:sz w:val="28"/>
          <w:szCs w:val="28"/>
        </w:rPr>
        <w:t>、“三公”经费：</w:t>
      </w:r>
      <w:r>
        <w:rPr>
          <w:rFonts w:hint="eastAsia" w:ascii="仿宋" w:hAnsi="仿宋" w:eastAsia="仿宋"/>
          <w:sz w:val="28"/>
          <w:szCs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spacing w:line="560" w:lineRule="exact"/>
        <w:ind w:firstLine="562" w:firstLineChars="200"/>
        <w:rPr>
          <w:rFonts w:ascii="仿宋" w:hAnsi="仿宋" w:eastAsia="仿宋"/>
          <w:sz w:val="28"/>
          <w:szCs w:val="28"/>
        </w:rPr>
      </w:pPr>
      <w:r>
        <w:rPr>
          <w:rFonts w:ascii="仿宋_GB2312" w:hAnsi="宋体" w:eastAsia="仿宋_GB2312"/>
          <w:b/>
          <w:bCs/>
          <w:sz w:val="28"/>
          <w:szCs w:val="28"/>
        </w:rPr>
        <w:t>6</w:t>
      </w:r>
      <w:r>
        <w:rPr>
          <w:rFonts w:hint="eastAsia" w:ascii="仿宋_GB2312" w:hAnsi="宋体" w:eastAsia="仿宋_GB2312"/>
          <w:b/>
          <w:bCs/>
          <w:sz w:val="28"/>
          <w:szCs w:val="28"/>
        </w:rPr>
        <w:t>、机关运行经费：</w:t>
      </w:r>
      <w:r>
        <w:rPr>
          <w:rFonts w:hint="eastAsia" w:ascii="仿宋" w:hAnsi="仿宋" w:eastAsia="仿宋"/>
          <w:sz w:val="28"/>
          <w:szCs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 w:hAnsi="仿宋" w:eastAsia="仿宋" w:cs="仿宋"/>
          <w:kern w:val="0"/>
          <w:sz w:val="28"/>
          <w:szCs w:val="28"/>
        </w:rPr>
      </w:pPr>
      <w:r>
        <w:rPr>
          <w:rFonts w:hint="eastAsia" w:ascii="黑体" w:hAnsi="黑体" w:eastAsia="黑体" w:cs="黑体"/>
          <w:kern w:val="0"/>
          <w:sz w:val="28"/>
          <w:szCs w:val="28"/>
        </w:rPr>
        <w:t xml:space="preserve">    九、其他需说明的事项</w:t>
      </w:r>
    </w:p>
    <w:p>
      <w:pPr>
        <w:spacing w:line="560" w:lineRule="exact"/>
        <w:rPr>
          <w:rFonts w:ascii="仿宋" w:hAnsi="仿宋" w:eastAsia="仿宋" w:cs="仿宋"/>
          <w:sz w:val="28"/>
          <w:szCs w:val="28"/>
        </w:rPr>
      </w:pPr>
      <w:r>
        <w:rPr>
          <w:rFonts w:hint="eastAsia" w:ascii="仿宋" w:hAnsi="仿宋" w:eastAsia="仿宋" w:cs="仿宋"/>
          <w:kern w:val="0"/>
          <w:sz w:val="28"/>
          <w:szCs w:val="28"/>
        </w:rPr>
        <w:t xml:space="preserve">    因我部门属中国人民解放军部队编制，财政由军队、地方共同保障，部分公开内容涉及军队内部秘密事项故较为笼统，</w:t>
      </w:r>
      <w:r>
        <w:rPr>
          <w:rFonts w:hint="eastAsia" w:ascii="仿宋" w:hAnsi="仿宋" w:eastAsia="仿宋" w:cs="仿宋"/>
          <w:sz w:val="28"/>
          <w:szCs w:val="28"/>
        </w:rPr>
        <w:t>我部门无政府性基金预算及国有资本经营预算，已空表列示。</w:t>
      </w:r>
    </w:p>
    <w:p>
      <w:pPr>
        <w:spacing w:line="56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1219"/>
    <w:multiLevelType w:val="singleLevel"/>
    <w:tmpl w:val="60B5121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B373A8F"/>
    <w:rsid w:val="00092DB1"/>
    <w:rsid w:val="000B0144"/>
    <w:rsid w:val="000B7D29"/>
    <w:rsid w:val="000C4C45"/>
    <w:rsid w:val="000D52A9"/>
    <w:rsid w:val="001875AF"/>
    <w:rsid w:val="00217302"/>
    <w:rsid w:val="00240005"/>
    <w:rsid w:val="00260C69"/>
    <w:rsid w:val="00333DD4"/>
    <w:rsid w:val="004306D3"/>
    <w:rsid w:val="004554A3"/>
    <w:rsid w:val="004D1493"/>
    <w:rsid w:val="00521C26"/>
    <w:rsid w:val="00556E1C"/>
    <w:rsid w:val="00562D64"/>
    <w:rsid w:val="00572022"/>
    <w:rsid w:val="00597D5F"/>
    <w:rsid w:val="005B7E38"/>
    <w:rsid w:val="005F31CD"/>
    <w:rsid w:val="00627391"/>
    <w:rsid w:val="007974C3"/>
    <w:rsid w:val="007C5135"/>
    <w:rsid w:val="008735AD"/>
    <w:rsid w:val="008A47A3"/>
    <w:rsid w:val="00A64BD3"/>
    <w:rsid w:val="00AC1F9A"/>
    <w:rsid w:val="00B03D64"/>
    <w:rsid w:val="00B7195F"/>
    <w:rsid w:val="00B84BD8"/>
    <w:rsid w:val="00BB12B7"/>
    <w:rsid w:val="00C10A17"/>
    <w:rsid w:val="00CF2004"/>
    <w:rsid w:val="00D27846"/>
    <w:rsid w:val="00D67ED9"/>
    <w:rsid w:val="00DE75BD"/>
    <w:rsid w:val="00F6378B"/>
    <w:rsid w:val="00F84041"/>
    <w:rsid w:val="040648C1"/>
    <w:rsid w:val="09AB6CBD"/>
    <w:rsid w:val="0A681BF6"/>
    <w:rsid w:val="0C60671B"/>
    <w:rsid w:val="0C897DB5"/>
    <w:rsid w:val="0ECA2E39"/>
    <w:rsid w:val="20AA4F39"/>
    <w:rsid w:val="21420B15"/>
    <w:rsid w:val="25B6642D"/>
    <w:rsid w:val="29E543B3"/>
    <w:rsid w:val="2D0A4D3A"/>
    <w:rsid w:val="2F34074F"/>
    <w:rsid w:val="2F6617EC"/>
    <w:rsid w:val="30ED5B12"/>
    <w:rsid w:val="32B70C3E"/>
    <w:rsid w:val="336B305B"/>
    <w:rsid w:val="3979182F"/>
    <w:rsid w:val="3A111DEB"/>
    <w:rsid w:val="3A152BF2"/>
    <w:rsid w:val="3CEF0F1E"/>
    <w:rsid w:val="3E0F0E93"/>
    <w:rsid w:val="405F7975"/>
    <w:rsid w:val="40B13BD9"/>
    <w:rsid w:val="461A13D0"/>
    <w:rsid w:val="4633677E"/>
    <w:rsid w:val="4740710D"/>
    <w:rsid w:val="48890A45"/>
    <w:rsid w:val="48F40D32"/>
    <w:rsid w:val="49795A5B"/>
    <w:rsid w:val="4FCD5E51"/>
    <w:rsid w:val="53F7061A"/>
    <w:rsid w:val="5818329F"/>
    <w:rsid w:val="58BC5F69"/>
    <w:rsid w:val="59137579"/>
    <w:rsid w:val="5B373A8F"/>
    <w:rsid w:val="5C8E6C71"/>
    <w:rsid w:val="5C8F584A"/>
    <w:rsid w:val="5E603BB4"/>
    <w:rsid w:val="5F1E4198"/>
    <w:rsid w:val="61C36EC3"/>
    <w:rsid w:val="65356EB1"/>
    <w:rsid w:val="684A0497"/>
    <w:rsid w:val="6A173236"/>
    <w:rsid w:val="6F795B2B"/>
    <w:rsid w:val="710C34BB"/>
    <w:rsid w:val="72A536EF"/>
    <w:rsid w:val="753D1CE5"/>
    <w:rsid w:val="78E14FFD"/>
    <w:rsid w:val="79306F34"/>
    <w:rsid w:val="7BD15D1C"/>
    <w:rsid w:val="7EA14C2B"/>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6">
    <w:name w:val="Strong"/>
    <w:basedOn w:val="5"/>
    <w:qFormat/>
    <w:uiPriority w:val="0"/>
    <w:rPr>
      <w:b/>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p15"/>
    <w:basedOn w:val="1"/>
    <w:qFormat/>
    <w:uiPriority w:val="0"/>
    <w:pPr>
      <w:widowControl/>
    </w:pPr>
    <w:rPr>
      <w:kern w:val="0"/>
      <w:szCs w:val="21"/>
    </w:rPr>
  </w:style>
  <w:style w:type="character" w:customStyle="1" w:styleId="10">
    <w:name w:val="页眉 字符"/>
    <w:basedOn w:val="5"/>
    <w:link w:val="3"/>
    <w:qFormat/>
    <w:uiPriority w:val="0"/>
    <w:rPr>
      <w:rFonts w:eastAsia="宋体"/>
      <w:kern w:val="2"/>
      <w:sz w:val="18"/>
      <w:szCs w:val="18"/>
    </w:rPr>
  </w:style>
  <w:style w:type="character" w:customStyle="1" w:styleId="11">
    <w:name w:val="页脚 字符"/>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995</Words>
  <Characters>5677</Characters>
  <Lines>47</Lines>
  <Paragraphs>13</Paragraphs>
  <ScaleCrop>false</ScaleCrop>
  <LinksUpToDate>false</LinksUpToDate>
  <CharactersWithSpaces>6659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2017-03-15T07:40:00Z</dcterms:created>
  <dc:creator>P</dc:creator>
  <cp:lastModifiedBy>P</cp:lastModifiedBy>
  <cp:lastPrinted>2017-03-27T14:28:00Z</cp:lastPrinted>
  <dcterms:modified xsi:type="dcterms:W3CDTF">2021-05-31T16:30:30Z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