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涞水县国家电子商务进农村综合示范项目2</w:t>
      </w:r>
      <w:r>
        <w:rPr>
          <w:rFonts w:asciiTheme="majorEastAsia" w:hAnsiTheme="majorEastAsia" w:eastAsiaTheme="majorEastAsia"/>
          <w:b/>
          <w:sz w:val="44"/>
          <w:szCs w:val="44"/>
        </w:rPr>
        <w:t>020</w:t>
      </w:r>
      <w:r>
        <w:rPr>
          <w:rFonts w:hint="eastAsia" w:asciiTheme="majorEastAsia" w:hAnsiTheme="majorEastAsia" w:eastAsiaTheme="majorEastAsia"/>
          <w:b/>
          <w:sz w:val="44"/>
          <w:szCs w:val="44"/>
        </w:rPr>
        <w:t>年12月份资金拨付与项目进度公示</w:t>
      </w:r>
    </w:p>
    <w:tbl>
      <w:tblPr>
        <w:tblStyle w:val="5"/>
        <w:tblW w:w="22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803"/>
        <w:gridCol w:w="2880"/>
        <w:gridCol w:w="1924"/>
        <w:gridCol w:w="1665"/>
        <w:gridCol w:w="1455"/>
        <w:gridCol w:w="1715"/>
        <w:gridCol w:w="2708"/>
        <w:gridCol w:w="1696"/>
        <w:gridCol w:w="166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62"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项目名称</w:t>
            </w:r>
          </w:p>
        </w:tc>
        <w:tc>
          <w:tcPr>
            <w:tcW w:w="2803" w:type="dxa"/>
            <w:vMerge w:val="restart"/>
            <w:vAlign w:val="center"/>
          </w:tcPr>
          <w:p>
            <w:pPr>
              <w:spacing w:after="0" w:line="220" w:lineRule="atLeast"/>
              <w:jc w:val="center"/>
            </w:pPr>
            <w:r>
              <w:rPr>
                <w:rFonts w:hint="eastAsia" w:ascii="仿宋" w:hAnsi="仿宋" w:eastAsia="仿宋"/>
                <w:b/>
                <w:sz w:val="28"/>
                <w:szCs w:val="24"/>
              </w:rPr>
              <w:t>决策文件</w:t>
            </w:r>
          </w:p>
        </w:tc>
        <w:tc>
          <w:tcPr>
            <w:tcW w:w="2880"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建设内容和要求</w:t>
            </w:r>
          </w:p>
        </w:tc>
        <w:tc>
          <w:tcPr>
            <w:tcW w:w="1924"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扶持资金额度</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66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已拨付金额</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45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完成时限</w:t>
            </w:r>
          </w:p>
        </w:tc>
        <w:tc>
          <w:tcPr>
            <w:tcW w:w="171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绩效目标</w:t>
            </w:r>
          </w:p>
        </w:tc>
        <w:tc>
          <w:tcPr>
            <w:tcW w:w="4404" w:type="dxa"/>
            <w:gridSpan w:val="2"/>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本月进度</w:t>
            </w:r>
          </w:p>
        </w:tc>
        <w:tc>
          <w:tcPr>
            <w:tcW w:w="1662"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承办企业</w:t>
            </w:r>
          </w:p>
        </w:tc>
        <w:tc>
          <w:tcPr>
            <w:tcW w:w="1405"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62" w:type="dxa"/>
            <w:vMerge w:val="continue"/>
            <w:vAlign w:val="center"/>
          </w:tcPr>
          <w:p>
            <w:pPr>
              <w:spacing w:after="0" w:line="220" w:lineRule="atLeast"/>
              <w:jc w:val="center"/>
            </w:pPr>
          </w:p>
        </w:tc>
        <w:tc>
          <w:tcPr>
            <w:tcW w:w="2803" w:type="dxa"/>
            <w:vMerge w:val="continue"/>
            <w:vAlign w:val="center"/>
          </w:tcPr>
          <w:p>
            <w:pPr>
              <w:spacing w:after="0" w:line="220" w:lineRule="atLeast"/>
              <w:jc w:val="center"/>
            </w:pPr>
          </w:p>
        </w:tc>
        <w:tc>
          <w:tcPr>
            <w:tcW w:w="2880" w:type="dxa"/>
            <w:vMerge w:val="continue"/>
            <w:vAlign w:val="center"/>
          </w:tcPr>
          <w:p>
            <w:pPr>
              <w:spacing w:after="0" w:line="220" w:lineRule="atLeast"/>
              <w:jc w:val="center"/>
            </w:pPr>
          </w:p>
        </w:tc>
        <w:tc>
          <w:tcPr>
            <w:tcW w:w="1924" w:type="dxa"/>
            <w:vMerge w:val="continue"/>
            <w:vAlign w:val="center"/>
          </w:tcPr>
          <w:p>
            <w:pPr>
              <w:spacing w:after="0" w:line="220" w:lineRule="atLeast"/>
              <w:jc w:val="center"/>
            </w:pPr>
          </w:p>
        </w:tc>
        <w:tc>
          <w:tcPr>
            <w:tcW w:w="1665" w:type="dxa"/>
            <w:vMerge w:val="continue"/>
            <w:vAlign w:val="center"/>
          </w:tcPr>
          <w:p>
            <w:pPr>
              <w:spacing w:after="0" w:line="220" w:lineRule="atLeast"/>
              <w:jc w:val="center"/>
            </w:pPr>
          </w:p>
        </w:tc>
        <w:tc>
          <w:tcPr>
            <w:tcW w:w="1455" w:type="dxa"/>
            <w:vMerge w:val="continue"/>
            <w:vAlign w:val="center"/>
          </w:tcPr>
          <w:p>
            <w:pPr>
              <w:spacing w:after="0" w:line="220" w:lineRule="atLeast"/>
              <w:jc w:val="center"/>
            </w:pPr>
          </w:p>
        </w:tc>
        <w:tc>
          <w:tcPr>
            <w:tcW w:w="1715" w:type="dxa"/>
            <w:vMerge w:val="continue"/>
            <w:vAlign w:val="center"/>
          </w:tcPr>
          <w:p>
            <w:pPr>
              <w:spacing w:after="0" w:line="220" w:lineRule="atLeast"/>
              <w:jc w:val="center"/>
            </w:pPr>
          </w:p>
        </w:tc>
        <w:tc>
          <w:tcPr>
            <w:tcW w:w="2708"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工作情况</w:t>
            </w:r>
          </w:p>
        </w:tc>
        <w:tc>
          <w:tcPr>
            <w:tcW w:w="1696"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资金拨付额</w:t>
            </w:r>
          </w:p>
        </w:tc>
        <w:tc>
          <w:tcPr>
            <w:tcW w:w="1662" w:type="dxa"/>
            <w:vAlign w:val="center"/>
          </w:tcPr>
          <w:p>
            <w:pPr>
              <w:spacing w:after="0" w:line="220" w:lineRule="atLeast"/>
              <w:jc w:val="center"/>
            </w:pPr>
          </w:p>
        </w:tc>
        <w:tc>
          <w:tcPr>
            <w:tcW w:w="1405" w:type="dxa"/>
            <w:vAlign w:val="center"/>
          </w:tcPr>
          <w:p>
            <w:pPr>
              <w:spacing w:after="0"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21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县级公共服务中心</w:t>
            </w: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建设或改造600平米以上的县级农村电商公共服务中心，设置交流室、电教室、会议室、办公室、农产品研发体验中心（100—200平米），</w:t>
            </w:r>
            <w:r>
              <w:rPr>
                <w:rFonts w:hint="eastAsia" w:ascii="仿宋" w:hAnsi="仿宋" w:eastAsia="仿宋" w:cs="宋体"/>
                <w:color w:val="000000"/>
                <w:sz w:val="24"/>
                <w:szCs w:val="24"/>
              </w:rPr>
              <w:t>其它必要的办公设施设备</w:t>
            </w:r>
          </w:p>
        </w:tc>
        <w:tc>
          <w:tcPr>
            <w:tcW w:w="1924"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1个中心建设改造</w:t>
            </w:r>
          </w:p>
          <w:p>
            <w:pPr>
              <w:spacing w:after="0" w:line="220" w:lineRule="atLeast"/>
              <w:jc w:val="center"/>
              <w:rPr>
                <w:rFonts w:ascii="仿宋" w:hAnsi="仿宋" w:eastAsia="仿宋"/>
                <w:sz w:val="24"/>
                <w:szCs w:val="24"/>
              </w:rPr>
            </w:pPr>
          </w:p>
        </w:tc>
        <w:tc>
          <w:tcPr>
            <w:tcW w:w="2708" w:type="dxa"/>
          </w:tcPr>
          <w:p>
            <w:pPr>
              <w:numPr>
                <w:ilvl w:val="0"/>
                <w:numId w:val="1"/>
              </w:numPr>
              <w:spacing w:after="0" w:line="220" w:lineRule="atLeast"/>
              <w:jc w:val="both"/>
              <w:rPr>
                <w:rFonts w:ascii="仿宋" w:hAnsi="仿宋" w:eastAsia="仿宋"/>
                <w:sz w:val="24"/>
                <w:szCs w:val="24"/>
              </w:rPr>
            </w:pPr>
            <w:r>
              <w:rPr>
                <w:rFonts w:hint="eastAsia" w:ascii="仿宋" w:hAnsi="仿宋" w:eastAsia="仿宋"/>
                <w:sz w:val="24"/>
                <w:szCs w:val="24"/>
              </w:rPr>
              <w:t>盘点服务中心固定资产。</w:t>
            </w:r>
          </w:p>
          <w:p>
            <w:pPr>
              <w:spacing w:after="0" w:line="220" w:lineRule="atLeast"/>
              <w:jc w:val="both"/>
              <w:rPr>
                <w:rFonts w:ascii="仿宋" w:hAnsi="仿宋" w:eastAsia="仿宋"/>
                <w:sz w:val="24"/>
                <w:szCs w:val="24"/>
              </w:rPr>
            </w:pPr>
            <w:r>
              <w:rPr>
                <w:rFonts w:hint="eastAsia" w:ascii="仿宋" w:hAnsi="仿宋" w:eastAsia="仿宋"/>
                <w:sz w:val="24"/>
                <w:szCs w:val="24"/>
              </w:rPr>
              <w:t>2、召开年度</w:t>
            </w:r>
            <w:r>
              <w:rPr>
                <w:rFonts w:hint="eastAsia" w:ascii="仿宋" w:hAnsi="仿宋" w:eastAsia="仿宋"/>
                <w:sz w:val="24"/>
                <w:szCs w:val="24"/>
                <w:lang w:eastAsia="zh-CN"/>
              </w:rPr>
              <w:t>工作</w:t>
            </w:r>
            <w:r>
              <w:rPr>
                <w:rFonts w:hint="eastAsia" w:ascii="仿宋" w:hAnsi="仿宋" w:eastAsia="仿宋"/>
                <w:sz w:val="24"/>
                <w:szCs w:val="24"/>
              </w:rPr>
              <w:t>总结会议</w:t>
            </w:r>
          </w:p>
        </w:tc>
        <w:tc>
          <w:tcPr>
            <w:tcW w:w="1696" w:type="dxa"/>
          </w:tcPr>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村级服务站</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常住人口500人以上的行政村或建档立卡贫困村建设面积10平米以上；常住人口500人以下的行政村或建档立卡贫困村建设面积5-10平米。室内有电商区，并配备电脑、背景墙、电视42寸、上网行为数据管理器、收发货物流筐、公告牌及其它相关的设施设备。室外有门头、灯箱、WIFI标识牌。同一行政村，中央财政支持不超过1个，建档立卡贫困村和行政村覆盖率达到50%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284个服务站升级改造</w:t>
            </w:r>
          </w:p>
        </w:tc>
        <w:tc>
          <w:tcPr>
            <w:tcW w:w="2708"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开展民生保障下乡活动，深入到北白堡村、曹皇甫村、刘皇甫村、栗村、北义安村、南郭下村、北郭下村。</w:t>
            </w:r>
          </w:p>
          <w:p>
            <w:pPr>
              <w:spacing w:after="0" w:line="220" w:lineRule="atLeast"/>
              <w:jc w:val="both"/>
              <w:rPr>
                <w:rFonts w:ascii="仿宋" w:hAnsi="仿宋" w:eastAsia="仿宋"/>
                <w:sz w:val="24"/>
                <w:szCs w:val="24"/>
              </w:rPr>
            </w:pP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培训</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225</w:t>
            </w:r>
            <w:bookmarkStart w:id="0" w:name="_GoBack"/>
            <w:bookmarkEnd w:id="0"/>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225</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2708" w:type="dxa"/>
          </w:tcPr>
          <w:p>
            <w:pPr>
              <w:spacing w:after="0" w:line="220" w:lineRule="atLeast"/>
              <w:jc w:val="both"/>
              <w:rPr>
                <w:rFonts w:ascii="仿宋" w:hAnsi="仿宋" w:eastAsia="仿宋"/>
                <w:sz w:val="24"/>
                <w:szCs w:val="24"/>
              </w:rPr>
            </w:pPr>
            <w:r>
              <w:rPr>
                <w:rFonts w:hint="eastAsia" w:ascii="仿宋" w:hAnsi="仿宋" w:eastAsia="仿宋"/>
                <w:sz w:val="24"/>
                <w:szCs w:val="24"/>
              </w:rPr>
              <w:t xml:space="preserve"> </w:t>
            </w:r>
          </w:p>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r>
              <w:rPr>
                <w:rFonts w:hint="eastAsia" w:ascii="仿宋" w:hAnsi="仿宋" w:eastAsia="仿宋"/>
                <w:sz w:val="24"/>
                <w:szCs w:val="24"/>
                <w:lang w:val="en-US" w:eastAsia="zh-CN"/>
              </w:rPr>
              <w:t>12月1日-31日累计</w:t>
            </w:r>
            <w:r>
              <w:rPr>
                <w:rFonts w:hint="eastAsia" w:ascii="仿宋" w:hAnsi="仿宋" w:eastAsia="仿宋"/>
                <w:sz w:val="24"/>
                <w:szCs w:val="24"/>
                <w:lang w:eastAsia="zh-CN"/>
              </w:rPr>
              <w:t>开展</w:t>
            </w:r>
            <w:r>
              <w:rPr>
                <w:rFonts w:hint="eastAsia" w:ascii="仿宋" w:hAnsi="仿宋" w:eastAsia="仿宋"/>
                <w:sz w:val="24"/>
                <w:szCs w:val="24"/>
              </w:rPr>
              <w:t>线上线下</w:t>
            </w:r>
            <w:r>
              <w:rPr>
                <w:rFonts w:hint="eastAsia" w:ascii="仿宋" w:hAnsi="仿宋" w:eastAsia="仿宋"/>
                <w:sz w:val="24"/>
                <w:szCs w:val="24"/>
                <w:lang w:eastAsia="zh-CN"/>
              </w:rPr>
              <w:t>培训</w:t>
            </w:r>
            <w:r>
              <w:rPr>
                <w:rFonts w:ascii="仿宋" w:hAnsi="仿宋" w:eastAsia="仿宋"/>
                <w:sz w:val="24"/>
                <w:szCs w:val="24"/>
              </w:rPr>
              <w:t>8</w:t>
            </w:r>
            <w:r>
              <w:rPr>
                <w:rFonts w:hint="eastAsia" w:ascii="仿宋" w:hAnsi="仿宋" w:eastAsia="仿宋"/>
                <w:sz w:val="24"/>
                <w:szCs w:val="24"/>
              </w:rPr>
              <w:t>场，</w:t>
            </w:r>
            <w:r>
              <w:rPr>
                <w:rFonts w:ascii="仿宋" w:hAnsi="仿宋" w:eastAsia="仿宋"/>
                <w:sz w:val="24"/>
                <w:szCs w:val="24"/>
              </w:rPr>
              <w:t>98</w:t>
            </w:r>
            <w:r>
              <w:rPr>
                <w:rFonts w:hint="eastAsia" w:ascii="仿宋" w:hAnsi="仿宋" w:eastAsia="仿宋"/>
                <w:sz w:val="24"/>
                <w:szCs w:val="24"/>
              </w:rPr>
              <w:t>人次。</w:t>
            </w: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物流配送中心</w:t>
            </w:r>
          </w:p>
          <w:p>
            <w:pPr>
              <w:spacing w:after="0" w:line="220" w:lineRule="atLeast"/>
              <w:jc w:val="center"/>
              <w:rPr>
                <w:rFonts w:ascii="仿宋" w:hAnsi="仿宋" w:eastAsia="仿宋"/>
                <w:sz w:val="24"/>
                <w:szCs w:val="24"/>
              </w:rPr>
            </w:pP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县级仓储物流中心：面积800平米以上，打包台、货架、扫抢配送车辆。乡镇级配送中心按实际需求建设，面积100平米以上，打包台，货架，电脑，扫抢，配送车辆。同一物流线路，中央财政支持不超过1家。物流快递网点的乡镇覆盖率达到100%，能为村站提供服务，与村站实现资源共享。有需求和条件的地区，应建设冷冻库，冷藏柜、冷链物流车等设备设施。</w:t>
            </w:r>
          </w:p>
        </w:tc>
        <w:tc>
          <w:tcPr>
            <w:tcW w:w="1924"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450</w:t>
            </w:r>
          </w:p>
        </w:tc>
        <w:tc>
          <w:tcPr>
            <w:tcW w:w="166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450</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kern w:val="2"/>
                <w:sz w:val="24"/>
                <w:szCs w:val="24"/>
              </w:rPr>
              <w:t>1个县级仓储配送中心</w:t>
            </w:r>
          </w:p>
        </w:tc>
        <w:tc>
          <w:tcPr>
            <w:tcW w:w="2708" w:type="dxa"/>
            <w:vMerge w:val="restart"/>
          </w:tcPr>
          <w:p>
            <w:pPr>
              <w:spacing w:after="0" w:line="220" w:lineRule="atLeast"/>
              <w:rPr>
                <w:rFonts w:ascii="仿宋" w:hAnsi="仿宋" w:eastAsia="仿宋"/>
                <w:sz w:val="24"/>
                <w:szCs w:val="24"/>
              </w:rPr>
            </w:pPr>
          </w:p>
          <w:p>
            <w:pPr>
              <w:spacing w:after="0" w:line="220" w:lineRule="atLeast"/>
              <w:rPr>
                <w:rFonts w:ascii="仿宋" w:hAnsi="仿宋" w:eastAsia="仿宋"/>
                <w:sz w:val="24"/>
                <w:szCs w:val="24"/>
              </w:rPr>
            </w:pPr>
          </w:p>
          <w:p>
            <w:pPr>
              <w:widowControl w:val="0"/>
              <w:numPr>
                <w:ilvl w:val="0"/>
                <w:numId w:val="2"/>
              </w:numPr>
              <w:adjustRightInd/>
              <w:snapToGrid/>
              <w:spacing w:after="0"/>
              <w:rPr>
                <w:rFonts w:ascii="仿宋" w:hAnsi="仿宋" w:eastAsia="仿宋" w:cs="宋体"/>
                <w:sz w:val="24"/>
                <w:szCs w:val="24"/>
              </w:rPr>
            </w:pPr>
            <w:r>
              <w:rPr>
                <w:rFonts w:hint="eastAsia" w:ascii="仿宋" w:hAnsi="仿宋" w:eastAsia="仿宋" w:cs="宋体"/>
                <w:sz w:val="24"/>
                <w:szCs w:val="24"/>
              </w:rPr>
              <w:t>验车并检修所有物流车辆，保障道路运输安全。</w:t>
            </w:r>
          </w:p>
          <w:p>
            <w:pPr>
              <w:widowControl w:val="0"/>
              <w:numPr>
                <w:ilvl w:val="0"/>
                <w:numId w:val="2"/>
              </w:numPr>
              <w:adjustRightInd/>
              <w:snapToGrid/>
              <w:spacing w:after="0"/>
              <w:rPr>
                <w:rFonts w:ascii="仿宋" w:hAnsi="仿宋" w:eastAsia="仿宋" w:cs="宋体"/>
                <w:sz w:val="24"/>
                <w:szCs w:val="24"/>
              </w:rPr>
            </w:pPr>
            <w:r>
              <w:rPr>
                <w:rFonts w:hint="eastAsia" w:ascii="仿宋" w:hAnsi="仿宋" w:eastAsia="仿宋" w:cs="宋体"/>
                <w:sz w:val="24"/>
                <w:szCs w:val="24"/>
              </w:rPr>
              <w:t>物流中心正常有序的运行并逐步增加惠涞网上商城销售的生鲜农产品配送的网点数量。</w:t>
            </w:r>
          </w:p>
        </w:tc>
        <w:tc>
          <w:tcPr>
            <w:tcW w:w="1696" w:type="dxa"/>
            <w:vMerge w:val="restart"/>
            <w:vAlign w:val="center"/>
          </w:tcPr>
          <w:p>
            <w:pPr>
              <w:spacing w:after="0" w:line="220" w:lineRule="atLeast"/>
              <w:jc w:val="center"/>
              <w:rPr>
                <w:rFonts w:ascii="仿宋" w:hAnsi="仿宋" w:eastAsia="仿宋"/>
                <w:sz w:val="24"/>
                <w:szCs w:val="24"/>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涞水汇华商贸有限公司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晋春雨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2162"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乡镇物流配送中心</w:t>
            </w:r>
          </w:p>
        </w:tc>
        <w:tc>
          <w:tcPr>
            <w:tcW w:w="2803" w:type="dxa"/>
            <w:vMerge w:val="continue"/>
            <w:vAlign w:val="center"/>
          </w:tcPr>
          <w:p>
            <w:pPr>
              <w:spacing w:after="0" w:line="220" w:lineRule="atLeast"/>
              <w:jc w:val="center"/>
              <w:rPr>
                <w:rFonts w:ascii="仿宋" w:hAnsi="仿宋" w:eastAsia="仿宋"/>
                <w:sz w:val="24"/>
                <w:szCs w:val="24"/>
              </w:rPr>
            </w:pPr>
          </w:p>
        </w:tc>
        <w:tc>
          <w:tcPr>
            <w:tcW w:w="2880" w:type="dxa"/>
            <w:vMerge w:val="continue"/>
            <w:vAlign w:val="center"/>
          </w:tcPr>
          <w:p>
            <w:pPr>
              <w:spacing w:after="0" w:line="220" w:lineRule="atLeast"/>
              <w:jc w:val="center"/>
              <w:rPr>
                <w:rFonts w:ascii="仿宋" w:hAnsi="仿宋" w:eastAsia="仿宋"/>
                <w:sz w:val="24"/>
                <w:szCs w:val="24"/>
              </w:rPr>
            </w:pPr>
          </w:p>
        </w:tc>
        <w:tc>
          <w:tcPr>
            <w:tcW w:w="1924" w:type="dxa"/>
            <w:vMerge w:val="continue"/>
            <w:vAlign w:val="center"/>
          </w:tcPr>
          <w:p>
            <w:pPr>
              <w:spacing w:after="0" w:line="220" w:lineRule="atLeast"/>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14个乡</w:t>
            </w:r>
          </w:p>
          <w:p>
            <w:pPr>
              <w:spacing w:after="0" w:line="220" w:lineRule="atLeast"/>
              <w:jc w:val="center"/>
              <w:rPr>
                <w:rFonts w:ascii="仿宋" w:hAnsi="仿宋" w:eastAsia="仿宋"/>
                <w:sz w:val="24"/>
                <w:szCs w:val="24"/>
              </w:rPr>
            </w:pPr>
            <w:r>
              <w:rPr>
                <w:rFonts w:hint="eastAsia" w:ascii="仿宋" w:hAnsi="仿宋" w:eastAsia="仿宋"/>
                <w:sz w:val="24"/>
                <w:szCs w:val="24"/>
              </w:rPr>
              <w:t>镇配送中心</w:t>
            </w:r>
          </w:p>
        </w:tc>
        <w:tc>
          <w:tcPr>
            <w:tcW w:w="2708" w:type="dxa"/>
            <w:vMerge w:val="continue"/>
          </w:tcPr>
          <w:p>
            <w:pPr>
              <w:adjustRightInd/>
              <w:snapToGrid/>
              <w:spacing w:after="0"/>
              <w:jc w:val="both"/>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162" w:type="dxa"/>
            <w:vMerge w:val="restart"/>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农业产品上行体系</w:t>
            </w: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在县域范围内引入1-3家企业加入溯源系统，并取得销售成效，有力地推动农业制品上行。</w:t>
            </w:r>
          </w:p>
        </w:tc>
        <w:tc>
          <w:tcPr>
            <w:tcW w:w="1924"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525</w:t>
            </w:r>
          </w:p>
        </w:tc>
        <w:tc>
          <w:tcPr>
            <w:tcW w:w="166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525</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农产品的标准化、生产认证、品牌培育、质量溯源等综合服务体系建设</w:t>
            </w:r>
          </w:p>
        </w:tc>
        <w:tc>
          <w:tcPr>
            <w:tcW w:w="2708" w:type="dxa"/>
            <w:vMerge w:val="restart"/>
          </w:tcPr>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r>
              <w:rPr>
                <w:rFonts w:hint="eastAsia" w:ascii="仿宋" w:hAnsi="仿宋" w:eastAsia="仿宋"/>
                <w:sz w:val="24"/>
                <w:szCs w:val="24"/>
                <w:lang w:eastAsia="zh-CN"/>
              </w:rPr>
              <w:t>开展了</w:t>
            </w:r>
            <w:r>
              <w:rPr>
                <w:rFonts w:hint="eastAsia" w:ascii="仿宋" w:hAnsi="仿宋" w:eastAsia="仿宋"/>
                <w:sz w:val="24"/>
                <w:szCs w:val="24"/>
              </w:rPr>
              <w:t xml:space="preserve">涞水农产品桑葚基地调研，策划桑葚种植标准化、流通标准化规范实施。引入团体标准化专家会议，制作桑葚产品溯源码。     </w:t>
            </w:r>
          </w:p>
        </w:tc>
        <w:tc>
          <w:tcPr>
            <w:tcW w:w="1696" w:type="dxa"/>
            <w:vMerge w:val="restart"/>
            <w:vAlign w:val="center"/>
          </w:tcPr>
          <w:p>
            <w:pPr>
              <w:spacing w:after="0" w:line="220" w:lineRule="atLeast"/>
              <w:jc w:val="center"/>
              <w:rPr>
                <w:rFonts w:ascii="仿宋" w:hAnsi="仿宋" w:eastAsia="仿宋"/>
                <w:sz w:val="24"/>
                <w:szCs w:val="24"/>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162" w:type="dxa"/>
            <w:vMerge w:val="continue"/>
            <w:vAlign w:val="center"/>
          </w:tcPr>
          <w:p>
            <w:pPr>
              <w:adjustRightInd/>
              <w:snapToGrid/>
              <w:spacing w:after="0"/>
              <w:jc w:val="center"/>
              <w:rPr>
                <w:rFonts w:ascii="仿宋" w:hAnsi="仿宋" w:eastAsia="仿宋" w:cs="宋体"/>
                <w:kern w:val="2"/>
                <w:sz w:val="24"/>
                <w:szCs w:val="24"/>
              </w:rPr>
            </w:pPr>
          </w:p>
        </w:tc>
        <w:tc>
          <w:tcPr>
            <w:tcW w:w="2803" w:type="dxa"/>
            <w:vMerge w:val="continue"/>
            <w:vAlign w:val="center"/>
          </w:tcPr>
          <w:p>
            <w:pPr>
              <w:adjustRightInd/>
              <w:snapToGrid/>
              <w:spacing w:after="0"/>
              <w:jc w:val="center"/>
              <w:rPr>
                <w:rFonts w:ascii="仿宋" w:hAnsi="仿宋" w:eastAsia="仿宋"/>
                <w:sz w:val="24"/>
                <w:szCs w:val="24"/>
              </w:rPr>
            </w:pPr>
          </w:p>
        </w:tc>
        <w:tc>
          <w:tcPr>
            <w:tcW w:w="2880" w:type="dxa"/>
            <w:vMerge w:val="continue"/>
            <w:vAlign w:val="center"/>
          </w:tcPr>
          <w:p>
            <w:pPr>
              <w:adjustRightInd/>
              <w:snapToGrid/>
              <w:spacing w:after="0"/>
              <w:jc w:val="center"/>
              <w:rPr>
                <w:rFonts w:ascii="仿宋" w:hAnsi="仿宋" w:eastAsia="仿宋" w:cs="宋体"/>
                <w:kern w:val="2"/>
                <w:sz w:val="24"/>
                <w:szCs w:val="24"/>
              </w:rPr>
            </w:pPr>
          </w:p>
        </w:tc>
        <w:tc>
          <w:tcPr>
            <w:tcW w:w="1924" w:type="dxa"/>
            <w:vMerge w:val="continue"/>
            <w:vAlign w:val="center"/>
          </w:tcPr>
          <w:p>
            <w:pPr>
              <w:adjustRightInd/>
              <w:snapToGrid/>
              <w:spacing w:after="0"/>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农产品分级、包装、预冷、初加工等基础设施建设</w:t>
            </w:r>
          </w:p>
        </w:tc>
        <w:tc>
          <w:tcPr>
            <w:tcW w:w="2708" w:type="dxa"/>
            <w:vMerge w:val="continue"/>
            <w:vAlign w:val="center"/>
          </w:tcPr>
          <w:p>
            <w:pPr>
              <w:adjustRightInd/>
              <w:snapToGrid/>
              <w:spacing w:after="0"/>
              <w:jc w:val="center"/>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bl>
    <w:p>
      <w:pPr>
        <w:spacing w:line="220" w:lineRule="atLeast"/>
        <w:rPr>
          <w:rFonts w:ascii="仿宋" w:hAnsi="仿宋" w:eastAsia="仿宋"/>
          <w:sz w:val="24"/>
          <w:szCs w:val="24"/>
        </w:rPr>
      </w:pPr>
    </w:p>
    <w:sectPr>
      <w:pgSz w:w="23757" w:h="16783" w:orient="landscape"/>
      <w:pgMar w:top="1797"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404FE"/>
    <w:multiLevelType w:val="multilevel"/>
    <w:tmpl w:val="19D404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1D157C"/>
    <w:multiLevelType w:val="singleLevel"/>
    <w:tmpl w:val="5A1D15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51C58"/>
    <w:rsid w:val="001C1529"/>
    <w:rsid w:val="002C7BA4"/>
    <w:rsid w:val="00323B43"/>
    <w:rsid w:val="00333601"/>
    <w:rsid w:val="00395EFF"/>
    <w:rsid w:val="003D37D8"/>
    <w:rsid w:val="00426133"/>
    <w:rsid w:val="004358AB"/>
    <w:rsid w:val="00682F14"/>
    <w:rsid w:val="00696879"/>
    <w:rsid w:val="006B611A"/>
    <w:rsid w:val="006F4BFA"/>
    <w:rsid w:val="007A0F08"/>
    <w:rsid w:val="007A5722"/>
    <w:rsid w:val="008112E1"/>
    <w:rsid w:val="00870161"/>
    <w:rsid w:val="008B7726"/>
    <w:rsid w:val="009C0114"/>
    <w:rsid w:val="00A00000"/>
    <w:rsid w:val="00B347D5"/>
    <w:rsid w:val="00B55646"/>
    <w:rsid w:val="00B90E66"/>
    <w:rsid w:val="00BC1BD4"/>
    <w:rsid w:val="00D038D8"/>
    <w:rsid w:val="00D31D50"/>
    <w:rsid w:val="00EA629F"/>
    <w:rsid w:val="00F44E61"/>
    <w:rsid w:val="00F66B89"/>
    <w:rsid w:val="00F8778D"/>
    <w:rsid w:val="022E284B"/>
    <w:rsid w:val="025608ED"/>
    <w:rsid w:val="042B0140"/>
    <w:rsid w:val="092C17AA"/>
    <w:rsid w:val="0DC51BBA"/>
    <w:rsid w:val="0F3235C3"/>
    <w:rsid w:val="149A3019"/>
    <w:rsid w:val="1E1A00C2"/>
    <w:rsid w:val="226C516F"/>
    <w:rsid w:val="22747DBB"/>
    <w:rsid w:val="22E02B74"/>
    <w:rsid w:val="23CF233D"/>
    <w:rsid w:val="2B1B055B"/>
    <w:rsid w:val="2C094745"/>
    <w:rsid w:val="31D27D3C"/>
    <w:rsid w:val="39D247AC"/>
    <w:rsid w:val="3A722995"/>
    <w:rsid w:val="3BAD70DD"/>
    <w:rsid w:val="3F973CC5"/>
    <w:rsid w:val="4231042E"/>
    <w:rsid w:val="43A22D43"/>
    <w:rsid w:val="506F5A80"/>
    <w:rsid w:val="5077187F"/>
    <w:rsid w:val="516B4657"/>
    <w:rsid w:val="57037581"/>
    <w:rsid w:val="5B801CC6"/>
    <w:rsid w:val="61D77C00"/>
    <w:rsid w:val="64E231C8"/>
    <w:rsid w:val="67C46391"/>
    <w:rsid w:val="6F361E1D"/>
    <w:rsid w:val="7B83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ahoma" w:hAnsi="Tahoma" w:eastAsia="微软雅黑" w:cstheme="minorBidi"/>
      <w:sz w:val="18"/>
      <w:szCs w:val="18"/>
    </w:rPr>
  </w:style>
  <w:style w:type="character" w:customStyle="1" w:styleId="8">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240</Words>
  <Characters>1371</Characters>
  <Lines>11</Lines>
  <Paragraphs>3</Paragraphs>
  <TotalTime>101</TotalTime>
  <ScaleCrop>false</ScaleCrop>
  <LinksUpToDate>false</LinksUpToDate>
  <CharactersWithSpaces>1608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2020-11-02T05:24:00Z</dcterms:created>
  <dc:creator>Administrator</dc:creator>
  <cp:lastModifiedBy>Administrator</cp:lastModifiedBy>
  <cp:lastPrinted>2021-05-31T03:44:28Z</cp:lastPrinted>
  <dcterms:modified xsi:type="dcterms:W3CDTF">2021-05-31T03:44:31Z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2FDB58C6536C4E669E4E4742849A76D0</vt:lpwstr>
  </property>
</Properties>
</file>