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b/>
          <w:color w:val="333333"/>
          <w:sz w:val="36"/>
          <w:szCs w:val="36"/>
          <w:shd w:val="clear" w:color="auto" w:fill="FFFFFF"/>
        </w:rPr>
      </w:pPr>
      <w:r>
        <w:rPr>
          <w:rFonts w:hint="eastAsia"/>
          <w:b/>
          <w:color w:val="333333"/>
          <w:sz w:val="36"/>
          <w:szCs w:val="36"/>
          <w:shd w:val="clear" w:color="auto" w:fill="FFFFFF"/>
          <w:lang w:eastAsia="zh-CN"/>
        </w:rPr>
        <w:t>涞水县</w:t>
      </w:r>
      <w:r>
        <w:rPr>
          <w:rFonts w:hint="eastAsia"/>
          <w:b/>
          <w:color w:val="333333"/>
          <w:sz w:val="36"/>
          <w:szCs w:val="36"/>
          <w:shd w:val="clear" w:color="auto" w:fill="FFFFFF"/>
          <w:lang w:val="en-US" w:eastAsia="zh-CN"/>
        </w:rPr>
        <w:t>2019年</w:t>
      </w:r>
      <w:r>
        <w:rPr>
          <w:rFonts w:hint="eastAsia"/>
          <w:b/>
          <w:color w:val="333333"/>
          <w:sz w:val="36"/>
          <w:szCs w:val="36"/>
          <w:shd w:val="clear" w:color="auto" w:fill="FFFFFF"/>
        </w:rPr>
        <w:t>政府信息公开工作年度报告</w:t>
      </w:r>
    </w:p>
    <w:p>
      <w:pPr>
        <w:pStyle w:val="2"/>
        <w:shd w:val="clear" w:color="auto" w:fill="FFFFFF"/>
        <w:spacing w:before="0" w:beforeAutospacing="0" w:after="0" w:afterAutospacing="0"/>
        <w:jc w:val="center"/>
        <w:rPr>
          <w:rFonts w:hint="eastAsia"/>
          <w:b/>
          <w:color w:val="333333"/>
          <w:sz w:val="36"/>
          <w:szCs w:val="36"/>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firstLineChars="200"/>
        <w:jc w:val="both"/>
        <w:textAlignment w:val="auto"/>
        <w:outlineLvl w:val="9"/>
        <w:rPr>
          <w:rFonts w:hint="eastAsia"/>
          <w:color w:val="333333"/>
        </w:rPr>
      </w:pPr>
      <w:r>
        <w:rPr>
          <w:rFonts w:hint="eastAsia"/>
          <w:b/>
          <w:color w:val="333333"/>
          <w:shd w:val="clear" w:color="auto" w:fill="FFFFFF"/>
        </w:rPr>
        <w:t>一、总体情况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outlineLvl w:val="9"/>
        <w:rPr>
          <w:rFonts w:hint="eastAsia"/>
          <w:color w:val="333333"/>
          <w:shd w:val="clear" w:color="auto" w:fill="FFFFFF"/>
        </w:rPr>
      </w:pPr>
      <w:r>
        <w:rPr>
          <w:rFonts w:hint="eastAsia"/>
          <w:color w:val="333333"/>
          <w:shd w:val="clear" w:color="auto" w:fill="FFFFFF"/>
        </w:rPr>
        <w:t>2019年信息公开工作年度报告是根据《中华人民共和国政府信息公开条例》《河北省政务公开办公室关于做好政府信息公开工作年度报告有关事项的通知》和《保定市2019年政务公开工作要点》要求编制完成。全文包括总体情况、主动公开政府信息情况、收到和处理政府信息公开申请情况、政府信息公开行政复议、行政诉讼情况、存在的主要问题及改进情况、其他需要报告的事项等六部分内容。本年度报告</w:t>
      </w:r>
      <w:r>
        <w:rPr>
          <w:rFonts w:hint="eastAsia"/>
          <w:color w:val="333333"/>
          <w:shd w:val="clear" w:color="auto" w:fill="FFFFFF"/>
          <w:lang w:eastAsia="zh-CN"/>
        </w:rPr>
        <w:t>内容涵盖全县本级政府部门和下一级乡镇政府信息公开工作情况，</w:t>
      </w:r>
      <w:r>
        <w:rPr>
          <w:rFonts w:hint="eastAsia"/>
          <w:color w:val="333333"/>
          <w:shd w:val="clear" w:color="auto" w:fill="FFFFFF"/>
        </w:rPr>
        <w:t>所列数据的统计期限自2019年1月1日起至</w:t>
      </w:r>
      <w:r>
        <w:rPr>
          <w:rFonts w:hint="eastAsia"/>
          <w:color w:val="333333"/>
          <w:shd w:val="clear" w:color="auto" w:fill="FFFFFF"/>
          <w:lang w:val="en-US" w:eastAsia="zh-CN"/>
        </w:rPr>
        <w:t>2019年</w:t>
      </w:r>
      <w:r>
        <w:rPr>
          <w:rFonts w:hint="eastAsia"/>
          <w:color w:val="333333"/>
          <w:shd w:val="clear" w:color="auto" w:fill="FFFFFF"/>
        </w:rPr>
        <w:t>12月31日止。</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240" w:afterAutospacing="0" w:line="560" w:lineRule="exact"/>
        <w:ind w:firstLine="420"/>
        <w:jc w:val="both"/>
        <w:textAlignment w:val="auto"/>
        <w:outlineLvl w:val="9"/>
        <w:rPr>
          <w:rFonts w:hint="eastAsia"/>
          <w:color w:val="333333"/>
        </w:rPr>
      </w:pPr>
      <w:r>
        <w:rPr>
          <w:rFonts w:hint="eastAsia"/>
          <w:color w:val="333333"/>
          <w:shd w:val="clear" w:color="auto" w:fill="FFFFFF"/>
          <w:lang w:val="en-US" w:eastAsia="zh-CN"/>
        </w:rPr>
        <w:t xml:space="preserve"> </w:t>
      </w:r>
      <w:r>
        <w:rPr>
          <w:rFonts w:hint="eastAsia"/>
          <w:b/>
          <w:color w:val="333333"/>
          <w:shd w:val="clear" w:color="auto" w:fill="FFFFFF"/>
        </w:rPr>
        <w:t>二、主动公开政府信息情况</w:t>
      </w:r>
    </w:p>
    <w:tbl>
      <w:tblPr>
        <w:tblStyle w:val="4"/>
        <w:tblW w:w="8140" w:type="dxa"/>
        <w:jc w:val="center"/>
        <w:tblInd w:w="0" w:type="dxa"/>
        <w:tblLayout w:type="fixed"/>
        <w:tblCellMar>
          <w:top w:w="0" w:type="dxa"/>
          <w:left w:w="0" w:type="dxa"/>
          <w:bottom w:w="0" w:type="dxa"/>
          <w:right w:w="0" w:type="dxa"/>
        </w:tblCellMar>
      </w:tblPr>
      <w:tblGrid>
        <w:gridCol w:w="3113"/>
        <w:gridCol w:w="1869"/>
        <w:gridCol w:w="1277"/>
        <w:gridCol w:w="1881"/>
      </w:tblGrid>
      <w:tr>
        <w:tblPrEx>
          <w:tblLayout w:type="fixed"/>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527"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86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7"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41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规章</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2</w:t>
            </w:r>
          </w:p>
        </w:tc>
        <w:tc>
          <w:tcPr>
            <w:tcW w:w="127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2</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19</w:t>
            </w:r>
          </w:p>
        </w:tc>
      </w:tr>
      <w:tr>
        <w:tblPrEx>
          <w:tblLayout w:type="fixed"/>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规范性文件</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39</w:t>
            </w:r>
          </w:p>
        </w:tc>
        <w:tc>
          <w:tcPr>
            <w:tcW w:w="127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14</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87</w:t>
            </w:r>
          </w:p>
        </w:tc>
      </w:tr>
      <w:tr>
        <w:tblPrEx>
          <w:tblLayout w:type="fixed"/>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86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上一年项目数量</w:t>
            </w:r>
          </w:p>
        </w:tc>
        <w:tc>
          <w:tcPr>
            <w:tcW w:w="1277"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67"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行政许可</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424</w:t>
            </w:r>
          </w:p>
        </w:tc>
        <w:tc>
          <w:tcPr>
            <w:tcW w:w="127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eastAsia="zh-CN"/>
              </w:rPr>
              <w:t>减</w:t>
            </w:r>
            <w:r>
              <w:rPr>
                <w:rFonts w:hint="eastAsia" w:asciiTheme="minorEastAsia" w:hAnsiTheme="minorEastAsia" w:eastAsiaTheme="minorEastAsia" w:cstheme="minorEastAsia"/>
                <w:sz w:val="20"/>
                <w:szCs w:val="20"/>
                <w:lang w:val="en-US" w:eastAsia="zh-CN"/>
              </w:rPr>
              <w:t>27</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56899</w:t>
            </w:r>
          </w:p>
        </w:tc>
      </w:tr>
      <w:tr>
        <w:tblPrEx>
          <w:tblLayout w:type="fixed"/>
          <w:tblCellMar>
            <w:top w:w="0" w:type="dxa"/>
            <w:left w:w="0" w:type="dxa"/>
            <w:bottom w:w="0" w:type="dxa"/>
            <w:right w:w="0" w:type="dxa"/>
          </w:tblCellMar>
        </w:tblPrEx>
        <w:trPr>
          <w:trHeight w:val="567"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其他对外管理服务事项</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231</w:t>
            </w:r>
          </w:p>
        </w:tc>
        <w:tc>
          <w:tcPr>
            <w:tcW w:w="127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增1</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9479</w:t>
            </w:r>
          </w:p>
        </w:tc>
      </w:tr>
      <w:tr>
        <w:tblPrEx>
          <w:tblLayout w:type="fixed"/>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86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上一年项目数量</w:t>
            </w:r>
          </w:p>
        </w:tc>
        <w:tc>
          <w:tcPr>
            <w:tcW w:w="1277"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67"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行政处罚</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288</w:t>
            </w:r>
          </w:p>
        </w:tc>
        <w:tc>
          <w:tcPr>
            <w:tcW w:w="127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增129</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85222</w:t>
            </w:r>
          </w:p>
        </w:tc>
      </w:tr>
      <w:tr>
        <w:tblPrEx>
          <w:tblLayout w:type="fixed"/>
          <w:tblCellMar>
            <w:top w:w="0" w:type="dxa"/>
            <w:left w:w="0" w:type="dxa"/>
            <w:bottom w:w="0" w:type="dxa"/>
            <w:right w:w="0" w:type="dxa"/>
          </w:tblCellMar>
        </w:tblPrEx>
        <w:trPr>
          <w:trHeight w:val="567"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行政强制</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31</w:t>
            </w:r>
          </w:p>
        </w:tc>
        <w:tc>
          <w:tcPr>
            <w:tcW w:w="127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减27</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115</w:t>
            </w:r>
          </w:p>
        </w:tc>
      </w:tr>
      <w:tr>
        <w:tblPrEx>
          <w:tblLayout w:type="fixed"/>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567"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上一年项目数量</w:t>
            </w:r>
          </w:p>
        </w:tc>
        <w:tc>
          <w:tcPr>
            <w:tcW w:w="3158"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567"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行政事业性收费</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14</w:t>
            </w:r>
          </w:p>
        </w:tc>
        <w:tc>
          <w:tcPr>
            <w:tcW w:w="3158" w:type="dxa"/>
            <w:gridSpan w:val="2"/>
            <w:tcBorders>
              <w:top w:val="nil"/>
              <w:left w:val="nil"/>
              <w:bottom w:val="single" w:color="auto" w:sz="8" w:space="0"/>
              <w:right w:val="single" w:color="000000"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color w:val="000000"/>
                <w:kern w:val="0"/>
                <w:sz w:val="20"/>
                <w:szCs w:val="20"/>
              </w:rPr>
              <w:t> </w:t>
            </w:r>
            <w:r>
              <w:rPr>
                <w:rFonts w:hint="eastAsia" w:asciiTheme="minorEastAsia" w:hAnsiTheme="minorEastAsia" w:eastAsiaTheme="minorEastAsia" w:cstheme="minorEastAsia"/>
                <w:color w:val="000000"/>
                <w:kern w:val="0"/>
                <w:sz w:val="20"/>
                <w:szCs w:val="20"/>
                <w:lang w:eastAsia="zh-CN"/>
              </w:rPr>
              <w:t>增</w:t>
            </w:r>
            <w:r>
              <w:rPr>
                <w:rFonts w:hint="eastAsia" w:asciiTheme="minorEastAsia" w:hAnsiTheme="minorEastAsia" w:eastAsiaTheme="minorEastAsia" w:cstheme="minorEastAsia"/>
                <w:color w:val="000000"/>
                <w:kern w:val="0"/>
                <w:sz w:val="20"/>
                <w:szCs w:val="20"/>
                <w:lang w:val="en-US" w:eastAsia="zh-CN"/>
              </w:rPr>
              <w:t>18</w:t>
            </w:r>
          </w:p>
        </w:tc>
      </w:tr>
      <w:tr>
        <w:tblPrEx>
          <w:tblLayout w:type="fixed"/>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67"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采购项目数量</w:t>
            </w:r>
          </w:p>
        </w:tc>
        <w:tc>
          <w:tcPr>
            <w:tcW w:w="3158"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67"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政府集中采购</w:t>
            </w:r>
          </w:p>
        </w:tc>
        <w:tc>
          <w:tcPr>
            <w:tcW w:w="186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color w:val="000000"/>
                <w:kern w:val="0"/>
                <w:sz w:val="20"/>
                <w:szCs w:val="20"/>
                <w:lang w:val="en-US" w:eastAsia="zh-CN"/>
              </w:rPr>
              <w:t>152</w:t>
            </w:r>
          </w:p>
        </w:tc>
        <w:tc>
          <w:tcPr>
            <w:tcW w:w="3158" w:type="dxa"/>
            <w:gridSpan w:val="2"/>
            <w:tcBorders>
              <w:top w:val="nil"/>
              <w:left w:val="nil"/>
              <w:bottom w:val="single" w:color="auto" w:sz="8" w:space="0"/>
              <w:right w:val="single" w:color="000000" w:sz="8" w:space="0"/>
            </w:tcBorders>
            <w:tcMar>
              <w:left w:w="108" w:type="dxa"/>
              <w:right w:w="108" w:type="dxa"/>
            </w:tcMar>
            <w:vAlign w:val="center"/>
          </w:tcPr>
          <w:p>
            <w:pPr>
              <w:jc w:val="center"/>
              <w:rPr>
                <w:rFonts w:hint="eastAsia" w:ascii="宋体" w:eastAsia="仿宋_GB2312"/>
                <w:sz w:val="24"/>
                <w:lang w:val="en-US" w:eastAsia="zh-CN"/>
              </w:rPr>
            </w:pPr>
            <w:r>
              <w:rPr>
                <w:rFonts w:hint="eastAsia" w:asciiTheme="minorEastAsia" w:hAnsiTheme="minorEastAsia" w:eastAsiaTheme="minorEastAsia" w:cstheme="minorEastAsia"/>
                <w:sz w:val="20"/>
                <w:szCs w:val="20"/>
                <w:lang w:val="en-US" w:eastAsia="zh-CN"/>
              </w:rPr>
              <w:t>30210.336348万</w:t>
            </w:r>
          </w:p>
        </w:tc>
      </w:tr>
    </w:tbl>
    <w:p>
      <w:pPr>
        <w:pStyle w:val="2"/>
        <w:shd w:val="clear" w:color="auto" w:fill="FFFFFF"/>
        <w:spacing w:before="0" w:beforeAutospacing="0" w:after="0" w:afterAutospacing="0"/>
        <w:ind w:firstLine="420"/>
        <w:jc w:val="both"/>
        <w:rPr>
          <w:rFonts w:hint="eastAsia"/>
          <w:color w:val="333333"/>
        </w:rPr>
      </w:pPr>
    </w:p>
    <w:p>
      <w:pPr>
        <w:pStyle w:val="2"/>
        <w:shd w:val="clear" w:color="auto" w:fill="FFFFFF"/>
        <w:spacing w:before="0" w:beforeAutospacing="0" w:after="240" w:afterAutospacing="0"/>
        <w:ind w:firstLine="420"/>
        <w:jc w:val="both"/>
        <w:outlineLvl w:val="0"/>
        <w:rPr>
          <w:rFonts w:hint="eastAsia"/>
          <w:color w:val="333333"/>
        </w:rPr>
      </w:pPr>
      <w:r>
        <w:rPr>
          <w:rFonts w:hint="eastAsia"/>
          <w:b/>
          <w:color w:val="333333"/>
          <w:shd w:val="clear" w:color="auto" w:fill="FFFFFF"/>
        </w:rPr>
        <w:t>三、收到和处理政府信息公开申请情况</w:t>
      </w:r>
    </w:p>
    <w:tbl>
      <w:tblPr>
        <w:tblStyle w:val="4"/>
        <w:tblW w:w="907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vMerge w:val="restart"/>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（本列数据的勾稽关系为：第一项加第二项之和，等于第三项加第四项之和）</w:t>
            </w:r>
          </w:p>
        </w:tc>
        <w:tc>
          <w:tcPr>
            <w:tcW w:w="5513" w:type="dxa"/>
            <w:gridSpan w:val="7"/>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vMerge w:val="continue"/>
            <w:tcBorders>
              <w:tl2br w:val="nil"/>
              <w:tr2bl w:val="nil"/>
            </w:tcBorders>
            <w:tcMar>
              <w:left w:w="108" w:type="dxa"/>
              <w:right w:w="108" w:type="dxa"/>
            </w:tcMar>
            <w:vAlign w:val="center"/>
          </w:tcPr>
          <w:p>
            <w:pPr>
              <w:rPr>
                <w:rFonts w:hint="eastAsia" w:ascii="宋体"/>
                <w:sz w:val="24"/>
              </w:rPr>
            </w:pPr>
          </w:p>
        </w:tc>
        <w:tc>
          <w:tcPr>
            <w:tcW w:w="814" w:type="dxa"/>
            <w:vMerge w:val="restart"/>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自然人</w:t>
            </w:r>
          </w:p>
        </w:tc>
        <w:tc>
          <w:tcPr>
            <w:tcW w:w="4010" w:type="dxa"/>
            <w:gridSpan w:val="5"/>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法人或其他组织</w:t>
            </w:r>
          </w:p>
        </w:tc>
        <w:tc>
          <w:tcPr>
            <w:tcW w:w="689" w:type="dxa"/>
            <w:vMerge w:val="restart"/>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vMerge w:val="continue"/>
            <w:tcBorders>
              <w:tl2br w:val="nil"/>
              <w:tr2bl w:val="nil"/>
            </w:tcBorders>
            <w:tcMar>
              <w:left w:w="108" w:type="dxa"/>
              <w:right w:w="108" w:type="dxa"/>
            </w:tcMar>
            <w:vAlign w:val="center"/>
          </w:tcPr>
          <w:p>
            <w:pPr>
              <w:rPr>
                <w:rFonts w:hint="eastAsia" w:ascii="宋体"/>
                <w:sz w:val="24"/>
              </w:rPr>
            </w:pPr>
          </w:p>
        </w:tc>
        <w:tc>
          <w:tcPr>
            <w:tcW w:w="814" w:type="dxa"/>
            <w:vMerge w:val="continue"/>
            <w:tcBorders>
              <w:tl2br w:val="nil"/>
              <w:tr2bl w:val="nil"/>
            </w:tcBorders>
            <w:tcMar>
              <w:left w:w="108" w:type="dxa"/>
              <w:right w:w="108" w:type="dxa"/>
            </w:tcMar>
            <w:vAlign w:val="center"/>
          </w:tcPr>
          <w:p>
            <w:pPr>
              <w:rPr>
                <w:rFonts w:hint="eastAsia" w:ascii="宋体"/>
                <w:sz w:val="24"/>
              </w:rPr>
            </w:pPr>
          </w:p>
        </w:tc>
        <w:tc>
          <w:tcPr>
            <w:tcW w:w="755" w:type="dxa"/>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商业企业</w:t>
            </w:r>
          </w:p>
        </w:tc>
        <w:tc>
          <w:tcPr>
            <w:tcW w:w="755" w:type="dxa"/>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科研机构</w:t>
            </w:r>
          </w:p>
        </w:tc>
        <w:tc>
          <w:tcPr>
            <w:tcW w:w="814" w:type="dxa"/>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社会公益组织</w:t>
            </w:r>
          </w:p>
        </w:tc>
        <w:tc>
          <w:tcPr>
            <w:tcW w:w="974" w:type="dxa"/>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法律服务机构</w:t>
            </w:r>
          </w:p>
        </w:tc>
        <w:tc>
          <w:tcPr>
            <w:tcW w:w="712" w:type="dxa"/>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其他</w:t>
            </w:r>
          </w:p>
        </w:tc>
        <w:tc>
          <w:tcPr>
            <w:tcW w:w="689" w:type="dxa"/>
            <w:vMerge w:val="continue"/>
            <w:tcBorders>
              <w:tl2br w:val="nil"/>
              <w:tr2bl w:val="nil"/>
            </w:tcBorders>
            <w:tcMar>
              <w:left w:w="108" w:type="dxa"/>
              <w:right w:w="108" w:type="dxa"/>
            </w:tcMar>
            <w:vAlign w:val="center"/>
          </w:tcPr>
          <w:p>
            <w:pPr>
              <w:rPr>
                <w:rFonts w:hint="eastAsia" w:asci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tcBorders>
              <w:tl2br w:val="nil"/>
              <w:tr2bl w:val="nil"/>
            </w:tcBorders>
            <w:tcMar>
              <w:left w:w="108" w:type="dxa"/>
              <w:right w:w="108" w:type="dxa"/>
            </w:tcMar>
            <w:vAlign w:val="center"/>
          </w:tcPr>
          <w:p>
            <w:pPr>
              <w:widowControl/>
              <w:spacing w:after="180"/>
              <w:jc w:val="left"/>
            </w:pPr>
            <w:r>
              <w:rPr>
                <w:rFonts w:hint="eastAsia" w:ascii="宋体" w:hAnsi="宋体" w:eastAsia="宋体" w:cs="宋体"/>
                <w:kern w:val="0"/>
                <w:sz w:val="20"/>
                <w:szCs w:val="20"/>
              </w:rPr>
              <w:t>一、本年新收政府信息公开申请数量</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51</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97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51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tcBorders>
              <w:tl2br w:val="nil"/>
              <w:tr2bl w:val="nil"/>
            </w:tcBorders>
            <w:tcMar>
              <w:left w:w="108" w:type="dxa"/>
              <w:right w:w="108" w:type="dxa"/>
            </w:tcMar>
            <w:vAlign w:val="center"/>
          </w:tcPr>
          <w:p>
            <w:pPr>
              <w:widowControl/>
              <w:spacing w:after="180"/>
              <w:jc w:val="left"/>
            </w:pPr>
            <w:r>
              <w:rPr>
                <w:rFonts w:hint="eastAsia" w:ascii="宋体" w:hAnsi="宋体" w:eastAsia="宋体" w:cs="宋体"/>
                <w:kern w:val="0"/>
                <w:sz w:val="20"/>
                <w:szCs w:val="20"/>
              </w:rPr>
              <w:t>二、上年结转政府信息公开申请数量</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restart"/>
            <w:tcBorders>
              <w:tl2br w:val="nil"/>
              <w:tr2bl w:val="nil"/>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三、本年度办理结果</w:t>
            </w:r>
          </w:p>
        </w:tc>
        <w:tc>
          <w:tcPr>
            <w:tcW w:w="2940" w:type="dxa"/>
            <w:gridSpan w:val="2"/>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（一）予以公开</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39</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12"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hint="eastAsia" w:ascii="Calibri" w:eastAsia="宋体" w:cs="Calibri"/>
                <w:kern w:val="0"/>
                <w:sz w:val="20"/>
                <w:szCs w:val="20"/>
                <w:lang w:val="en-US" w:eastAsia="zh-CN"/>
              </w:rPr>
              <w:t>39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2940" w:type="dxa"/>
            <w:gridSpan w:val="2"/>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（二）部分公开（区分处理的，只计这一情形，不计其他情形）</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restart"/>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（三）不予公开</w:t>
            </w: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1.属于国家秘密</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2.其他法律行政法规禁止公开</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3.危及“三安全一稳定”</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4.保护第三方合法权益</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5.属于三类内部事务信息</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6.属于四类过程性信息</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7.属于行政执法案卷</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8.属于行政查询事项</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6" w:hRule="atLeast"/>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restart"/>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（四）无法提供</w:t>
            </w: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1.本机关不掌握相关政府信息</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hint="eastAsia" w:eastAsia="宋体" w:asciiTheme="minorAscii"/>
                <w:sz w:val="20"/>
                <w:szCs w:val="20"/>
                <w:lang w:val="en-US" w:eastAsia="zh-CN"/>
              </w:rPr>
              <w:t>9</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6" w:hRule="atLeast"/>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2.没有现成信息需要另行制作</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97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12"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6" w:hRule="atLeast"/>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3.补正后申请内容仍不明确</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1</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restart"/>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（五）不予处理</w:t>
            </w: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1.信访举报投诉类申请</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2.重复申请</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2</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3.要求提供公开出版物</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4.无正当理由大量反复申请</w:t>
            </w:r>
          </w:p>
        </w:tc>
        <w:tc>
          <w:tcPr>
            <w:tcW w:w="81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854" w:type="dxa"/>
            <w:vMerge w:val="continue"/>
            <w:tcBorders>
              <w:tl2br w:val="nil"/>
              <w:tr2bl w:val="nil"/>
            </w:tcBorders>
            <w:tcMar>
              <w:left w:w="108" w:type="dxa"/>
              <w:right w:w="108" w:type="dxa"/>
            </w:tcMar>
            <w:vAlign w:val="center"/>
          </w:tcPr>
          <w:p>
            <w:pPr>
              <w:rPr>
                <w:rFonts w:hint="eastAsia" w:ascii="宋体"/>
                <w:sz w:val="24"/>
              </w:rPr>
            </w:pPr>
          </w:p>
        </w:tc>
        <w:tc>
          <w:tcPr>
            <w:tcW w:w="2086" w:type="dxa"/>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5.要求行政机关确认或重新出具已获取信息</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2940" w:type="dxa"/>
            <w:gridSpan w:val="2"/>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（六）其他处理</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Borders>
              <w:tl2br w:val="nil"/>
              <w:tr2bl w:val="nil"/>
            </w:tcBorders>
            <w:tcMar>
              <w:left w:w="108" w:type="dxa"/>
              <w:right w:w="108" w:type="dxa"/>
            </w:tcMar>
            <w:vAlign w:val="center"/>
          </w:tcPr>
          <w:p>
            <w:pPr>
              <w:rPr>
                <w:rFonts w:hint="eastAsia" w:ascii="宋体"/>
                <w:sz w:val="24"/>
              </w:rPr>
            </w:pPr>
          </w:p>
        </w:tc>
        <w:tc>
          <w:tcPr>
            <w:tcW w:w="2940" w:type="dxa"/>
            <w:gridSpan w:val="2"/>
            <w:tcBorders>
              <w:tl2br w:val="nil"/>
              <w:tr2bl w:val="nil"/>
            </w:tcBorders>
            <w:tcMar>
              <w:left w:w="108" w:type="dxa"/>
              <w:right w:w="108" w:type="dxa"/>
            </w:tcMar>
            <w:vAlign w:val="center"/>
          </w:tcPr>
          <w:p>
            <w:pPr>
              <w:widowControl/>
              <w:spacing w:after="180"/>
              <w:jc w:val="left"/>
            </w:pPr>
            <w:r>
              <w:rPr>
                <w:rFonts w:hint="eastAsia" w:ascii="楷体" w:hAnsi="楷体" w:eastAsia="楷体" w:cs="楷体"/>
                <w:kern w:val="0"/>
                <w:sz w:val="20"/>
                <w:szCs w:val="20"/>
              </w:rPr>
              <w:t>（七）总计</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hint="eastAsia" w:ascii="Calibri" w:eastAsia="宋体" w:cs="Calibri"/>
                <w:kern w:val="0"/>
                <w:sz w:val="20"/>
                <w:szCs w:val="20"/>
                <w:lang w:val="en-US" w:eastAsia="zh-CN"/>
              </w:rPr>
              <w:t>51</w:t>
            </w:r>
          </w:p>
        </w:tc>
        <w:tc>
          <w:tcPr>
            <w:tcW w:w="755"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755"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51</w:t>
            </w:r>
            <w:r>
              <w:rPr>
                <w:rFonts w:ascii="Calibri" w:eastAsia="宋体" w:cs="Calibri"/>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tcBorders>
              <w:tl2br w:val="nil"/>
              <w:tr2bl w:val="nil"/>
            </w:tcBorders>
            <w:tcMar>
              <w:left w:w="108" w:type="dxa"/>
              <w:right w:w="108" w:type="dxa"/>
            </w:tcMar>
            <w:vAlign w:val="center"/>
          </w:tcPr>
          <w:p>
            <w:pPr>
              <w:widowControl/>
              <w:spacing w:after="180"/>
              <w:jc w:val="left"/>
            </w:pPr>
            <w:r>
              <w:rPr>
                <w:rFonts w:hint="eastAsia" w:ascii="宋体" w:hAnsi="宋体" w:eastAsia="宋体" w:cs="宋体"/>
                <w:kern w:val="0"/>
                <w:sz w:val="20"/>
                <w:szCs w:val="20"/>
              </w:rPr>
              <w:t>四、结转下年度继续办理</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55" w:type="dxa"/>
            <w:tcBorders>
              <w:tl2br w:val="nil"/>
              <w:tr2bl w:val="nil"/>
            </w:tcBorders>
            <w:tcMar>
              <w:left w:w="108" w:type="dxa"/>
              <w:right w:w="108" w:type="dxa"/>
            </w:tcMar>
            <w:vAlign w:val="center"/>
          </w:tcPr>
          <w:p>
            <w:pPr>
              <w:widowControl/>
              <w:spacing w:after="180"/>
              <w:jc w:val="center"/>
            </w:pPr>
            <w:r>
              <w:rPr>
                <w:rFonts w:hint="eastAsia" w:ascii="Calibri" w:eastAsia="宋体" w:cs="Calibri"/>
                <w:kern w:val="0"/>
                <w:sz w:val="20"/>
                <w:szCs w:val="20"/>
                <w:lang w:val="en-US" w:eastAsia="zh-CN"/>
              </w:rPr>
              <w:t>0</w:t>
            </w:r>
            <w:r>
              <w:rPr>
                <w:rFonts w:ascii="Calibri" w:eastAsia="宋体" w:cs="Calibri"/>
                <w:kern w:val="0"/>
                <w:sz w:val="20"/>
                <w:szCs w:val="20"/>
              </w:rPr>
              <w:t> </w:t>
            </w:r>
          </w:p>
        </w:tc>
        <w:tc>
          <w:tcPr>
            <w:tcW w:w="81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974"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712" w:type="dxa"/>
            <w:tcBorders>
              <w:tl2br w:val="nil"/>
              <w:tr2bl w:val="nil"/>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89" w:type="dxa"/>
            <w:tcBorders>
              <w:tl2br w:val="nil"/>
              <w:tr2bl w:val="nil"/>
            </w:tcBorders>
            <w:tcMar>
              <w:left w:w="108" w:type="dxa"/>
              <w:right w:w="108" w:type="dxa"/>
            </w:tcMar>
            <w:vAlign w:val="top"/>
          </w:tcPr>
          <w:p>
            <w:pPr>
              <w:jc w:val="center"/>
              <w:rPr>
                <w:rFonts w:hint="eastAsia" w:ascii="宋体" w:eastAsia="仿宋_GB2312"/>
                <w:sz w:val="24"/>
                <w:lang w:val="en-US" w:eastAsia="zh-CN"/>
              </w:rPr>
            </w:pPr>
            <w:r>
              <w:rPr>
                <w:rFonts w:hint="eastAsia" w:asciiTheme="minorAscii"/>
                <w:sz w:val="20"/>
                <w:szCs w:val="20"/>
                <w:lang w:val="en-US" w:eastAsia="zh-CN"/>
              </w:rPr>
              <w:t>0</w:t>
            </w:r>
          </w:p>
        </w:tc>
      </w:tr>
    </w:tbl>
    <w:p>
      <w:pPr>
        <w:pStyle w:val="2"/>
        <w:shd w:val="clear" w:color="auto" w:fill="FFFFFF"/>
        <w:spacing w:before="0" w:beforeAutospacing="0" w:after="0" w:afterAutospacing="0"/>
        <w:ind w:firstLine="420"/>
        <w:jc w:val="both"/>
        <w:rPr>
          <w:rFonts w:hint="eastAsia"/>
          <w:color w:val="333333"/>
        </w:rPr>
      </w:pPr>
    </w:p>
    <w:p>
      <w:pPr>
        <w:pStyle w:val="2"/>
        <w:shd w:val="clear" w:color="auto" w:fill="FFFFFF"/>
        <w:spacing w:before="0" w:beforeAutospacing="0" w:after="0" w:afterAutospacing="0"/>
        <w:ind w:firstLine="420"/>
        <w:jc w:val="both"/>
        <w:outlineLvl w:val="0"/>
        <w:rPr>
          <w:rFonts w:hint="eastAsia"/>
          <w:color w:val="333333"/>
        </w:rPr>
      </w:pPr>
      <w:r>
        <w:rPr>
          <w:rFonts w:hint="eastAsia"/>
          <w:b/>
          <w:color w:val="333333"/>
          <w:shd w:val="clear" w:color="auto" w:fill="FFFFFF"/>
        </w:rPr>
        <w:t>四、政府信息公开行政复议、行政诉讼情况</w:t>
      </w:r>
    </w:p>
    <w:p>
      <w:pPr>
        <w:pStyle w:val="2"/>
        <w:shd w:val="clear" w:color="auto" w:fill="FFFFFF"/>
        <w:spacing w:before="0" w:beforeAutospacing="0" w:after="0" w:afterAutospacing="0"/>
        <w:ind w:firstLine="420"/>
        <w:jc w:val="both"/>
        <w:rPr>
          <w:rFonts w:hint="eastAsia"/>
          <w:color w:val="333333"/>
        </w:rPr>
      </w:pPr>
    </w:p>
    <w:tbl>
      <w:tblPr>
        <w:tblStyle w:val="4"/>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652"/>
        <w:gridCol w:w="503"/>
        <w:gridCol w:w="605"/>
        <w:gridCol w:w="605"/>
        <w:gridCol w:w="597"/>
        <w:gridCol w:w="613"/>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c>
          <w:tcPr>
            <w:tcW w:w="2962"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未经复议直接起诉</w:t>
            </w:r>
          </w:p>
        </w:tc>
        <w:tc>
          <w:tcPr>
            <w:tcW w:w="3035"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rPr>
            </w:pPr>
          </w:p>
        </w:tc>
        <w:tc>
          <w:tcPr>
            <w:tcW w:w="65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50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597"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总计</w:t>
            </w:r>
          </w:p>
        </w:tc>
        <w:tc>
          <w:tcPr>
            <w:tcW w:w="613"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4</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5</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ascii="Calibri" w:eastAsia="宋体" w:cs="Calibri"/>
                <w:kern w:val="0"/>
                <w:sz w:val="20"/>
                <w:szCs w:val="20"/>
              </w:rPr>
              <w:t> </w:t>
            </w:r>
            <w:r>
              <w:rPr>
                <w:rFonts w:hint="eastAsia" w:ascii="Calibri" w:eastAsia="宋体" w:cs="Calibri"/>
                <w:kern w:val="0"/>
                <w:sz w:val="20"/>
                <w:szCs w:val="20"/>
                <w:lang w:val="en-US" w:eastAsia="zh-CN"/>
              </w:rPr>
              <w:t>9</w:t>
            </w:r>
          </w:p>
        </w:tc>
        <w:tc>
          <w:tcPr>
            <w:tcW w:w="65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lang w:val="en-US" w:eastAsia="zh-CN"/>
              </w:rPr>
              <w:t>12</w:t>
            </w:r>
          </w:p>
        </w:tc>
        <w:tc>
          <w:tcPr>
            <w:tcW w:w="50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lang w:val="en-US" w:eastAsia="zh-CN"/>
              </w:rPr>
              <w:t>2</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 </w:t>
            </w:r>
          </w:p>
        </w:tc>
        <w:tc>
          <w:tcPr>
            <w:tcW w:w="59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color w:val="000000"/>
                <w:kern w:val="0"/>
                <w:sz w:val="20"/>
                <w:szCs w:val="20"/>
                <w:lang w:val="en-US" w:eastAsia="zh-CN"/>
              </w:rPr>
              <w:t>15</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lang w:val="en-US" w:eastAsia="zh-CN"/>
              </w:rPr>
              <w:t>2</w:t>
            </w:r>
          </w:p>
        </w:tc>
        <w:tc>
          <w:tcPr>
            <w:tcW w:w="606" w:type="dxa"/>
            <w:tcBorders>
              <w:top w:val="nil"/>
              <w:left w:val="nil"/>
              <w:bottom w:val="single" w:color="auto" w:sz="8" w:space="0"/>
              <w:right w:val="single" w:color="auto" w:sz="8" w:space="0"/>
            </w:tcBorders>
            <w:tcMar>
              <w:left w:w="108" w:type="dxa"/>
              <w:right w:w="108" w:type="dxa"/>
            </w:tcMar>
            <w:vAlign w:val="top"/>
          </w:tcPr>
          <w:p>
            <w:pPr>
              <w:jc w:val="center"/>
              <w:rPr>
                <w:rFonts w:hint="eastAsia" w:ascii="宋体" w:eastAsia="仿宋_GB2312"/>
                <w:sz w:val="24"/>
                <w:lang w:val="en-US" w:eastAsia="zh-CN"/>
              </w:rPr>
            </w:pPr>
            <w:r>
              <w:rPr>
                <w:rFonts w:hint="eastAsia" w:ascii="宋体"/>
                <w:sz w:val="20"/>
                <w:szCs w:val="20"/>
                <w:lang w:val="en-US" w:eastAsia="zh-CN"/>
              </w:rPr>
              <w:t>2</w:t>
            </w:r>
          </w:p>
        </w:tc>
      </w:tr>
    </w:tbl>
    <w:p>
      <w:pPr>
        <w:widowControl/>
        <w:shd w:val="clear" w:color="auto" w:fill="FFFFFF"/>
        <w:rPr>
          <w:rFonts w:hint="eastAsia" w:ascii="宋体" w:hAnsi="宋体" w:eastAsia="宋体" w:cs="宋体"/>
          <w:color w:val="333333"/>
          <w:sz w:val="24"/>
        </w:rPr>
      </w:pP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outlineLvl w:val="0"/>
        <w:rPr>
          <w:rFonts w:hint="eastAsia"/>
          <w:b/>
          <w:color w:val="333333"/>
          <w:shd w:val="clear" w:color="auto" w:fill="FFFFFF"/>
        </w:rPr>
      </w:pPr>
      <w:r>
        <w:rPr>
          <w:rFonts w:hint="eastAsia"/>
          <w:b/>
          <w:color w:val="333333"/>
          <w:shd w:val="clear" w:color="auto" w:fill="FFFFFF"/>
        </w:rPr>
        <w:t>存在的主要问题及改进情况</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outlineLvl w:val="0"/>
        <w:rPr>
          <w:rFonts w:hint="eastAsia"/>
          <w:color w:val="333333"/>
          <w:shd w:val="clear" w:color="auto" w:fill="FFFFFF"/>
        </w:rPr>
      </w:pPr>
      <w:r>
        <w:rPr>
          <w:rFonts w:hint="eastAsia"/>
          <w:color w:val="333333"/>
          <w:shd w:val="clear" w:color="auto" w:fill="FFFFFF"/>
          <w:lang w:eastAsia="zh-CN"/>
        </w:rPr>
        <w:t>（一）</w:t>
      </w:r>
      <w:r>
        <w:rPr>
          <w:rFonts w:hint="eastAsia"/>
          <w:color w:val="333333"/>
          <w:shd w:val="clear" w:color="auto" w:fill="FFFFFF"/>
        </w:rPr>
        <w:t>存在的主要问题：一是</w:t>
      </w:r>
      <w:r>
        <w:rPr>
          <w:rFonts w:hint="eastAsia"/>
          <w:color w:val="333333"/>
          <w:shd w:val="clear" w:color="auto" w:fill="FFFFFF"/>
          <w:lang w:eastAsia="zh-CN"/>
        </w:rPr>
        <w:t>信息公开工作</w:t>
      </w:r>
      <w:r>
        <w:rPr>
          <w:rFonts w:hint="eastAsia"/>
          <w:color w:val="333333"/>
          <w:shd w:val="clear" w:color="auto" w:fill="FFFFFF"/>
        </w:rPr>
        <w:t>需进一步</w:t>
      </w:r>
      <w:r>
        <w:rPr>
          <w:rFonts w:hint="eastAsia"/>
          <w:color w:val="333333"/>
          <w:shd w:val="clear" w:color="auto" w:fill="FFFFFF"/>
          <w:lang w:eastAsia="zh-CN"/>
        </w:rPr>
        <w:t>加强</w:t>
      </w:r>
      <w:r>
        <w:rPr>
          <w:rFonts w:hint="eastAsia"/>
          <w:color w:val="333333"/>
          <w:shd w:val="clear" w:color="auto" w:fill="FFFFFF"/>
        </w:rPr>
        <w:t>。</w:t>
      </w:r>
      <w:r>
        <w:rPr>
          <w:rFonts w:hint="eastAsia"/>
          <w:color w:val="333333"/>
          <w:shd w:val="clear" w:color="auto" w:fill="FFFFFF"/>
          <w:lang w:eastAsia="zh-CN"/>
        </w:rPr>
        <w:t>信息公开的内容不够深入，需公开的政府信息未及时对外发布，重点领域信息公开达不到上级要求，</w:t>
      </w:r>
      <w:r>
        <w:rPr>
          <w:rFonts w:hint="eastAsia"/>
          <w:color w:val="333333"/>
          <w:shd w:val="clear" w:color="auto" w:fill="FFFFFF"/>
        </w:rPr>
        <w:t>主动公开的政府信息</w:t>
      </w:r>
      <w:r>
        <w:rPr>
          <w:rFonts w:hint="eastAsia"/>
          <w:color w:val="333333"/>
          <w:shd w:val="clear" w:color="auto" w:fill="FFFFFF"/>
          <w:lang w:eastAsia="zh-CN"/>
        </w:rPr>
        <w:t>离</w:t>
      </w:r>
      <w:r>
        <w:rPr>
          <w:rFonts w:hint="eastAsia"/>
          <w:color w:val="333333"/>
          <w:shd w:val="clear" w:color="auto" w:fill="FFFFFF"/>
        </w:rPr>
        <w:t>公众的需求还存在</w:t>
      </w:r>
      <w:r>
        <w:rPr>
          <w:rFonts w:hint="eastAsia"/>
          <w:color w:val="333333"/>
          <w:shd w:val="clear" w:color="auto" w:fill="FFFFFF"/>
          <w:lang w:eastAsia="zh-CN"/>
        </w:rPr>
        <w:t>差</w:t>
      </w:r>
      <w:r>
        <w:rPr>
          <w:rFonts w:hint="eastAsia"/>
          <w:color w:val="333333"/>
          <w:shd w:val="clear" w:color="auto" w:fill="FFFFFF"/>
        </w:rPr>
        <w:t>距，与公众密切相关的决策、规定</w:t>
      </w:r>
      <w:r>
        <w:rPr>
          <w:rFonts w:hint="eastAsia"/>
          <w:color w:val="333333"/>
          <w:shd w:val="clear" w:color="auto" w:fill="FFFFFF"/>
          <w:lang w:eastAsia="zh-CN"/>
        </w:rPr>
        <w:t>及其所附属的“解读材料</w:t>
      </w:r>
      <w:r>
        <w:rPr>
          <w:rFonts w:hint="default"/>
          <w:color w:val="333333"/>
          <w:shd w:val="clear" w:color="auto" w:fill="FFFFFF"/>
          <w:lang w:val="en-US" w:eastAsia="zh-CN"/>
        </w:rPr>
        <w:t>”</w:t>
      </w:r>
      <w:r>
        <w:rPr>
          <w:rFonts w:hint="eastAsia"/>
          <w:color w:val="333333"/>
          <w:shd w:val="clear" w:color="auto" w:fill="FFFFFF"/>
        </w:rPr>
        <w:t>等方面要</w:t>
      </w:r>
      <w:r>
        <w:rPr>
          <w:rFonts w:hint="eastAsia"/>
          <w:color w:val="333333"/>
          <w:shd w:val="clear" w:color="auto" w:fill="FFFFFF"/>
          <w:lang w:eastAsia="zh-CN"/>
        </w:rPr>
        <w:t>再</w:t>
      </w:r>
      <w:r>
        <w:rPr>
          <w:rFonts w:hint="eastAsia"/>
          <w:color w:val="333333"/>
          <w:shd w:val="clear" w:color="auto" w:fill="FFFFFF"/>
        </w:rPr>
        <w:t>加强。二是</w:t>
      </w:r>
      <w:r>
        <w:rPr>
          <w:rFonts w:hint="eastAsia"/>
          <w:color w:val="333333"/>
          <w:shd w:val="clear" w:color="auto" w:fill="FFFFFF"/>
          <w:lang w:eastAsia="zh-CN"/>
        </w:rPr>
        <w:t>信息公开队伍</w:t>
      </w:r>
      <w:r>
        <w:rPr>
          <w:rFonts w:hint="eastAsia"/>
          <w:color w:val="333333"/>
          <w:shd w:val="clear" w:color="auto" w:fill="FFFFFF"/>
        </w:rPr>
        <w:t>水平需进一步提高。</w:t>
      </w:r>
      <w:r>
        <w:rPr>
          <w:rFonts w:hint="eastAsia"/>
          <w:color w:val="333333"/>
          <w:shd w:val="clear" w:color="auto" w:fill="FFFFFF"/>
          <w:lang w:eastAsia="zh-CN"/>
        </w:rPr>
        <w:t>部分单位存在信息</w:t>
      </w:r>
      <w:r>
        <w:rPr>
          <w:rFonts w:hint="eastAsia"/>
          <w:color w:val="333333"/>
          <w:shd w:val="clear" w:color="auto" w:fill="FFFFFF"/>
        </w:rPr>
        <w:t>公开意识不够、工作人员经验不足</w:t>
      </w:r>
      <w:r>
        <w:rPr>
          <w:rFonts w:hint="eastAsia"/>
          <w:color w:val="333333"/>
          <w:shd w:val="clear" w:color="auto" w:fill="FFFFFF"/>
          <w:lang w:eastAsia="zh-CN"/>
        </w:rPr>
        <w:t>情况，应开展多层次、多类型信息公开</w:t>
      </w:r>
      <w:r>
        <w:rPr>
          <w:rFonts w:hint="eastAsia"/>
          <w:color w:val="333333"/>
          <w:shd w:val="clear" w:color="auto" w:fill="FFFFFF"/>
        </w:rPr>
        <w:t>业务培训</w:t>
      </w:r>
      <w:r>
        <w:rPr>
          <w:rFonts w:hint="eastAsia"/>
          <w:color w:val="333333"/>
          <w:shd w:val="clear" w:color="auto" w:fill="FFFFFF"/>
          <w:lang w:eastAsia="zh-CN"/>
        </w:rPr>
        <w:t>，提高</w:t>
      </w:r>
      <w:r>
        <w:rPr>
          <w:rFonts w:hint="eastAsia"/>
          <w:color w:val="333333"/>
          <w:shd w:val="clear" w:color="auto" w:fill="FFFFFF"/>
        </w:rPr>
        <w:t>各单位分管负责同志和工作人员的</w:t>
      </w:r>
      <w:r>
        <w:rPr>
          <w:rFonts w:hint="eastAsia"/>
          <w:color w:val="333333"/>
          <w:shd w:val="clear" w:color="auto" w:fill="FFFFFF"/>
          <w:lang w:eastAsia="zh-CN"/>
        </w:rPr>
        <w:t>履职能力和</w:t>
      </w:r>
      <w:r>
        <w:rPr>
          <w:rFonts w:hint="eastAsia"/>
          <w:color w:val="333333"/>
          <w:shd w:val="clear" w:color="auto" w:fill="FFFFFF"/>
        </w:rPr>
        <w:t>专业素养，</w:t>
      </w:r>
      <w:r>
        <w:rPr>
          <w:rFonts w:hint="eastAsia"/>
          <w:color w:val="333333"/>
          <w:shd w:val="clear" w:color="auto" w:fill="FFFFFF"/>
          <w:lang w:eastAsia="zh-CN"/>
        </w:rPr>
        <w:t>进而提升</w:t>
      </w:r>
      <w:r>
        <w:rPr>
          <w:rFonts w:hint="eastAsia"/>
          <w:color w:val="333333"/>
          <w:shd w:val="clear" w:color="auto" w:fill="FFFFFF"/>
        </w:rPr>
        <w:t>指导、推动、落实信息公开工作的水平。三是</w:t>
      </w:r>
      <w:r>
        <w:rPr>
          <w:rFonts w:hint="eastAsia"/>
          <w:color w:val="333333"/>
          <w:shd w:val="clear" w:color="auto" w:fill="FFFFFF"/>
          <w:lang w:eastAsia="zh-CN"/>
        </w:rPr>
        <w:t>信息公开</w:t>
      </w:r>
      <w:r>
        <w:rPr>
          <w:rFonts w:hint="eastAsia"/>
          <w:color w:val="333333"/>
          <w:shd w:val="clear" w:color="auto" w:fill="FFFFFF"/>
        </w:rPr>
        <w:t>长效工作机制需进一步完善。公开信息在更新维护、文件报备、监督约束等方面还存在机制不健全的问题，需要进一步完善。</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outlineLvl w:val="0"/>
        <w:rPr>
          <w:rFonts w:hint="eastAsia"/>
          <w:color w:val="333333"/>
          <w:shd w:val="clear" w:color="auto" w:fill="FFFFFF"/>
        </w:rPr>
      </w:pPr>
      <w:r>
        <w:rPr>
          <w:rFonts w:hint="eastAsia"/>
          <w:color w:val="333333"/>
          <w:shd w:val="clear" w:color="auto" w:fill="FFFFFF"/>
          <w:lang w:eastAsia="zh-CN"/>
        </w:rPr>
        <w:t>（二）</w:t>
      </w:r>
      <w:r>
        <w:rPr>
          <w:rFonts w:hint="eastAsia"/>
          <w:color w:val="333333"/>
          <w:shd w:val="clear" w:color="auto" w:fill="FFFFFF"/>
        </w:rPr>
        <w:t>改进措施：一是持续</w:t>
      </w:r>
      <w:r>
        <w:rPr>
          <w:rFonts w:hint="eastAsia"/>
          <w:color w:val="333333"/>
          <w:shd w:val="clear" w:color="auto" w:fill="FFFFFF"/>
          <w:lang w:eastAsia="zh-CN"/>
        </w:rPr>
        <w:t>强</w:t>
      </w:r>
      <w:r>
        <w:rPr>
          <w:rFonts w:hint="eastAsia"/>
          <w:color w:val="333333"/>
          <w:shd w:val="clear" w:color="auto" w:fill="FFFFFF"/>
        </w:rPr>
        <w:t>化</w:t>
      </w:r>
      <w:r>
        <w:rPr>
          <w:rFonts w:hint="eastAsia"/>
          <w:color w:val="333333"/>
          <w:shd w:val="clear" w:color="auto" w:fill="FFFFFF"/>
          <w:lang w:eastAsia="zh-CN"/>
        </w:rPr>
        <w:t>政府信息</w:t>
      </w:r>
      <w:r>
        <w:rPr>
          <w:rFonts w:hint="eastAsia"/>
          <w:color w:val="333333"/>
          <w:shd w:val="clear" w:color="auto" w:fill="FFFFFF"/>
        </w:rPr>
        <w:t>公开</w:t>
      </w:r>
      <w:r>
        <w:rPr>
          <w:rFonts w:hint="eastAsia"/>
          <w:color w:val="333333"/>
          <w:shd w:val="clear" w:color="auto" w:fill="FFFFFF"/>
          <w:lang w:eastAsia="zh-CN"/>
        </w:rPr>
        <w:t>工作</w:t>
      </w:r>
      <w:r>
        <w:rPr>
          <w:rFonts w:hint="eastAsia"/>
          <w:color w:val="333333"/>
          <w:shd w:val="clear" w:color="auto" w:fill="FFFFFF"/>
        </w:rPr>
        <w:t>。进一步推进决策、执行、管理、服务、结果</w:t>
      </w:r>
      <w:r>
        <w:rPr>
          <w:rFonts w:hint="eastAsia"/>
          <w:color w:val="333333"/>
          <w:shd w:val="clear" w:color="auto" w:fill="FFFFFF"/>
          <w:lang w:eastAsia="zh-CN"/>
        </w:rPr>
        <w:t>“五</w:t>
      </w:r>
      <w:r>
        <w:rPr>
          <w:rFonts w:hint="eastAsia"/>
          <w:color w:val="333333"/>
          <w:shd w:val="clear" w:color="auto" w:fill="FFFFFF"/>
        </w:rPr>
        <w:t>公开</w:t>
      </w:r>
      <w:r>
        <w:rPr>
          <w:rFonts w:hint="eastAsia"/>
          <w:color w:val="333333"/>
          <w:shd w:val="clear" w:color="auto" w:fill="FFFFFF"/>
          <w:lang w:eastAsia="zh-CN"/>
        </w:rPr>
        <w:t>”</w:t>
      </w:r>
      <w:r>
        <w:rPr>
          <w:rFonts w:hint="eastAsia"/>
          <w:color w:val="333333"/>
          <w:shd w:val="clear" w:color="auto" w:fill="FFFFFF"/>
        </w:rPr>
        <w:t>和重点领域信息公开，对公开内容进行动态扩展和定期审查</w:t>
      </w:r>
      <w:r>
        <w:rPr>
          <w:rFonts w:hint="eastAsia"/>
          <w:color w:val="333333"/>
          <w:shd w:val="clear" w:color="auto" w:fill="FFFFFF"/>
          <w:lang w:eastAsia="zh-CN"/>
        </w:rPr>
        <w:t>；</w:t>
      </w:r>
      <w:r>
        <w:rPr>
          <w:rFonts w:hint="eastAsia"/>
          <w:color w:val="333333"/>
          <w:shd w:val="clear" w:color="auto" w:fill="FFFFFF"/>
        </w:rPr>
        <w:t>不断拓展</w:t>
      </w:r>
      <w:r>
        <w:rPr>
          <w:rFonts w:hint="eastAsia"/>
          <w:color w:val="333333"/>
          <w:shd w:val="clear" w:color="auto" w:fill="FFFFFF"/>
          <w:lang w:eastAsia="zh-CN"/>
        </w:rPr>
        <w:t>信息</w:t>
      </w:r>
      <w:r>
        <w:rPr>
          <w:rFonts w:hint="eastAsia"/>
          <w:color w:val="333333"/>
          <w:shd w:val="clear" w:color="auto" w:fill="FFFFFF"/>
        </w:rPr>
        <w:t>公开层面，拓展公开的深度和广度</w:t>
      </w:r>
      <w:r>
        <w:rPr>
          <w:rFonts w:hint="eastAsia"/>
          <w:color w:val="333333"/>
          <w:shd w:val="clear" w:color="auto" w:fill="FFFFFF"/>
          <w:lang w:eastAsia="zh-CN"/>
        </w:rPr>
        <w:t>；主动做好政策解读工作，严格落实“谁起草、谁解读”的原则，对政策进行全周期解读；</w:t>
      </w:r>
      <w:bookmarkStart w:id="0" w:name="_GoBack"/>
      <w:bookmarkEnd w:id="0"/>
      <w:r>
        <w:rPr>
          <w:rFonts w:hint="eastAsia"/>
          <w:color w:val="333333"/>
          <w:shd w:val="clear" w:color="auto" w:fill="FFFFFF"/>
          <w:lang w:eastAsia="zh-CN"/>
        </w:rPr>
        <w:t>进一步整合资源，不断优化政府信息公开的渠道和形式，完善政府网站、政务新媒体等平台载体建设</w:t>
      </w:r>
      <w:r>
        <w:rPr>
          <w:rFonts w:hint="eastAsia"/>
          <w:color w:val="333333"/>
          <w:shd w:val="clear" w:color="auto" w:fill="FFFFFF"/>
        </w:rPr>
        <w:t>。二是建设</w:t>
      </w:r>
      <w:r>
        <w:rPr>
          <w:rFonts w:hint="eastAsia"/>
          <w:color w:val="333333"/>
          <w:shd w:val="clear" w:color="auto" w:fill="FFFFFF"/>
          <w:lang w:eastAsia="zh-CN"/>
        </w:rPr>
        <w:t>政府信息公开</w:t>
      </w:r>
      <w:r>
        <w:rPr>
          <w:rFonts w:hint="eastAsia"/>
          <w:color w:val="333333"/>
          <w:shd w:val="clear" w:color="auto" w:fill="FFFFFF"/>
        </w:rPr>
        <w:t>长效工作机制。进一步健全政府信息公开内容审查和更新维护、培训宣传</w:t>
      </w:r>
      <w:r>
        <w:rPr>
          <w:rFonts w:hint="eastAsia"/>
          <w:color w:val="333333"/>
          <w:shd w:val="clear" w:color="auto" w:fill="FFFFFF"/>
          <w:lang w:eastAsia="zh-CN"/>
        </w:rPr>
        <w:t>、监督检查</w:t>
      </w:r>
      <w:r>
        <w:rPr>
          <w:rFonts w:hint="eastAsia"/>
          <w:color w:val="333333"/>
          <w:shd w:val="clear" w:color="auto" w:fill="FFFFFF"/>
        </w:rPr>
        <w:t>等工作制度，厘清各</w:t>
      </w:r>
      <w:r>
        <w:rPr>
          <w:rFonts w:hint="eastAsia"/>
          <w:color w:val="333333"/>
          <w:shd w:val="clear" w:color="auto" w:fill="FFFFFF"/>
          <w:lang w:eastAsia="zh-CN"/>
        </w:rPr>
        <w:t>乡镇</w:t>
      </w:r>
      <w:r>
        <w:rPr>
          <w:rFonts w:hint="eastAsia"/>
          <w:color w:val="333333"/>
          <w:shd w:val="clear" w:color="auto" w:fill="FFFFFF"/>
        </w:rPr>
        <w:t>各部门政府信息主动公开、依申请公开、发布协调等职责，确保政府信息公开的各项工作落到实处。三是着力壮大</w:t>
      </w:r>
      <w:r>
        <w:rPr>
          <w:rFonts w:hint="eastAsia"/>
          <w:color w:val="333333"/>
          <w:shd w:val="clear" w:color="auto" w:fill="FFFFFF"/>
          <w:lang w:eastAsia="zh-CN"/>
        </w:rPr>
        <w:t>信息公开</w:t>
      </w:r>
      <w:r>
        <w:rPr>
          <w:rFonts w:hint="eastAsia"/>
          <w:color w:val="333333"/>
          <w:shd w:val="clear" w:color="auto" w:fill="FFFFFF"/>
        </w:rPr>
        <w:t>队伍建设。进一步加强机构和队伍建设，</w:t>
      </w:r>
      <w:r>
        <w:rPr>
          <w:rFonts w:hint="eastAsia"/>
          <w:color w:val="333333"/>
          <w:shd w:val="clear" w:color="auto" w:fill="FFFFFF"/>
          <w:lang w:eastAsia="zh-CN"/>
        </w:rPr>
        <w:t>配齐配强工作力量，</w:t>
      </w:r>
      <w:r>
        <w:rPr>
          <w:rFonts w:hint="eastAsia"/>
          <w:color w:val="333333"/>
          <w:shd w:val="clear" w:color="auto" w:fill="FFFFFF"/>
        </w:rPr>
        <w:t>使机构设置和人员配备情况与其承担的信息公开工作职责和任务相匹配。积极组织开展有重点、有针对性的专题培训工作，努力提高信息公开工作人员综合业务素质。</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420" w:firstLineChars="0"/>
        <w:jc w:val="both"/>
        <w:textAlignment w:val="auto"/>
        <w:outlineLvl w:val="0"/>
        <w:rPr>
          <w:rFonts w:hint="eastAsia"/>
          <w:b/>
          <w:color w:val="333333"/>
          <w:shd w:val="clear" w:color="auto" w:fill="FFFFFF"/>
        </w:rPr>
      </w:pPr>
      <w:r>
        <w:rPr>
          <w:rFonts w:hint="eastAsia"/>
          <w:b/>
          <w:color w:val="333333"/>
          <w:shd w:val="clear" w:color="auto" w:fill="FFFFFF"/>
        </w:rPr>
        <w:t>其他需要报告的事项</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outlineLvl w:val="0"/>
        <w:rPr>
          <w:rFonts w:hint="eastAsia"/>
          <w:b/>
          <w:color w:val="333333"/>
          <w:shd w:val="clear" w:color="auto" w:fill="FFFFFF"/>
          <w:lang w:val="en-US" w:eastAsia="zh-CN"/>
        </w:rPr>
      </w:pPr>
      <w:r>
        <w:rPr>
          <w:rFonts w:hint="eastAsia"/>
          <w:b/>
          <w:color w:val="333333"/>
          <w:shd w:val="clear" w:color="auto" w:fill="FFFFFF"/>
          <w:lang w:val="en-US" w:eastAsia="zh-CN"/>
        </w:rPr>
        <w:t xml:space="preserve">    </w:t>
      </w:r>
      <w:r>
        <w:rPr>
          <w:rFonts w:hint="eastAsia"/>
          <w:b w:val="0"/>
          <w:bCs/>
          <w:color w:val="333333"/>
          <w:shd w:val="clear" w:color="auto" w:fill="FFFFFF"/>
          <w:lang w:val="en-US" w:eastAsia="zh-CN"/>
        </w:rPr>
        <w:t>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D9BEF"/>
    <w:multiLevelType w:val="singleLevel"/>
    <w:tmpl w:val="7F5D9BE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B229F"/>
    <w:rsid w:val="00954F34"/>
    <w:rsid w:val="01D50FBF"/>
    <w:rsid w:val="01FA135A"/>
    <w:rsid w:val="02AD32B2"/>
    <w:rsid w:val="039C78F2"/>
    <w:rsid w:val="05292424"/>
    <w:rsid w:val="0690773C"/>
    <w:rsid w:val="08F07C32"/>
    <w:rsid w:val="090928B8"/>
    <w:rsid w:val="0942010F"/>
    <w:rsid w:val="09927CEA"/>
    <w:rsid w:val="0ADB1E1B"/>
    <w:rsid w:val="0B1255ED"/>
    <w:rsid w:val="0B700296"/>
    <w:rsid w:val="0BF93DE6"/>
    <w:rsid w:val="0EB479F2"/>
    <w:rsid w:val="10033B7F"/>
    <w:rsid w:val="10A31C33"/>
    <w:rsid w:val="118D05D9"/>
    <w:rsid w:val="13593E15"/>
    <w:rsid w:val="18B23C4D"/>
    <w:rsid w:val="1A2956CB"/>
    <w:rsid w:val="1A9A4187"/>
    <w:rsid w:val="1AFE66FF"/>
    <w:rsid w:val="1D6F4B25"/>
    <w:rsid w:val="1EFB7726"/>
    <w:rsid w:val="20057B2E"/>
    <w:rsid w:val="20EA0409"/>
    <w:rsid w:val="21BA5B21"/>
    <w:rsid w:val="21D76D76"/>
    <w:rsid w:val="22BB57B9"/>
    <w:rsid w:val="23827D7E"/>
    <w:rsid w:val="23EF1E70"/>
    <w:rsid w:val="24012217"/>
    <w:rsid w:val="2B0159C2"/>
    <w:rsid w:val="2B920FE0"/>
    <w:rsid w:val="2C4808C7"/>
    <w:rsid w:val="2C7E7E22"/>
    <w:rsid w:val="2F567C75"/>
    <w:rsid w:val="34B53B46"/>
    <w:rsid w:val="35EF731B"/>
    <w:rsid w:val="372C5A22"/>
    <w:rsid w:val="37AE2C57"/>
    <w:rsid w:val="39787D1F"/>
    <w:rsid w:val="3A27103A"/>
    <w:rsid w:val="3BC56489"/>
    <w:rsid w:val="3BC71DEA"/>
    <w:rsid w:val="3BC80404"/>
    <w:rsid w:val="3BFF3ABD"/>
    <w:rsid w:val="3C7B1608"/>
    <w:rsid w:val="3D8A2AA1"/>
    <w:rsid w:val="3E016FF2"/>
    <w:rsid w:val="3E5B229F"/>
    <w:rsid w:val="40347D01"/>
    <w:rsid w:val="4054093C"/>
    <w:rsid w:val="42821301"/>
    <w:rsid w:val="42DE6CDB"/>
    <w:rsid w:val="437F3033"/>
    <w:rsid w:val="455C63E6"/>
    <w:rsid w:val="47705080"/>
    <w:rsid w:val="47790803"/>
    <w:rsid w:val="4A4761E5"/>
    <w:rsid w:val="4B4469A3"/>
    <w:rsid w:val="4C0B5302"/>
    <w:rsid w:val="4D466E10"/>
    <w:rsid w:val="4D6808F8"/>
    <w:rsid w:val="5008162F"/>
    <w:rsid w:val="5248671C"/>
    <w:rsid w:val="539D3698"/>
    <w:rsid w:val="53AC35B9"/>
    <w:rsid w:val="55A04680"/>
    <w:rsid w:val="56717B29"/>
    <w:rsid w:val="58964A2B"/>
    <w:rsid w:val="5A8C132D"/>
    <w:rsid w:val="5AB66177"/>
    <w:rsid w:val="5BA821EE"/>
    <w:rsid w:val="5EDA10F9"/>
    <w:rsid w:val="5F9E556D"/>
    <w:rsid w:val="5FA2469C"/>
    <w:rsid w:val="61247CD6"/>
    <w:rsid w:val="627E7068"/>
    <w:rsid w:val="640C7CD8"/>
    <w:rsid w:val="650658A1"/>
    <w:rsid w:val="66C92922"/>
    <w:rsid w:val="6710374F"/>
    <w:rsid w:val="675415E4"/>
    <w:rsid w:val="692B12E9"/>
    <w:rsid w:val="6BCD42E0"/>
    <w:rsid w:val="6CDE51A8"/>
    <w:rsid w:val="6D0C6797"/>
    <w:rsid w:val="6D356082"/>
    <w:rsid w:val="6E535FF8"/>
    <w:rsid w:val="6F4D5367"/>
    <w:rsid w:val="70C32129"/>
    <w:rsid w:val="72826491"/>
    <w:rsid w:val="758556F5"/>
    <w:rsid w:val="775339EF"/>
    <w:rsid w:val="7A707547"/>
    <w:rsid w:val="7B781065"/>
    <w:rsid w:val="7B9F61AB"/>
    <w:rsid w:val="7E031EB4"/>
    <w:rsid w:val="7FB313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2019-12-29T11:38:00Z</dcterms:created>
  <dc:creator>小公举</dc:creator>
  <cp:lastModifiedBy>Administrator</cp:lastModifiedBy>
  <cp:lastPrinted>2020-02-18T00:50:00Z</cp:lastPrinted>
  <dcterms:modified xsi:type="dcterms:W3CDTF">2020-02-18T02:55:07Z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