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b/>
          <w:color w:val="333333"/>
          <w:sz w:val="36"/>
          <w:szCs w:val="36"/>
          <w:shd w:val="clear" w:color="auto" w:fill="FFFFFF"/>
          <w:lang w:eastAsia="zh-CN"/>
        </w:rPr>
      </w:pPr>
      <w:r>
        <w:rPr>
          <w:rFonts w:hint="eastAsia"/>
          <w:b/>
          <w:color w:val="333333"/>
          <w:sz w:val="36"/>
          <w:szCs w:val="36"/>
          <w:shd w:val="clear" w:color="auto" w:fill="FFFFFF"/>
          <w:lang w:eastAsia="zh-CN"/>
        </w:rPr>
        <w:t>涞水县人民政府办公室</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b/>
          <w:color w:val="333333"/>
          <w:sz w:val="36"/>
          <w:szCs w:val="36"/>
          <w:shd w:val="clear" w:color="auto" w:fill="FFFFFF"/>
        </w:rPr>
      </w:pPr>
      <w:r>
        <w:rPr>
          <w:rFonts w:hint="eastAsia"/>
          <w:b/>
          <w:color w:val="333333"/>
          <w:sz w:val="36"/>
          <w:szCs w:val="36"/>
          <w:shd w:val="clear" w:color="auto" w:fill="FFFFFF"/>
          <w:lang w:val="en-US" w:eastAsia="zh-CN"/>
        </w:rPr>
        <w:t>2019年</w:t>
      </w:r>
      <w:r>
        <w:rPr>
          <w:rFonts w:hint="eastAsia"/>
          <w:b/>
          <w:color w:val="333333"/>
          <w:sz w:val="36"/>
          <w:szCs w:val="36"/>
          <w:shd w:val="clear" w:color="auto" w:fill="FFFFFF"/>
        </w:rPr>
        <w:t>政府信息公开工作年度报告</w:t>
      </w:r>
    </w:p>
    <w:p>
      <w:pPr>
        <w:pStyle w:val="2"/>
        <w:shd w:val="clear" w:color="auto" w:fill="FFFFFF"/>
        <w:spacing w:before="0" w:beforeAutospacing="0" w:after="0" w:afterAutospacing="0"/>
        <w:jc w:val="center"/>
        <w:rPr>
          <w:rFonts w:hint="eastAsia"/>
          <w:b/>
          <w:color w:val="333333"/>
          <w:sz w:val="36"/>
          <w:szCs w:val="36"/>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jc w:val="both"/>
        <w:textAlignment w:val="auto"/>
        <w:outlineLvl w:val="9"/>
        <w:rPr>
          <w:rFonts w:hint="eastAsia"/>
          <w:color w:val="333333"/>
        </w:rPr>
      </w:pPr>
      <w:r>
        <w:rPr>
          <w:rFonts w:hint="eastAsia"/>
          <w:b/>
          <w:color w:val="333333"/>
          <w:shd w:val="clear" w:color="auto" w:fill="FFFFFF"/>
        </w:rPr>
        <w:t>一、总体情况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9"/>
        <w:rPr>
          <w:rFonts w:hint="eastAsia"/>
          <w:color w:val="333333"/>
          <w:shd w:val="clear" w:color="auto" w:fill="FFFFFF"/>
        </w:rPr>
      </w:pPr>
      <w:r>
        <w:rPr>
          <w:rFonts w:hint="eastAsia"/>
          <w:color w:val="333333"/>
          <w:shd w:val="clear" w:color="auto" w:fill="FFFFFF"/>
        </w:rPr>
        <w:t>2019年信息公开工作年度报告是根据《中华人民共和国政府信息公开条例》《河北省政务公开办公室关于做好政府信息公开工作年度报告有关事项的通知》和《保定市2019年政务公开工作要点》要求编制完成。全文包括总体情况、主动公开政府信息情况、收到和处理政府信息公开申请情况、政府信息公开行政复议、行政诉讼情况、存在的主要问题及改进情况、其他需要报告的事项等六部分内容。本年度报告中所列数据的统计期限自2019年1月1日起至</w:t>
      </w:r>
      <w:r>
        <w:rPr>
          <w:rFonts w:hint="eastAsia"/>
          <w:color w:val="333333"/>
          <w:shd w:val="clear" w:color="auto" w:fill="FFFFFF"/>
          <w:lang w:val="en-US" w:eastAsia="zh-CN"/>
        </w:rPr>
        <w:t>2019年</w:t>
      </w:r>
      <w:r>
        <w:rPr>
          <w:rFonts w:hint="eastAsia"/>
          <w:color w:val="333333"/>
          <w:shd w:val="clear" w:color="auto" w:fill="FFFFFF"/>
        </w:rPr>
        <w:t>12月31日止。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240" w:afterAutospacing="0" w:line="560" w:lineRule="exact"/>
        <w:ind w:firstLine="420"/>
        <w:jc w:val="both"/>
        <w:textAlignment w:val="auto"/>
        <w:outlineLvl w:val="9"/>
        <w:rPr>
          <w:rFonts w:hint="eastAsia"/>
          <w:color w:val="333333"/>
        </w:rPr>
      </w:pPr>
      <w:r>
        <w:rPr>
          <w:rFonts w:hint="eastAsia"/>
          <w:color w:val="333333"/>
          <w:shd w:val="clear" w:color="auto" w:fill="FFFFFF"/>
          <w:lang w:val="en-US" w:eastAsia="zh-CN"/>
        </w:rPr>
        <w:t xml:space="preserve"> </w:t>
      </w:r>
      <w:r>
        <w:rPr>
          <w:rFonts w:hint="eastAsia"/>
          <w:b/>
          <w:color w:val="333333"/>
          <w:shd w:val="clear" w:color="auto" w:fill="FFFFFF"/>
        </w:rPr>
        <w:t>二、主动公开政府信息情况</w:t>
      </w:r>
    </w:p>
    <w:tbl>
      <w:tblPr>
        <w:tblStyle w:val="4"/>
        <w:tblW w:w="8140" w:type="dxa"/>
        <w:jc w:val="center"/>
        <w:tblInd w:w="0" w:type="dxa"/>
        <w:tblLayout w:type="fixed"/>
        <w:tblCellMar>
          <w:top w:w="0" w:type="dxa"/>
          <w:left w:w="0" w:type="dxa"/>
          <w:bottom w:w="0" w:type="dxa"/>
          <w:right w:w="0" w:type="dxa"/>
        </w:tblCellMar>
      </w:tblPr>
      <w:tblGrid>
        <w:gridCol w:w="3113"/>
        <w:gridCol w:w="1869"/>
        <w:gridCol w:w="1277"/>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527"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1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规章</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11</w:t>
            </w:r>
          </w:p>
        </w:tc>
      </w:tr>
      <w:tr>
        <w:tblPrEx>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规范性文件</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30</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72</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行政许可</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17</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eastAsia="zh-CN"/>
              </w:rPr>
              <w:t>减</w:t>
            </w:r>
            <w:r>
              <w:rPr>
                <w:rFonts w:hint="eastAsia" w:asciiTheme="minorEastAsia" w:hAnsiTheme="minorEastAsia" w:eastAsiaTheme="minorEastAsia" w:cstheme="minorEastAsia"/>
                <w:sz w:val="20"/>
                <w:szCs w:val="20"/>
                <w:lang w:val="en-US" w:eastAsia="zh-CN"/>
              </w:rPr>
              <w:t>17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17</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其他对外管理服务事项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行政处罚</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行政强制</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行政事业性收费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7</w:t>
            </w:r>
          </w:p>
        </w:tc>
        <w:tc>
          <w:tcPr>
            <w:tcW w:w="3158"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000000"/>
                <w:kern w:val="0"/>
                <w:sz w:val="20"/>
                <w:szCs w:val="20"/>
              </w:rPr>
              <w:t> </w:t>
            </w:r>
            <w:r>
              <w:rPr>
                <w:rFonts w:hint="eastAsia" w:asciiTheme="minorEastAsia" w:hAnsiTheme="minorEastAsia" w:eastAsiaTheme="minorEastAsia" w:cstheme="minorEastAsia"/>
                <w:color w:val="000000"/>
                <w:kern w:val="0"/>
                <w:sz w:val="20"/>
                <w:szCs w:val="20"/>
                <w:lang w:eastAsia="zh-CN"/>
              </w:rPr>
              <w:t>减</w:t>
            </w:r>
            <w:r>
              <w:rPr>
                <w:rFonts w:hint="eastAsia" w:asciiTheme="minorEastAsia" w:hAnsiTheme="minorEastAsia" w:eastAsiaTheme="minorEastAsia" w:cstheme="minorEastAsia"/>
                <w:color w:val="000000"/>
                <w:kern w:val="0"/>
                <w:sz w:val="20"/>
                <w:szCs w:val="20"/>
                <w:lang w:val="en-US" w:eastAsia="zh-CN"/>
              </w:rPr>
              <w:t>2</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采购项目数量</w:t>
            </w:r>
          </w:p>
        </w:tc>
        <w:tc>
          <w:tcPr>
            <w:tcW w:w="3158"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政府集中采购</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1</w:t>
            </w:r>
          </w:p>
        </w:tc>
        <w:tc>
          <w:tcPr>
            <w:tcW w:w="3158"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仿宋_GB2312"/>
                <w:sz w:val="24"/>
                <w:lang w:val="en-US" w:eastAsia="zh-CN"/>
              </w:rPr>
            </w:pPr>
            <w:r>
              <w:rPr>
                <w:rFonts w:hint="eastAsia" w:asciiTheme="minorEastAsia" w:hAnsiTheme="minorEastAsia" w:eastAsiaTheme="minorEastAsia" w:cstheme="minorEastAsia"/>
                <w:sz w:val="20"/>
                <w:szCs w:val="20"/>
                <w:lang w:val="en-US" w:eastAsia="zh-CN"/>
              </w:rPr>
              <w:t>44.8万</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240" w:afterAutospacing="0"/>
        <w:ind w:firstLine="420"/>
        <w:jc w:val="both"/>
        <w:outlineLvl w:val="0"/>
        <w:rPr>
          <w:rFonts w:hint="eastAsia"/>
          <w:color w:val="333333"/>
        </w:rPr>
      </w:pPr>
      <w:r>
        <w:rPr>
          <w:rFonts w:hint="eastAsia"/>
          <w:b/>
          <w:color w:val="333333"/>
          <w:shd w:val="clear" w:color="auto" w:fill="FFFFFF"/>
        </w:rPr>
        <w:t>三、收到和处理政府信息公开申请情况</w:t>
      </w:r>
    </w:p>
    <w:tbl>
      <w:tblPr>
        <w:tblStyle w:val="4"/>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513" w:type="dxa"/>
            <w:gridSpan w:val="7"/>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pPr>
              <w:rPr>
                <w:rFonts w:hint="eastAsia" w:ascii="宋体"/>
                <w:sz w:val="24"/>
              </w:rPr>
            </w:pPr>
          </w:p>
        </w:tc>
        <w:tc>
          <w:tcPr>
            <w:tcW w:w="814"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0" w:type="dxa"/>
            <w:gridSpan w:val="5"/>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89"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pPr>
              <w:rPr>
                <w:rFonts w:hint="eastAsia" w:ascii="宋体"/>
                <w:sz w:val="24"/>
              </w:rPr>
            </w:pPr>
          </w:p>
        </w:tc>
        <w:tc>
          <w:tcPr>
            <w:tcW w:w="814" w:type="dxa"/>
            <w:vMerge w:val="continue"/>
            <w:tcBorders>
              <w:tl2br w:val="nil"/>
              <w:tr2bl w:val="nil"/>
            </w:tcBorders>
            <w:tcMar>
              <w:left w:w="108" w:type="dxa"/>
              <w:right w:w="108" w:type="dxa"/>
            </w:tcMar>
            <w:vAlign w:val="center"/>
          </w:tcPr>
          <w:p>
            <w:pPr>
              <w:rPr>
                <w:rFonts w:hint="eastAsia" w:ascii="宋体"/>
                <w:sz w:val="24"/>
              </w:rPr>
            </w:pPr>
          </w:p>
        </w:tc>
        <w:tc>
          <w:tcPr>
            <w:tcW w:w="755"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5"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4"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4"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2"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89" w:type="dxa"/>
            <w:vMerge w:val="continue"/>
            <w:tcBorders>
              <w:tl2br w:val="nil"/>
              <w:tr2bl w:val="nil"/>
            </w:tcBorders>
            <w:tcMar>
              <w:left w:w="108" w:type="dxa"/>
              <w:right w:w="108" w:type="dxa"/>
            </w:tcMar>
            <w:vAlign w:val="center"/>
          </w:tcPr>
          <w:p>
            <w:pPr>
              <w:rPr>
                <w:rFonts w:hint="eastAsia"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11</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8</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hint="eastAsia" w:ascii="Calibri" w:eastAsia="宋体" w:cs="Calibri"/>
                <w:kern w:val="0"/>
                <w:sz w:val="20"/>
                <w:szCs w:val="20"/>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hint="eastAsia" w:ascii="Calibri" w:eastAsia="宋体" w:cs="Calibri"/>
                <w:kern w:val="0"/>
                <w:sz w:val="20"/>
                <w:szCs w:val="20"/>
                <w:lang w:val="en-US" w:eastAsia="zh-CN"/>
              </w:rPr>
              <w:t>3</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top"/>
          </w:tcPr>
          <w:p>
            <w:pPr>
              <w:jc w:val="center"/>
              <w:rPr>
                <w:rFonts w:hint="eastAsia" w:ascii="宋体" w:eastAsia="仿宋_GB2312"/>
                <w:sz w:val="24"/>
                <w:lang w:val="en-US" w:eastAsia="zh-CN"/>
              </w:rPr>
            </w:pPr>
            <w:r>
              <w:rPr>
                <w:rFonts w:hint="eastAsia" w:asciiTheme="minorAscii"/>
                <w:sz w:val="20"/>
                <w:szCs w:val="20"/>
                <w:lang w:val="en-US" w:eastAsia="zh-CN"/>
              </w:rPr>
              <w:t>0</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0" w:afterAutospacing="0"/>
        <w:ind w:firstLine="420"/>
        <w:jc w:val="both"/>
        <w:outlineLvl w:val="0"/>
        <w:rPr>
          <w:rFonts w:hint="eastAsia"/>
          <w:color w:val="333333"/>
        </w:rPr>
      </w:pPr>
      <w:r>
        <w:rPr>
          <w:rFonts w:hint="eastAsia"/>
          <w:b/>
          <w:color w:val="333333"/>
          <w:shd w:val="clear" w:color="auto" w:fill="FFFFFF"/>
        </w:rPr>
        <w:t>四、政府信息公开行政复议、行政诉讼情况</w:t>
      </w:r>
    </w:p>
    <w:p>
      <w:pPr>
        <w:pStyle w:val="2"/>
        <w:shd w:val="clear" w:color="auto" w:fill="FFFFFF"/>
        <w:spacing w:before="0" w:beforeAutospacing="0" w:after="0" w:afterAutospacing="0"/>
        <w:ind w:firstLine="420"/>
        <w:jc w:val="both"/>
        <w:rPr>
          <w:rFonts w:hint="eastAsia"/>
          <w:color w:val="333333"/>
        </w:rPr>
      </w:pP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652"/>
        <w:gridCol w:w="503"/>
        <w:gridCol w:w="605"/>
        <w:gridCol w:w="605"/>
        <w:gridCol w:w="597"/>
        <w:gridCol w:w="613"/>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62"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35"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5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59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c>
          <w:tcPr>
            <w:tcW w:w="6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2</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3</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5</w:t>
            </w:r>
          </w:p>
        </w:tc>
        <w:tc>
          <w:tcPr>
            <w:tcW w:w="65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12</w:t>
            </w:r>
          </w:p>
        </w:tc>
        <w:tc>
          <w:tcPr>
            <w:tcW w:w="5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 </w:t>
            </w:r>
          </w:p>
        </w:tc>
        <w:tc>
          <w:tcPr>
            <w:tcW w:w="59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14</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2</w:t>
            </w:r>
          </w:p>
        </w:tc>
        <w:tc>
          <w:tcPr>
            <w:tcW w:w="606" w:type="dxa"/>
            <w:tcBorders>
              <w:top w:val="nil"/>
              <w:left w:val="nil"/>
              <w:bottom w:val="single" w:color="auto" w:sz="8" w:space="0"/>
              <w:right w:val="single" w:color="auto" w:sz="8" w:space="0"/>
            </w:tcBorders>
            <w:tcMar>
              <w:left w:w="108" w:type="dxa"/>
              <w:right w:w="108" w:type="dxa"/>
            </w:tcMar>
            <w:vAlign w:val="top"/>
          </w:tcPr>
          <w:p>
            <w:pPr>
              <w:jc w:val="center"/>
              <w:rPr>
                <w:rFonts w:hint="eastAsia" w:ascii="宋体" w:eastAsia="仿宋_GB2312"/>
                <w:sz w:val="24"/>
                <w:lang w:val="en-US" w:eastAsia="zh-CN"/>
              </w:rPr>
            </w:pPr>
            <w:r>
              <w:rPr>
                <w:rFonts w:hint="eastAsia" w:ascii="宋体"/>
                <w:sz w:val="20"/>
                <w:szCs w:val="20"/>
                <w:lang w:val="en-US" w:eastAsia="zh-CN"/>
              </w:rPr>
              <w:t>2</w:t>
            </w:r>
          </w:p>
        </w:tc>
      </w:tr>
    </w:tbl>
    <w:p>
      <w:pPr>
        <w:widowControl/>
        <w:shd w:val="clear" w:color="auto" w:fill="FFFFFF"/>
        <w:rPr>
          <w:rFonts w:hint="eastAsia" w:ascii="宋体" w:hAnsi="宋体" w:eastAsia="宋体" w:cs="宋体"/>
          <w:color w:val="333333"/>
          <w:sz w:val="24"/>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outlineLvl w:val="0"/>
        <w:rPr>
          <w:rFonts w:hint="eastAsia"/>
          <w:b/>
          <w:color w:val="333333"/>
          <w:shd w:val="clear" w:color="auto" w:fill="FFFFFF"/>
        </w:rPr>
      </w:pPr>
      <w:r>
        <w:rPr>
          <w:rFonts w:hint="eastAsia"/>
          <w:b/>
          <w:color w:val="333333"/>
          <w:shd w:val="clear" w:color="auto" w:fill="FFFFFF"/>
        </w:rPr>
        <w:t>存在的主要问题及改进情况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0"/>
        <w:rPr>
          <w:rFonts w:hint="eastAsia"/>
          <w:color w:val="333333"/>
          <w:shd w:val="clear" w:color="auto" w:fill="FFFFFF"/>
        </w:rPr>
      </w:pPr>
      <w:r>
        <w:rPr>
          <w:rFonts w:hint="eastAsia"/>
          <w:color w:val="333333"/>
          <w:shd w:val="clear" w:color="auto" w:fill="FFFFFF"/>
          <w:lang w:eastAsia="zh-CN"/>
        </w:rPr>
        <w:t>（一）</w:t>
      </w:r>
      <w:r>
        <w:rPr>
          <w:rFonts w:hint="eastAsia"/>
          <w:color w:val="333333"/>
          <w:shd w:val="clear" w:color="auto" w:fill="FFFFFF"/>
        </w:rPr>
        <w:t>存在的主要问题：一是需进一步深化公开内容。主动公开的政府信息</w:t>
      </w:r>
      <w:r>
        <w:rPr>
          <w:rFonts w:hint="eastAsia"/>
          <w:color w:val="333333"/>
          <w:shd w:val="clear" w:color="auto" w:fill="FFFFFF"/>
          <w:lang w:eastAsia="zh-CN"/>
        </w:rPr>
        <w:t>离</w:t>
      </w:r>
      <w:r>
        <w:rPr>
          <w:rFonts w:hint="eastAsia"/>
          <w:color w:val="333333"/>
          <w:shd w:val="clear" w:color="auto" w:fill="FFFFFF"/>
        </w:rPr>
        <w:t>公众的需求还存在一些</w:t>
      </w:r>
      <w:r>
        <w:rPr>
          <w:rFonts w:hint="eastAsia"/>
          <w:color w:val="333333"/>
          <w:shd w:val="clear" w:color="auto" w:fill="FFFFFF"/>
          <w:lang w:eastAsia="zh-CN"/>
        </w:rPr>
        <w:t>差</w:t>
      </w:r>
      <w:r>
        <w:rPr>
          <w:rFonts w:hint="eastAsia"/>
          <w:color w:val="333333"/>
          <w:shd w:val="clear" w:color="auto" w:fill="FFFFFF"/>
        </w:rPr>
        <w:t>距，与公众密切相关的决策、规定等方面需要进一步加强。二是需进一步提高公开队伍专业化水平。各单位分管负责同志和工作人员的业务培训</w:t>
      </w:r>
      <w:r>
        <w:rPr>
          <w:rFonts w:hint="eastAsia"/>
          <w:color w:val="333333"/>
          <w:shd w:val="clear" w:color="auto" w:fill="FFFFFF"/>
          <w:lang w:eastAsia="zh-CN"/>
        </w:rPr>
        <w:t>应再</w:t>
      </w:r>
      <w:r>
        <w:rPr>
          <w:rFonts w:hint="eastAsia"/>
          <w:color w:val="333333"/>
          <w:shd w:val="clear" w:color="auto" w:fill="FFFFFF"/>
        </w:rPr>
        <w:t>加强，</w:t>
      </w:r>
      <w:r>
        <w:rPr>
          <w:rFonts w:hint="eastAsia"/>
          <w:color w:val="333333"/>
          <w:shd w:val="clear" w:color="auto" w:fill="FFFFFF"/>
          <w:lang w:eastAsia="zh-CN"/>
        </w:rPr>
        <w:t>进而提升</w:t>
      </w:r>
      <w:r>
        <w:rPr>
          <w:rFonts w:hint="eastAsia"/>
          <w:color w:val="333333"/>
          <w:shd w:val="clear" w:color="auto" w:fill="FFFFFF"/>
        </w:rPr>
        <w:t>信息公开工作人员的专业素养，指导、推动、落实信息公开工作的能力水平</w:t>
      </w:r>
      <w:r>
        <w:rPr>
          <w:rFonts w:hint="eastAsia"/>
          <w:color w:val="333333"/>
          <w:shd w:val="clear" w:color="auto" w:fill="FFFFFF"/>
          <w:lang w:eastAsia="zh-CN"/>
        </w:rPr>
        <w:t>有待</w:t>
      </w:r>
      <w:r>
        <w:rPr>
          <w:rFonts w:hint="eastAsia"/>
          <w:color w:val="333333"/>
          <w:shd w:val="clear" w:color="auto" w:fill="FFFFFF"/>
        </w:rPr>
        <w:t>提高。三是需进一步完善长效工作机制建设。公开信息在更新维护、文件报备、监督约束等方面还存在机制不健全的问题，需要进一步完善。</w:t>
      </w:r>
      <w:bookmarkStart w:id="0" w:name="_GoBack"/>
      <w:bookmarkEnd w:id="0"/>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0"/>
        <w:rPr>
          <w:rFonts w:hint="eastAsia"/>
          <w:color w:val="333333"/>
          <w:shd w:val="clear" w:color="auto" w:fill="FFFFFF"/>
        </w:rPr>
      </w:pPr>
      <w:r>
        <w:rPr>
          <w:rFonts w:hint="eastAsia"/>
          <w:color w:val="333333"/>
          <w:shd w:val="clear" w:color="auto" w:fill="FFFFFF"/>
          <w:lang w:eastAsia="zh-CN"/>
        </w:rPr>
        <w:t>（二）</w:t>
      </w:r>
      <w:r>
        <w:rPr>
          <w:rFonts w:hint="eastAsia"/>
          <w:color w:val="333333"/>
          <w:shd w:val="clear" w:color="auto" w:fill="FFFFFF"/>
        </w:rPr>
        <w:t>改进措施：一是持续深化公开内容。进一步推进决策、执行、管理、服务、结果公开和重点领域信息公开，对公开内容进行动态扩展和定期审查。不断拓展</w:t>
      </w:r>
      <w:r>
        <w:rPr>
          <w:rFonts w:hint="eastAsia"/>
          <w:color w:val="333333"/>
          <w:shd w:val="clear" w:color="auto" w:fill="FFFFFF"/>
          <w:lang w:eastAsia="zh-CN"/>
        </w:rPr>
        <w:t>信息</w:t>
      </w:r>
      <w:r>
        <w:rPr>
          <w:rFonts w:hint="eastAsia"/>
          <w:color w:val="333333"/>
          <w:shd w:val="clear" w:color="auto" w:fill="FFFFFF"/>
        </w:rPr>
        <w:t>公开层面，拓展公开的深度和广度。二是建设长效工作机制。进一步健全政府信息公开内容审查和更新维护、培训宣传等工作制度，确保政府信息公开的各项工作落到实处。三是着力壮大队伍建设。进一步加强机构和队伍建设，使机构设置和人员配备情况与其承担的信息公开工作职责和任务相匹配。积极组织开展有重点、有针对性的专题培训工作，努力提高信息公开工作人员综合业务素质。</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jc w:val="both"/>
        <w:textAlignment w:val="auto"/>
        <w:outlineLvl w:val="0"/>
        <w:rPr>
          <w:rFonts w:hint="eastAsia"/>
          <w:b/>
          <w:color w:val="333333"/>
          <w:shd w:val="clear" w:color="auto" w:fill="FFFFFF"/>
        </w:rPr>
      </w:pPr>
      <w:r>
        <w:rPr>
          <w:rFonts w:hint="eastAsia"/>
          <w:b/>
          <w:color w:val="333333"/>
          <w:shd w:val="clear" w:color="auto" w:fill="FFFFFF"/>
        </w:rPr>
        <w:t>其他需要报告的事项</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eastAsia"/>
          <w:b/>
          <w:color w:val="333333"/>
          <w:shd w:val="clear" w:color="auto" w:fill="FFFFFF"/>
          <w:lang w:val="en-US" w:eastAsia="zh-CN"/>
        </w:rPr>
      </w:pPr>
      <w:r>
        <w:rPr>
          <w:rFonts w:hint="eastAsia"/>
          <w:b/>
          <w:color w:val="333333"/>
          <w:shd w:val="clear" w:color="auto" w:fill="FFFFFF"/>
          <w:lang w:val="en-US" w:eastAsia="zh-CN"/>
        </w:rPr>
        <w:t xml:space="preserve">    </w:t>
      </w:r>
      <w:r>
        <w:rPr>
          <w:rFonts w:hint="eastAsia"/>
          <w:b w:val="0"/>
          <w:bCs/>
          <w:color w:val="333333"/>
          <w:shd w:val="clear" w:color="auto" w:fill="FFFFFF"/>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9BEF"/>
    <w:multiLevelType w:val="singleLevel"/>
    <w:tmpl w:val="7F5D9BE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B229F"/>
    <w:rsid w:val="00954F34"/>
    <w:rsid w:val="05292424"/>
    <w:rsid w:val="08F07C32"/>
    <w:rsid w:val="090928B8"/>
    <w:rsid w:val="09927CEA"/>
    <w:rsid w:val="0ADB1E1B"/>
    <w:rsid w:val="0B1255ED"/>
    <w:rsid w:val="118D05D9"/>
    <w:rsid w:val="13593E15"/>
    <w:rsid w:val="1A9A4187"/>
    <w:rsid w:val="1EFB7726"/>
    <w:rsid w:val="23EF1E70"/>
    <w:rsid w:val="2B920FE0"/>
    <w:rsid w:val="2F567C75"/>
    <w:rsid w:val="34B53B46"/>
    <w:rsid w:val="39787D1F"/>
    <w:rsid w:val="3BC56489"/>
    <w:rsid w:val="3BC71DEA"/>
    <w:rsid w:val="3D8A2AA1"/>
    <w:rsid w:val="3E5B229F"/>
    <w:rsid w:val="40347D01"/>
    <w:rsid w:val="4054093C"/>
    <w:rsid w:val="42821301"/>
    <w:rsid w:val="437F3033"/>
    <w:rsid w:val="4B4469A3"/>
    <w:rsid w:val="4D6808F8"/>
    <w:rsid w:val="55A04680"/>
    <w:rsid w:val="5A8C132D"/>
    <w:rsid w:val="5BA821EE"/>
    <w:rsid w:val="5FA2469C"/>
    <w:rsid w:val="627E7068"/>
    <w:rsid w:val="640C7CD8"/>
    <w:rsid w:val="692B12E9"/>
    <w:rsid w:val="6BCD42E0"/>
    <w:rsid w:val="6CDE51A8"/>
    <w:rsid w:val="6D356082"/>
    <w:rsid w:val="6E535FF8"/>
    <w:rsid w:val="70C32129"/>
    <w:rsid w:val="72826491"/>
    <w:rsid w:val="7B781065"/>
    <w:rsid w:val="7E031E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2019-12-29T11:38:00Z</dcterms:created>
  <dc:creator>小公举</dc:creator>
  <cp:lastModifiedBy>Administrator</cp:lastModifiedBy>
  <cp:lastPrinted>2019-12-29T11:40:00Z</cp:lastPrinted>
  <dcterms:modified xsi:type="dcterms:W3CDTF">2020-01-19T09:42:22Z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