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5"/>
        </w:tabs>
        <w:spacing w:line="360" w:lineRule="auto"/>
        <w:ind w:right="330" w:rightChars="157" w:firstLine="480" w:firstLineChars="20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公示内容</w:t>
      </w:r>
    </w:p>
    <w:p>
      <w:pPr>
        <w:tabs>
          <w:tab w:val="left" w:pos="525"/>
        </w:tabs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一、规划范围及规划期限</w:t>
      </w:r>
    </w:p>
    <w:p>
      <w:pPr>
        <w:tabs>
          <w:tab w:val="left" w:pos="525"/>
        </w:tabs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规划范围为涞水县涞水镇、义安镇、胡家庄乡、明义镇、永阳镇、东文山乡、王村镇、石亭镇、娄村镇、一渡镇、社区办行政区范围。</w:t>
      </w:r>
    </w:p>
    <w:p>
      <w:pPr>
        <w:tabs>
          <w:tab w:val="left" w:pos="525"/>
        </w:tabs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规划期限为</w:t>
      </w:r>
      <w:r>
        <w:rPr>
          <w:rFonts w:ascii="宋体" w:hAnsi="宋体" w:eastAsia="宋体" w:cs="Times New Roman"/>
          <w:sz w:val="24"/>
          <w:szCs w:val="24"/>
        </w:rPr>
        <w:t>2016-2030年，分为近期</w:t>
      </w:r>
      <w:r>
        <w:rPr>
          <w:rFonts w:hint="eastAsia" w:ascii="宋体" w:hAnsi="宋体" w:eastAsia="宋体" w:cs="Times New Roman"/>
          <w:sz w:val="24"/>
          <w:szCs w:val="24"/>
        </w:rPr>
        <w:t>、中期</w:t>
      </w:r>
      <w:r>
        <w:rPr>
          <w:rFonts w:ascii="宋体" w:hAnsi="宋体" w:eastAsia="宋体" w:cs="Times New Roman"/>
          <w:sz w:val="24"/>
          <w:szCs w:val="24"/>
        </w:rPr>
        <w:t>和远期，其中：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近期：201</w:t>
      </w:r>
      <w:r>
        <w:rPr>
          <w:rFonts w:hint="eastAsia" w:ascii="宋体" w:hAnsi="宋体" w:eastAsia="宋体" w:cs="Times New Roman"/>
          <w:sz w:val="24"/>
          <w:szCs w:val="24"/>
        </w:rPr>
        <w:t>6</w:t>
      </w:r>
      <w:r>
        <w:rPr>
          <w:rFonts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-</w:t>
      </w:r>
      <w:r>
        <w:rPr>
          <w:rFonts w:ascii="宋体" w:hAnsi="宋体" w:eastAsia="宋体" w:cs="Times New Roman"/>
          <w:sz w:val="24"/>
          <w:szCs w:val="24"/>
        </w:rPr>
        <w:t>20</w:t>
      </w:r>
      <w:r>
        <w:rPr>
          <w:rFonts w:hint="eastAsia" w:ascii="宋体" w:hAnsi="宋体" w:eastAsia="宋体" w:cs="Times New Roman"/>
          <w:sz w:val="24"/>
          <w:szCs w:val="24"/>
        </w:rPr>
        <w:t>20</w:t>
      </w:r>
      <w:r>
        <w:rPr>
          <w:rFonts w:ascii="宋体" w:hAnsi="宋体" w:eastAsia="宋体" w:cs="Times New Roman"/>
          <w:sz w:val="24"/>
          <w:szCs w:val="24"/>
        </w:rPr>
        <w:t>年</w:t>
      </w:r>
    </w:p>
    <w:p>
      <w:pPr>
        <w:tabs>
          <w:tab w:val="left" w:pos="525"/>
        </w:tabs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中期：2021年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Times New Roman"/>
          <w:sz w:val="24"/>
          <w:szCs w:val="24"/>
        </w:rPr>
        <w:t>2025年</w:t>
      </w:r>
    </w:p>
    <w:p>
      <w:pPr>
        <w:tabs>
          <w:tab w:val="left" w:pos="525"/>
        </w:tabs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远期：2026年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Times New Roman"/>
          <w:sz w:val="24"/>
          <w:szCs w:val="24"/>
        </w:rPr>
        <w:t>2030年</w:t>
      </w:r>
    </w:p>
    <w:p>
      <w:pPr>
        <w:tabs>
          <w:tab w:val="left" w:pos="525"/>
        </w:tabs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二、规划指标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677"/>
        <w:gridCol w:w="462"/>
        <w:gridCol w:w="1140"/>
        <w:gridCol w:w="1019"/>
        <w:gridCol w:w="1043"/>
        <w:gridCol w:w="954"/>
        <w:gridCol w:w="1036"/>
        <w:gridCol w:w="884"/>
        <w:gridCol w:w="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tblHeader/>
        </w:trPr>
        <w:tc>
          <w:tcPr>
            <w:tcW w:w="2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序号</w:t>
            </w:r>
          </w:p>
        </w:tc>
        <w:tc>
          <w:tcPr>
            <w:tcW w:w="1337" w:type="pct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项目</w:t>
            </w:r>
          </w:p>
        </w:tc>
        <w:tc>
          <w:tcPr>
            <w:tcW w:w="59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单位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近期</w:t>
            </w:r>
          </w:p>
        </w:tc>
        <w:tc>
          <w:tcPr>
            <w:tcW w:w="560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中期</w:t>
            </w:r>
          </w:p>
        </w:tc>
        <w:tc>
          <w:tcPr>
            <w:tcW w:w="608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远期</w:t>
            </w:r>
          </w:p>
        </w:tc>
        <w:tc>
          <w:tcPr>
            <w:tcW w:w="519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合计</w:t>
            </w:r>
          </w:p>
        </w:tc>
        <w:tc>
          <w:tcPr>
            <w:tcW w:w="48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4" w:type="pct"/>
            <w:vMerge w:val="restar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</w:t>
            </w:r>
          </w:p>
        </w:tc>
        <w:tc>
          <w:tcPr>
            <w:tcW w:w="397" w:type="pct"/>
            <w:vMerge w:val="restar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天然气用气量</w:t>
            </w:r>
          </w:p>
        </w:tc>
        <w:tc>
          <w:tcPr>
            <w:tcW w:w="940" w:type="pct"/>
            <w:gridSpan w:val="2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年用气量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万标准立方米/年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7566.9</w:t>
            </w: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14320.1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17445.5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48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4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40" w:type="pct"/>
            <w:gridSpan w:val="2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计算月平均日用气量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万标准立方米/天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83.0</w:t>
            </w: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123.38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135.64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39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天然气场站</w:t>
            </w:r>
          </w:p>
        </w:tc>
        <w:tc>
          <w:tcPr>
            <w:tcW w:w="940" w:type="pct"/>
            <w:gridSpan w:val="2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调压站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座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482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40" w:type="pct"/>
            <w:gridSpan w:val="2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LNG储存气化站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座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1（扩容）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482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40" w:type="pct"/>
            <w:gridSpan w:val="2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门站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座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48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</w:t>
            </w:r>
          </w:p>
        </w:tc>
        <w:tc>
          <w:tcPr>
            <w:tcW w:w="397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气化人口</w:t>
            </w:r>
          </w:p>
        </w:tc>
        <w:tc>
          <w:tcPr>
            <w:tcW w:w="1538" w:type="pct"/>
            <w:gridSpan w:val="3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万人</w:t>
            </w:r>
          </w:p>
        </w:tc>
        <w:tc>
          <w:tcPr>
            <w:tcW w:w="61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32.2</w:t>
            </w:r>
          </w:p>
        </w:tc>
        <w:tc>
          <w:tcPr>
            <w:tcW w:w="560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42.6</w:t>
            </w:r>
          </w:p>
        </w:tc>
        <w:tc>
          <w:tcPr>
            <w:tcW w:w="60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52.3</w:t>
            </w:r>
          </w:p>
        </w:tc>
        <w:tc>
          <w:tcPr>
            <w:tcW w:w="519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84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</w:t>
            </w:r>
          </w:p>
        </w:tc>
        <w:tc>
          <w:tcPr>
            <w:tcW w:w="39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管道</w:t>
            </w:r>
          </w:p>
        </w:tc>
        <w:tc>
          <w:tcPr>
            <w:tcW w:w="271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高压管道</w:t>
            </w:r>
          </w:p>
        </w:tc>
        <w:tc>
          <w:tcPr>
            <w:tcW w:w="66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DN300、DN250、DN150、DN100</w:t>
            </w:r>
          </w:p>
        </w:tc>
        <w:tc>
          <w:tcPr>
            <w:tcW w:w="598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公里</w:t>
            </w:r>
          </w:p>
        </w:tc>
        <w:tc>
          <w:tcPr>
            <w:tcW w:w="612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36.0</w:t>
            </w:r>
          </w:p>
        </w:tc>
        <w:tc>
          <w:tcPr>
            <w:tcW w:w="56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11.2</w:t>
            </w: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47.2</w:t>
            </w:r>
          </w:p>
        </w:tc>
        <w:tc>
          <w:tcPr>
            <w:tcW w:w="482" w:type="pc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restar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中压主管道</w:t>
            </w:r>
          </w:p>
        </w:tc>
        <w:tc>
          <w:tcPr>
            <w:tcW w:w="668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De63</w:t>
            </w:r>
          </w:p>
        </w:tc>
        <w:tc>
          <w:tcPr>
            <w:tcW w:w="598" w:type="pct"/>
            <w:vMerge w:val="restart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公里</w:t>
            </w:r>
          </w:p>
        </w:tc>
        <w:tc>
          <w:tcPr>
            <w:tcW w:w="6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56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60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fldChar w:fldCharType="begin"/>
            </w:r>
            <w:r>
              <w:rPr>
                <w:rFonts w:ascii="宋体" w:hAnsi="宋体" w:eastAsia="宋体" w:cs="宋体"/>
                <w:szCs w:val="21"/>
              </w:rPr>
              <w:instrText xml:space="preserve"> </w:instrText>
            </w:r>
            <w:r>
              <w:rPr>
                <w:rFonts w:hint="eastAsia" w:ascii="宋体" w:hAnsi="宋体" w:eastAsia="宋体" w:cs="宋体"/>
                <w:szCs w:val="21"/>
              </w:rPr>
              <w:instrText xml:space="preserve">=SUM(LEFT)</w:instrText>
            </w:r>
            <w:r>
              <w:rPr>
                <w:rFonts w:ascii="宋体" w:hAnsi="宋体" w:eastAsia="宋体" w:cs="宋体"/>
                <w:szCs w:val="21"/>
              </w:rPr>
              <w:instrText xml:space="preserve"> </w:instrText>
            </w:r>
            <w:r>
              <w:rPr>
                <w:rFonts w:ascii="宋体" w:hAnsi="宋体" w:eastAsia="宋体" w:cs="宋体"/>
                <w:szCs w:val="21"/>
              </w:rPr>
              <w:fldChar w:fldCharType="separate"/>
            </w:r>
            <w:r>
              <w:rPr>
                <w:rFonts w:ascii="宋体" w:hAnsi="宋体" w:eastAsia="宋体" w:cs="宋体"/>
                <w:szCs w:val="21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fldChar w:fldCharType="end"/>
            </w:r>
            <w:r>
              <w:rPr>
                <w:rFonts w:ascii="宋体" w:hAnsi="宋体" w:eastAsia="宋体" w:cs="宋体"/>
                <w:szCs w:val="21"/>
              </w:rPr>
              <w:t>.0</w:t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De90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10.8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4.2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fldChar w:fldCharType="begin"/>
            </w:r>
            <w:r>
              <w:rPr>
                <w:rFonts w:ascii="宋体" w:hAnsi="宋体" w:eastAsia="宋体" w:cs="宋体"/>
                <w:szCs w:val="21"/>
              </w:rPr>
              <w:instrText xml:space="preserve"> =SUM(LEFT) </w:instrText>
            </w:r>
            <w:r>
              <w:rPr>
                <w:rFonts w:ascii="宋体" w:hAnsi="宋体" w:eastAsia="宋体" w:cs="宋体"/>
                <w:szCs w:val="21"/>
              </w:rPr>
              <w:fldChar w:fldCharType="separate"/>
            </w:r>
            <w:r>
              <w:rPr>
                <w:rFonts w:ascii="宋体" w:hAnsi="宋体" w:eastAsia="宋体" w:cs="宋体"/>
                <w:szCs w:val="21"/>
              </w:rPr>
              <w:t>21</w:t>
            </w:r>
            <w:r>
              <w:rPr>
                <w:rFonts w:ascii="宋体" w:hAnsi="宋体" w:eastAsia="宋体" w:cs="宋体"/>
                <w:szCs w:val="21"/>
              </w:rPr>
              <w:fldChar w:fldCharType="end"/>
            </w:r>
            <w:r>
              <w:rPr>
                <w:rFonts w:ascii="宋体" w:hAnsi="宋体" w:eastAsia="宋体" w:cs="宋体"/>
                <w:szCs w:val="21"/>
              </w:rPr>
              <w:t>.0</w:t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De110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7.5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9.5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5.5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fldChar w:fldCharType="begin"/>
            </w:r>
            <w:r>
              <w:rPr>
                <w:rFonts w:ascii="宋体" w:hAnsi="宋体" w:eastAsia="宋体" w:cs="宋体"/>
                <w:szCs w:val="21"/>
              </w:rPr>
              <w:instrText xml:space="preserve"> =SUM(LEFT) </w:instrText>
            </w:r>
            <w:r>
              <w:rPr>
                <w:rFonts w:ascii="宋体" w:hAnsi="宋体" w:eastAsia="宋体" w:cs="宋体"/>
                <w:szCs w:val="21"/>
              </w:rPr>
              <w:fldChar w:fldCharType="separate"/>
            </w:r>
            <w:r>
              <w:rPr>
                <w:rFonts w:ascii="宋体" w:hAnsi="宋体" w:eastAsia="宋体" w:cs="宋体"/>
                <w:szCs w:val="21"/>
              </w:rPr>
              <w:t>22.5</w:t>
            </w:r>
            <w:r>
              <w:rPr>
                <w:rFonts w:ascii="宋体" w:hAnsi="宋体" w:eastAsia="宋体" w:cs="宋体"/>
                <w:szCs w:val="21"/>
              </w:rPr>
              <w:fldChar w:fldCharType="end"/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De160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14.7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16.8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3.2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fldChar w:fldCharType="begin"/>
            </w:r>
            <w:r>
              <w:rPr>
                <w:rFonts w:ascii="宋体" w:hAnsi="宋体" w:eastAsia="宋体" w:cs="宋体"/>
                <w:szCs w:val="21"/>
              </w:rPr>
              <w:instrText xml:space="preserve"> =SUM(LEFT) </w:instrText>
            </w:r>
            <w:r>
              <w:rPr>
                <w:rFonts w:ascii="宋体" w:hAnsi="宋体" w:eastAsia="宋体" w:cs="宋体"/>
                <w:szCs w:val="21"/>
              </w:rPr>
              <w:fldChar w:fldCharType="separate"/>
            </w:r>
            <w:r>
              <w:rPr>
                <w:rFonts w:ascii="宋体" w:hAnsi="宋体" w:eastAsia="宋体" w:cs="宋体"/>
                <w:szCs w:val="21"/>
              </w:rPr>
              <w:t>34.7</w:t>
            </w:r>
            <w:r>
              <w:rPr>
                <w:rFonts w:ascii="宋体" w:hAnsi="宋体" w:eastAsia="宋体" w:cs="宋体"/>
                <w:szCs w:val="21"/>
              </w:rPr>
              <w:fldChar w:fldCharType="end"/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De200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15.5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2.4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17.9</w:t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De250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11.9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3.5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21.4</w:t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84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1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De315</w:t>
            </w:r>
          </w:p>
        </w:tc>
        <w:tc>
          <w:tcPr>
            <w:tcW w:w="598" w:type="pct"/>
            <w:vMerge w:val="continue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17.4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4.5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21.9</w:t>
            </w:r>
          </w:p>
        </w:tc>
        <w:tc>
          <w:tcPr>
            <w:tcW w:w="48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84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五</w:t>
            </w:r>
          </w:p>
        </w:tc>
        <w:tc>
          <w:tcPr>
            <w:tcW w:w="1935" w:type="pct"/>
            <w:gridSpan w:val="4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建设投资（万元）</w:t>
            </w:r>
          </w:p>
        </w:tc>
        <w:tc>
          <w:tcPr>
            <w:tcW w:w="612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13441.9 </w:t>
            </w:r>
          </w:p>
        </w:tc>
        <w:tc>
          <w:tcPr>
            <w:tcW w:w="56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6038.1 </w:t>
            </w:r>
          </w:p>
        </w:tc>
        <w:tc>
          <w:tcPr>
            <w:tcW w:w="60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1440.3 </w:t>
            </w:r>
          </w:p>
        </w:tc>
        <w:tc>
          <w:tcPr>
            <w:tcW w:w="51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20920.4 </w:t>
            </w:r>
          </w:p>
        </w:tc>
        <w:tc>
          <w:tcPr>
            <w:tcW w:w="482" w:type="pct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tabs>
          <w:tab w:val="left" w:pos="525"/>
        </w:tabs>
        <w:spacing w:line="360" w:lineRule="auto"/>
        <w:ind w:right="330" w:rightChars="157" w:firstLine="480" w:firstLineChars="200"/>
        <w:rPr>
          <w:rFonts w:hint="eastAsia"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三、天然气现状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目前涞水县燃气经营企业共有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7</w:t>
      </w:r>
      <w:r>
        <w:rPr>
          <w:rFonts w:ascii="宋体" w:hAnsi="宋体" w:eastAsia="宋体" w:cs="Times New Roman"/>
          <w:sz w:val="24"/>
          <w:szCs w:val="24"/>
        </w:rPr>
        <w:t>家，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气代煤改造涉及：</w:t>
      </w:r>
      <w:bookmarkStart w:id="0" w:name="_GoBack"/>
      <w:bookmarkEnd w:id="0"/>
      <w:r>
        <w:rPr>
          <w:rFonts w:ascii="宋体" w:hAnsi="宋体" w:eastAsia="宋体" w:cs="Times New Roman"/>
          <w:sz w:val="24"/>
          <w:szCs w:val="24"/>
        </w:rPr>
        <w:t>涞水中燃天然气有限公司、保定市中茂能源有限公司、中石气（涞水）燃气有限公司、保定硕辰天然气销售有限公司。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涞水县中心城区及涞水镇、义安镇、胡家庄乡、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明</w:t>
      </w:r>
      <w:r>
        <w:rPr>
          <w:rFonts w:hint="eastAsia" w:ascii="宋体" w:hAnsi="宋体" w:eastAsia="宋体" w:cs="Times New Roman"/>
          <w:sz w:val="24"/>
          <w:szCs w:val="24"/>
        </w:rPr>
        <w:t>义镇、东文山乡、王村镇、石亭镇已使用管道天然气，天然气气源来自北京</w:t>
      </w:r>
      <w:r>
        <w:rPr>
          <w:rFonts w:ascii="宋体" w:hAnsi="宋体" w:eastAsia="宋体" w:cs="Times New Roman"/>
          <w:sz w:val="24"/>
          <w:szCs w:val="24"/>
        </w:rPr>
        <w:t>-邯郸长输管道下载的天然气。</w:t>
      </w:r>
    </w:p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四、气源规划</w:t>
      </w:r>
    </w:p>
    <w:p>
      <w:pPr>
        <w:adjustRightInd w:val="0"/>
        <w:snapToGrid w:val="0"/>
        <w:spacing w:line="360" w:lineRule="auto"/>
        <w:ind w:left="11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管输气源：涞水县在现状北京-邯郸长输管道天然气气源的基础上，</w:t>
      </w:r>
      <w:r>
        <w:rPr>
          <w:rFonts w:hint="eastAsia" w:ascii="Calibri" w:hAnsi="Calibri" w:eastAsia="宋体" w:cs="Times New Roman"/>
          <w:sz w:val="24"/>
          <w:szCs w:val="24"/>
        </w:rPr>
        <w:t>规划近期开始增加陕京一线输气管道气源，中期增加涿州-涞水天然气输气管道、涿州-定兴天然气输气管道天然气气源，通过高压管道、天然气门站、高中压调压站为涞水县供气，实现多气源供应。</w:t>
      </w:r>
      <w:r>
        <w:rPr>
          <w:rFonts w:hint="eastAsia" w:ascii="宋体" w:hAnsi="宋体" w:eastAsia="宋体" w:cs="Times New Roman"/>
          <w:sz w:val="24"/>
          <w:szCs w:val="24"/>
        </w:rPr>
        <w:t>L</w:t>
      </w:r>
      <w:r>
        <w:rPr>
          <w:rFonts w:ascii="宋体" w:hAnsi="宋体" w:eastAsia="宋体" w:cs="Times New Roman"/>
          <w:sz w:val="24"/>
          <w:szCs w:val="24"/>
        </w:rPr>
        <w:t>NG</w:t>
      </w:r>
      <w:r>
        <w:rPr>
          <w:rFonts w:hint="eastAsia" w:ascii="宋体" w:hAnsi="宋体" w:eastAsia="宋体" w:cs="Times New Roman"/>
          <w:sz w:val="24"/>
          <w:szCs w:val="24"/>
        </w:rPr>
        <w:t>作为应急调峰气源，为各类用户供气。</w:t>
      </w:r>
    </w:p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Times New Roman"/>
          <w:sz w:val="24"/>
          <w:szCs w:val="24"/>
        </w:rPr>
        <w:t>、气量预测</w:t>
      </w:r>
    </w:p>
    <w:p>
      <w:pPr>
        <w:spacing w:line="360" w:lineRule="auto"/>
        <w:jc w:val="center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涞水县各类天然气用户年用气量表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65"/>
        <w:gridCol w:w="1185"/>
        <w:gridCol w:w="1289"/>
        <w:gridCol w:w="1031"/>
        <w:gridCol w:w="1360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437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近期（2020年）</w:t>
            </w:r>
          </w:p>
        </w:tc>
        <w:tc>
          <w:tcPr>
            <w:tcW w:w="1361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中期（2025年）</w:t>
            </w:r>
          </w:p>
        </w:tc>
        <w:tc>
          <w:tcPr>
            <w:tcW w:w="1447" w:type="pct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远期（2030年）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755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4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年用气量（万标准立方米）</w:t>
            </w: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比例（%）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年用气量（万标准立方米）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比例（%）</w:t>
            </w:r>
          </w:p>
        </w:tc>
        <w:tc>
          <w:tcPr>
            <w:tcW w:w="798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年用气量（万标准立方米）</w:t>
            </w:r>
          </w:p>
        </w:tc>
        <w:tc>
          <w:tcPr>
            <w:tcW w:w="648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居民用户</w:t>
            </w:r>
          </w:p>
        </w:tc>
        <w:tc>
          <w:tcPr>
            <w:tcW w:w="742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520.9</w:t>
            </w:r>
          </w:p>
        </w:tc>
        <w:tc>
          <w:tcPr>
            <w:tcW w:w="695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6.88 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672.7</w:t>
            </w:r>
          </w:p>
        </w:tc>
        <w:tc>
          <w:tcPr>
            <w:tcW w:w="605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4.70 </w:t>
            </w:r>
          </w:p>
        </w:tc>
        <w:tc>
          <w:tcPr>
            <w:tcW w:w="798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820.3</w:t>
            </w:r>
          </w:p>
        </w:tc>
        <w:tc>
          <w:tcPr>
            <w:tcW w:w="648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4.70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商业用户</w:t>
            </w:r>
          </w:p>
        </w:tc>
        <w:tc>
          <w:tcPr>
            <w:tcW w:w="742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178.4</w:t>
            </w: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2.36 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302.8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2.11 </w:t>
            </w:r>
          </w:p>
        </w:tc>
        <w:tc>
          <w:tcPr>
            <w:tcW w:w="798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468.1</w:t>
            </w:r>
          </w:p>
        </w:tc>
        <w:tc>
          <w:tcPr>
            <w:tcW w:w="64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2.68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工业用户</w:t>
            </w:r>
          </w:p>
        </w:tc>
        <w:tc>
          <w:tcPr>
            <w:tcW w:w="742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180.0</w:t>
            </w: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2.38 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1132.0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7.90 </w:t>
            </w:r>
          </w:p>
        </w:tc>
        <w:tc>
          <w:tcPr>
            <w:tcW w:w="798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3427.4</w:t>
            </w:r>
          </w:p>
        </w:tc>
        <w:tc>
          <w:tcPr>
            <w:tcW w:w="64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19.65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采暖用户</w:t>
            </w:r>
          </w:p>
        </w:tc>
        <w:tc>
          <w:tcPr>
            <w:tcW w:w="742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6567.6</w:t>
            </w: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86.79 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11996.4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83.77 </w:t>
            </w:r>
          </w:p>
        </w:tc>
        <w:tc>
          <w:tcPr>
            <w:tcW w:w="798" w:type="pct"/>
            <w:vAlign w:val="bottom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12355.2</w:t>
            </w:r>
          </w:p>
        </w:tc>
        <w:tc>
          <w:tcPr>
            <w:tcW w:w="64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70.82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汽车用户</w:t>
            </w:r>
          </w:p>
        </w:tc>
        <w:tc>
          <w:tcPr>
            <w:tcW w:w="742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70.0</w:t>
            </w: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756" w:type="pc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100.0</w:t>
            </w:r>
          </w:p>
        </w:tc>
        <w:tc>
          <w:tcPr>
            <w:tcW w:w="60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798" w:type="pct"/>
            <w:vAlign w:val="bottom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120.0</w:t>
            </w:r>
          </w:p>
        </w:tc>
        <w:tc>
          <w:tcPr>
            <w:tcW w:w="64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0.69 </w:t>
            </w:r>
          </w:p>
        </w:tc>
      </w:tr>
    </w:tbl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Times New Roman"/>
          <w:sz w:val="24"/>
          <w:szCs w:val="24"/>
        </w:rPr>
        <w:t>、</w:t>
      </w:r>
      <w:r>
        <w:rPr>
          <w:rFonts w:ascii="宋体" w:hAnsi="宋体" w:eastAsia="宋体" w:cs="Times New Roman"/>
          <w:sz w:val="24"/>
          <w:szCs w:val="24"/>
        </w:rPr>
        <w:t>天然气输配系统规划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</w:t>
      </w:r>
      <w:r>
        <w:rPr>
          <w:rFonts w:ascii="宋体" w:hAnsi="宋体" w:eastAsia="宋体" w:cs="Times New Roman"/>
          <w:sz w:val="24"/>
          <w:szCs w:val="24"/>
        </w:rPr>
        <w:t>压力级制的选择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本规划可选择的压力级制有中压</w:t>
      </w:r>
      <w:r>
        <w:rPr>
          <w:rFonts w:ascii="宋体" w:hAnsi="宋体" w:eastAsia="宋体" w:cs="Times New Roman"/>
          <w:sz w:val="24"/>
          <w:szCs w:val="24"/>
        </w:rPr>
        <w:t>-低压二级供气系统、高压-中压-低压三级供气系统。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高压</w:t>
      </w:r>
      <w:r>
        <w:rPr>
          <w:rFonts w:ascii="宋体" w:hAnsi="宋体" w:eastAsia="宋体" w:cs="Times New Roman"/>
          <w:sz w:val="24"/>
          <w:szCs w:val="24"/>
        </w:rPr>
        <w:t>A级管道设计压力：            4.0兆帕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中压</w:t>
      </w:r>
      <w:r>
        <w:rPr>
          <w:rFonts w:ascii="宋体" w:hAnsi="宋体" w:eastAsia="宋体" w:cs="Times New Roman"/>
          <w:sz w:val="24"/>
          <w:szCs w:val="24"/>
        </w:rPr>
        <w:t>A级管道设计压力为：          0.4兆帕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低压管道设计压力为：</w:t>
      </w:r>
      <w:r>
        <w:rPr>
          <w:rFonts w:ascii="宋体" w:hAnsi="宋体" w:eastAsia="宋体" w:cs="Times New Roman"/>
          <w:sz w:val="24"/>
          <w:szCs w:val="24"/>
        </w:rPr>
        <w:t xml:space="preserve">              9.0千帕</w:t>
      </w:r>
    </w:p>
    <w:p>
      <w:pPr>
        <w:spacing w:line="360" w:lineRule="auto"/>
        <w:ind w:right="330" w:rightChars="157"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2、供气方式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根据涞水县现状气源、高压管道、供气场站位置及用户分布等情况，结合各乡镇用户未来用气情况，经过综合考虑，近期规划建设陕京阀室-南庞、涞水门站高压管道、南庞门站-东龙泉村调压站高压管道，通过涞水门站、南庞门站、北涧头村调压站、南水东村调压站、东龙泉村调压站为涞水县中心城区及各乡镇供气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中期规划建设栗村门站，为涞水县乡镇供气，气源来自涿州-定兴天然气输气管道。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中期规划建设栗村门站-王村镇高压管道，通过王村镇调压站为涞水县各乡镇供气。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中期规划建设北高洛村门站，为涞水县乡镇供气，气源来自陕京一线北高洛村分输站。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本规划采用LNG作为涞水县调峰应急气源。</w:t>
      </w:r>
    </w:p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Times New Roman"/>
          <w:sz w:val="24"/>
          <w:szCs w:val="24"/>
        </w:rPr>
        <w:t>、</w:t>
      </w:r>
      <w:r>
        <w:rPr>
          <w:rFonts w:ascii="宋体" w:hAnsi="宋体" w:eastAsia="宋体" w:cs="Times New Roman"/>
          <w:sz w:val="24"/>
          <w:szCs w:val="24"/>
        </w:rPr>
        <w:t>天然气</w:t>
      </w:r>
      <w:r>
        <w:rPr>
          <w:rFonts w:hint="eastAsia" w:ascii="宋体" w:hAnsi="宋体" w:eastAsia="宋体" w:cs="Times New Roman"/>
          <w:sz w:val="24"/>
          <w:szCs w:val="24"/>
        </w:rPr>
        <w:t>供气场站</w:t>
      </w:r>
      <w:r>
        <w:rPr>
          <w:rFonts w:ascii="宋体" w:hAnsi="宋体" w:eastAsia="宋体" w:cs="Times New Roman"/>
          <w:sz w:val="24"/>
          <w:szCs w:val="24"/>
        </w:rPr>
        <w:t>规划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snapToGrid w:val="0"/>
          <w:kern w:val="0"/>
          <w:sz w:val="24"/>
          <w:szCs w:val="24"/>
        </w:rPr>
        <w:t>为满足天然气供气用户的用气需求、供气安全与稳定，根据涞水县气源、天然气现状及发展情况，本规划近期规划建设天然气门站2座，高中压调压站3座，中期规划天然气门站3座，高中压调压站1座，并对已建LNG储存气化站进行扩容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Times New Roman"/>
          <w:snapToGrid w:val="0"/>
          <w:kern w:val="0"/>
          <w:sz w:val="24"/>
          <w:szCs w:val="24"/>
        </w:rPr>
      </w:pPr>
    </w:p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ind w:right="330" w:rightChars="157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附图：</w:t>
      </w:r>
    </w:p>
    <w:p>
      <w:pPr>
        <w:spacing w:line="360" w:lineRule="auto"/>
        <w:ind w:right="330" w:rightChars="157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drawing>
          <wp:inline distT="0" distB="0" distL="0" distR="0">
            <wp:extent cx="7969885" cy="10891520"/>
            <wp:effectExtent l="6033" t="0" r="0" b="0"/>
            <wp:docPr id="1" name="图片 1" descr="C:\Users\dongzhiwei\AppData\Local\Microsoft\Windows\INetCache\Content.Word\涞水县天然气输配系统规划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ongzhiwei\AppData\Local\Microsoft\Windows\INetCache\Content.Word\涞水县天然气输配系统规划图-Mod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70338" cy="108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30" w:rightChars="157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1666220" cy="8338820"/>
            <wp:effectExtent l="0" t="0" r="0" b="5080"/>
            <wp:docPr id="2" name="图片 2" descr="C:\Users\dongzhiwei\Desktop\中心城区天然气中压管网规划布置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dongzhiwei\Desktop\中心城区天然气中压管网规划布置图-Mod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" t="7340" r="739" b="6796"/>
                    <a:stretch>
                      <a:fillRect/>
                    </a:stretch>
                  </pic:blipFill>
                  <pic:spPr>
                    <a:xfrm>
                      <a:off x="0" y="0"/>
                      <a:ext cx="11672591" cy="83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30" w:rightChars="157"/>
        <w:jc w:val="center"/>
        <w:rPr>
          <w:rFonts w:ascii="宋体" w:hAnsi="宋体" w:eastAsia="宋体" w:cs="Times New Roman"/>
          <w:sz w:val="24"/>
          <w:szCs w:val="24"/>
        </w:rPr>
        <w:sectPr>
          <w:pgSz w:w="23808" w:h="16840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0895965" cy="8007985"/>
            <wp:effectExtent l="0" t="0" r="635" b="0"/>
            <wp:docPr id="7" name="图片 7" descr="C:\Users\dongzhiwei\Desktop\涞水县南部乡镇天然气中压管网规划布置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dongzhiwei\Desktop\涞水县南部乡镇天然气中压管网规划布置图-Mode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14473" r="719" b="14654"/>
                    <a:stretch>
                      <a:fillRect/>
                    </a:stretch>
                  </pic:blipFill>
                  <pic:spPr>
                    <a:xfrm>
                      <a:off x="0" y="0"/>
                      <a:ext cx="10900164" cy="80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30" w:rightChars="157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8459470" cy="11635105"/>
            <wp:effectExtent l="0" t="6668" r="0" b="0"/>
            <wp:docPr id="4" name="图片 4" descr="C:\Users\dongzhiwei\Desktop\涞水镇、义安镇、王村镇天然气中压管网规划布置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ongzhiwei\Desktop\涞水镇、义安镇、王村镇天然气中压管网规划布置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2612" r="5247" b="336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05718" cy="116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30" w:rightChars="157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8430895" cy="11458575"/>
            <wp:effectExtent l="0" t="8890" r="0" b="0"/>
            <wp:docPr id="5" name="图片 5" descr="C:\Users\dongzhiwei\Desktop\永阳镇、东文山乡天然气中压管网规划布置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dongzhiwei\Desktop\永阳镇、东文山乡天然气中压管网规划布置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2627" r="5377" b="652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8448709" cy="1148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330" w:rightChars="157"/>
        <w:jc w:val="center"/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8285480" cy="11364595"/>
            <wp:effectExtent l="3492" t="0" r="4763" b="4762"/>
            <wp:docPr id="6" name="图片 6" descr="C:\Users\dongzhiwei\Desktop\石亭镇、一渡镇、娄村镇天然气中压管网规划布置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dongzhiwei\Desktop\石亭镇、一渡镇、娄村镇天然气中压管网规划布置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3" t="2148" r="5295" b="88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1362" cy="11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23808" w:h="16840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74"/>
    <w:rsid w:val="00083BF4"/>
    <w:rsid w:val="00270B4D"/>
    <w:rsid w:val="00311169"/>
    <w:rsid w:val="00314D74"/>
    <w:rsid w:val="004C6206"/>
    <w:rsid w:val="00644E99"/>
    <w:rsid w:val="006F5A18"/>
    <w:rsid w:val="0079339C"/>
    <w:rsid w:val="00886F90"/>
    <w:rsid w:val="00A335E5"/>
    <w:rsid w:val="00B8508E"/>
    <w:rsid w:val="00BA28BE"/>
    <w:rsid w:val="00C93181"/>
    <w:rsid w:val="00E0504A"/>
    <w:rsid w:val="00E14D0A"/>
    <w:rsid w:val="00E35A4F"/>
    <w:rsid w:val="0B0C1F16"/>
    <w:rsid w:val="3FF60904"/>
    <w:rsid w:val="78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290</Words>
  <Characters>1658</Characters>
  <Lines>13</Lines>
  <Paragraphs>3</Paragraphs>
  <TotalTime>45</TotalTime>
  <ScaleCrop>false</ScaleCrop>
  <LinksUpToDate>false</LinksUpToDate>
  <CharactersWithSpaces>1945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2020-03-07T06:54:00Z</dcterms:created>
  <dc:creator>董志伟</dc:creator>
  <cp:lastModifiedBy>seven</cp:lastModifiedBy>
  <cp:lastPrinted>2020-03-07T08:42:00Z</cp:lastPrinted>
  <dcterms:modified xsi:type="dcterms:W3CDTF">2020-03-07T09:43:02Z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