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hd w:val="clear" w:color="auto" w:fill="FFFFFF"/>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涞水县重污染天气应急预案</w:t>
      </w:r>
    </w:p>
    <w:p>
      <w:pPr>
        <w:pStyle w:val="2"/>
      </w:pP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641"/>
        <w:textAlignment w:val="auto"/>
        <w:rPr>
          <w:rFonts w:ascii="黑体" w:hAnsi="黑体" w:eastAsia="黑体" w:cs="黑体"/>
          <w:kern w:val="0"/>
          <w:sz w:val="32"/>
          <w:szCs w:val="32"/>
        </w:rPr>
      </w:pPr>
      <w:r>
        <w:rPr>
          <w:rFonts w:hint="eastAsia" w:ascii="黑体" w:hAnsi="黑体" w:eastAsia="黑体" w:cs="黑体"/>
          <w:kern w:val="0"/>
          <w:sz w:val="32"/>
          <w:szCs w:val="32"/>
        </w:rPr>
        <w:t>一、总则</w:t>
      </w:r>
    </w:p>
    <w:p>
      <w:pPr>
        <w:keepNext w:val="0"/>
        <w:keepLines w:val="0"/>
        <w:pageBreakBefore w:val="0"/>
        <w:widowControl/>
        <w:shd w:val="clear" w:color="auto" w:fill="FFFFFF"/>
        <w:kinsoku/>
        <w:wordWrap/>
        <w:overflowPunct/>
        <w:topLinePunct w:val="0"/>
        <w:autoSpaceDE/>
        <w:autoSpaceDN/>
        <w:bidi w:val="0"/>
        <w:spacing w:line="500" w:lineRule="exact"/>
        <w:ind w:firstLine="640"/>
        <w:textAlignment w:val="auto"/>
        <w:rPr>
          <w:rFonts w:hint="eastAsia" w:ascii="楷体" w:hAnsi="楷体" w:eastAsia="楷体" w:cs="楷体"/>
          <w:b/>
          <w:bCs/>
          <w:kern w:val="0"/>
          <w:sz w:val="32"/>
          <w:szCs w:val="32"/>
        </w:rPr>
      </w:pPr>
      <w:r>
        <w:rPr>
          <w:rFonts w:hint="eastAsia" w:ascii="楷体" w:hAnsi="楷体" w:eastAsia="楷体" w:cs="楷体"/>
          <w:b/>
          <w:bCs/>
          <w:kern w:val="0"/>
          <w:sz w:val="32"/>
          <w:szCs w:val="32"/>
        </w:rPr>
        <w:t>（一）编制目的</w:t>
      </w:r>
    </w:p>
    <w:p>
      <w:pPr>
        <w:keepNext w:val="0"/>
        <w:keepLines w:val="0"/>
        <w:pageBreakBefore w:val="0"/>
        <w:widowControl/>
        <w:shd w:val="clear" w:color="auto" w:fill="FFFFFF"/>
        <w:kinsoku/>
        <w:wordWrap/>
        <w:overflowPunct/>
        <w:topLinePunct w:val="0"/>
        <w:autoSpaceDE/>
        <w:autoSpaceDN/>
        <w:bidi w:val="0"/>
        <w:spacing w:line="500" w:lineRule="exact"/>
        <w:ind w:firstLine="640"/>
        <w:textAlignment w:val="auto"/>
        <w:rPr>
          <w:rFonts w:hint="eastAsia" w:ascii="仿宋" w:hAnsi="仿宋" w:eastAsia="仿宋" w:cs="仿宋"/>
          <w:kern w:val="0"/>
          <w:sz w:val="32"/>
          <w:szCs w:val="32"/>
        </w:rPr>
      </w:pPr>
      <w:r>
        <w:rPr>
          <w:rFonts w:hint="eastAsia" w:ascii="仿宋" w:hAnsi="仿宋" w:eastAsia="仿宋" w:cs="仿宋"/>
          <w:kern w:val="0"/>
          <w:sz w:val="32"/>
          <w:szCs w:val="32"/>
        </w:rPr>
        <w:t>建立健全涞水县重污染天气应急响应机制，统筹全县重污染天气应急响应工作，精准开展绩效</w:t>
      </w:r>
      <w:r>
        <w:rPr>
          <w:rFonts w:hint="eastAsia" w:ascii="仿宋" w:hAnsi="仿宋" w:eastAsia="仿宋" w:cs="仿宋"/>
          <w:kern w:val="0"/>
          <w:sz w:val="32"/>
          <w:szCs w:val="32"/>
          <w:lang w:eastAsia="zh-CN"/>
        </w:rPr>
        <w:t>评</w:t>
      </w:r>
      <w:r>
        <w:rPr>
          <w:rFonts w:hint="eastAsia" w:ascii="仿宋" w:hAnsi="仿宋" w:eastAsia="仿宋" w:cs="仿宋"/>
          <w:kern w:val="0"/>
          <w:sz w:val="32"/>
          <w:szCs w:val="32"/>
        </w:rPr>
        <w:t>价，细化应急减排清单，夯实应急减排措施，严禁“一刀切”。提高预防、应对能力，及时有效应对重污染天气，减缓重污染天气程度，保障人民群众身体健康和社会稳定。</w:t>
      </w:r>
    </w:p>
    <w:p>
      <w:pPr>
        <w:keepNext w:val="0"/>
        <w:keepLines w:val="0"/>
        <w:pageBreakBefore w:val="0"/>
        <w:widowControl/>
        <w:shd w:val="clear" w:color="auto" w:fill="FFFFFF"/>
        <w:kinsoku/>
        <w:wordWrap/>
        <w:overflowPunct/>
        <w:topLinePunct w:val="0"/>
        <w:autoSpaceDE/>
        <w:autoSpaceDN/>
        <w:bidi w:val="0"/>
        <w:spacing w:line="500" w:lineRule="exact"/>
        <w:ind w:firstLine="640"/>
        <w:textAlignment w:val="auto"/>
        <w:rPr>
          <w:rFonts w:ascii="楷体" w:hAnsi="楷体" w:eastAsia="楷体" w:cs="楷体"/>
          <w:b/>
          <w:bCs/>
          <w:kern w:val="0"/>
          <w:sz w:val="32"/>
          <w:szCs w:val="32"/>
        </w:rPr>
      </w:pPr>
      <w:r>
        <w:rPr>
          <w:rFonts w:hint="eastAsia" w:ascii="楷体" w:hAnsi="楷体" w:eastAsia="楷体" w:cs="楷体"/>
          <w:b/>
          <w:bCs/>
          <w:kern w:val="0"/>
          <w:sz w:val="32"/>
          <w:szCs w:val="32"/>
        </w:rPr>
        <w:t>（二）编制依据</w:t>
      </w:r>
    </w:p>
    <w:p>
      <w:pPr>
        <w:keepNext w:val="0"/>
        <w:keepLines w:val="0"/>
        <w:pageBreakBefore w:val="0"/>
        <w:widowControl/>
        <w:shd w:val="clear" w:color="auto" w:fill="FFFFFF"/>
        <w:kinsoku/>
        <w:wordWrap/>
        <w:overflowPunct/>
        <w:topLinePunct w:val="0"/>
        <w:autoSpaceDE/>
        <w:autoSpaceDN/>
        <w:bidi w:val="0"/>
        <w:spacing w:line="500" w:lineRule="exact"/>
        <w:ind w:firstLine="640"/>
        <w:textAlignment w:val="auto"/>
        <w:rPr>
          <w:rFonts w:ascii="仿宋" w:hAnsi="仿宋" w:eastAsia="仿宋" w:cs="仿宋"/>
          <w:kern w:val="0"/>
          <w:sz w:val="32"/>
          <w:szCs w:val="32"/>
        </w:rPr>
      </w:pPr>
      <w:r>
        <w:rPr>
          <w:rFonts w:hint="eastAsia" w:ascii="仿宋" w:hAnsi="仿宋" w:eastAsia="仿宋" w:cs="仿宋"/>
          <w:kern w:val="0"/>
          <w:sz w:val="32"/>
          <w:szCs w:val="32"/>
        </w:rPr>
        <w:t>《中华人民共和</w:t>
      </w:r>
      <w:bookmarkStart w:id="14" w:name="_GoBack"/>
      <w:bookmarkEnd w:id="14"/>
      <w:r>
        <w:rPr>
          <w:rFonts w:hint="eastAsia" w:ascii="仿宋" w:hAnsi="仿宋" w:eastAsia="仿宋" w:cs="仿宋"/>
          <w:kern w:val="0"/>
          <w:sz w:val="32"/>
          <w:szCs w:val="32"/>
        </w:rPr>
        <w:t>国大气污染防治法》</w:t>
      </w:r>
    </w:p>
    <w:p>
      <w:pPr>
        <w:keepNext w:val="0"/>
        <w:keepLines w:val="0"/>
        <w:pageBreakBefore w:val="0"/>
        <w:widowControl/>
        <w:shd w:val="clear" w:color="auto" w:fill="FFFFFF"/>
        <w:kinsoku/>
        <w:wordWrap/>
        <w:overflowPunct/>
        <w:topLinePunct w:val="0"/>
        <w:autoSpaceDE/>
        <w:autoSpaceDN/>
        <w:bidi w:val="0"/>
        <w:spacing w:line="500" w:lineRule="exact"/>
        <w:ind w:firstLine="640"/>
        <w:textAlignment w:val="auto"/>
        <w:rPr>
          <w:rFonts w:ascii="仿宋" w:hAnsi="仿宋" w:eastAsia="仿宋" w:cs="仿宋"/>
          <w:kern w:val="0"/>
          <w:sz w:val="32"/>
          <w:szCs w:val="32"/>
        </w:rPr>
      </w:pPr>
      <w:r>
        <w:rPr>
          <w:rFonts w:hint="eastAsia" w:ascii="仿宋" w:hAnsi="仿宋" w:eastAsia="仿宋" w:cs="仿宋"/>
          <w:kern w:val="0"/>
          <w:sz w:val="32"/>
          <w:szCs w:val="32"/>
        </w:rPr>
        <w:t>《中华人民共和国突发事件应对法》</w:t>
      </w:r>
    </w:p>
    <w:p>
      <w:pPr>
        <w:keepNext w:val="0"/>
        <w:keepLines w:val="0"/>
        <w:pageBreakBefore w:val="0"/>
        <w:widowControl/>
        <w:shd w:val="clear" w:color="auto" w:fill="FFFFFF"/>
        <w:kinsoku/>
        <w:wordWrap/>
        <w:overflowPunct/>
        <w:topLinePunct w:val="0"/>
        <w:autoSpaceDE/>
        <w:autoSpaceDN/>
        <w:bidi w:val="0"/>
        <w:spacing w:line="500" w:lineRule="exact"/>
        <w:ind w:firstLine="640"/>
        <w:textAlignment w:val="auto"/>
        <w:rPr>
          <w:rFonts w:ascii="仿宋" w:hAnsi="仿宋" w:eastAsia="仿宋" w:cs="仿宋"/>
          <w:kern w:val="0"/>
          <w:sz w:val="32"/>
          <w:szCs w:val="32"/>
        </w:rPr>
      </w:pPr>
      <w:r>
        <w:rPr>
          <w:rFonts w:hint="eastAsia" w:ascii="仿宋" w:hAnsi="仿宋" w:eastAsia="仿宋" w:cs="仿宋"/>
          <w:kern w:val="0"/>
          <w:sz w:val="32"/>
          <w:szCs w:val="32"/>
        </w:rPr>
        <w:t>《河北省大气污染防治条例》</w:t>
      </w:r>
    </w:p>
    <w:p>
      <w:pPr>
        <w:keepNext w:val="0"/>
        <w:keepLines w:val="0"/>
        <w:pageBreakBefore w:val="0"/>
        <w:widowControl/>
        <w:shd w:val="clear" w:color="auto" w:fill="FFFFFF"/>
        <w:kinsoku/>
        <w:wordWrap/>
        <w:overflowPunct/>
        <w:topLinePunct w:val="0"/>
        <w:autoSpaceDE/>
        <w:autoSpaceDN/>
        <w:bidi w:val="0"/>
        <w:spacing w:line="500" w:lineRule="exact"/>
        <w:ind w:firstLine="640"/>
        <w:textAlignment w:val="auto"/>
        <w:rPr>
          <w:rFonts w:ascii="仿宋" w:hAnsi="仿宋" w:eastAsia="仿宋" w:cs="仿宋"/>
          <w:kern w:val="0"/>
          <w:sz w:val="32"/>
          <w:szCs w:val="32"/>
        </w:rPr>
      </w:pPr>
      <w:r>
        <w:rPr>
          <w:rFonts w:hint="eastAsia" w:ascii="仿宋" w:hAnsi="仿宋" w:eastAsia="仿宋" w:cs="仿宋"/>
          <w:kern w:val="0"/>
          <w:sz w:val="32"/>
          <w:szCs w:val="32"/>
        </w:rPr>
        <w:t>《河北省突发事件应对条例》</w:t>
      </w:r>
    </w:p>
    <w:p>
      <w:pPr>
        <w:keepNext w:val="0"/>
        <w:keepLines w:val="0"/>
        <w:pageBreakBefore w:val="0"/>
        <w:widowControl/>
        <w:shd w:val="clear" w:color="auto" w:fill="FFFFFF"/>
        <w:kinsoku/>
        <w:wordWrap/>
        <w:overflowPunct/>
        <w:topLinePunct w:val="0"/>
        <w:autoSpaceDE/>
        <w:autoSpaceDN/>
        <w:bidi w:val="0"/>
        <w:spacing w:line="500" w:lineRule="exact"/>
        <w:ind w:firstLine="640"/>
        <w:textAlignment w:val="auto"/>
        <w:rPr>
          <w:rFonts w:ascii="仿宋" w:hAnsi="仿宋" w:eastAsia="仿宋" w:cs="仿宋"/>
          <w:kern w:val="0"/>
          <w:sz w:val="32"/>
          <w:szCs w:val="32"/>
        </w:rPr>
      </w:pPr>
      <w:r>
        <w:rPr>
          <w:rFonts w:hint="eastAsia" w:ascii="仿宋" w:hAnsi="仿宋" w:eastAsia="仿宋" w:cs="仿宋"/>
          <w:kern w:val="0"/>
          <w:sz w:val="32"/>
          <w:szCs w:val="32"/>
        </w:rPr>
        <w:t>《河北省突发事件总体应急预案》</w:t>
      </w:r>
    </w:p>
    <w:p>
      <w:pPr>
        <w:keepNext w:val="0"/>
        <w:keepLines w:val="0"/>
        <w:pageBreakBefore w:val="0"/>
        <w:widowControl/>
        <w:shd w:val="clear" w:color="auto" w:fill="FFFFFF"/>
        <w:kinsoku/>
        <w:wordWrap/>
        <w:overflowPunct/>
        <w:topLinePunct w:val="0"/>
        <w:autoSpaceDE/>
        <w:autoSpaceDN/>
        <w:bidi w:val="0"/>
        <w:spacing w:line="500" w:lineRule="exact"/>
        <w:ind w:firstLine="640"/>
        <w:textAlignment w:val="auto"/>
        <w:rPr>
          <w:rFonts w:ascii="仿宋" w:hAnsi="仿宋" w:eastAsia="仿宋" w:cs="仿宋"/>
          <w:kern w:val="0"/>
          <w:sz w:val="32"/>
          <w:szCs w:val="32"/>
        </w:rPr>
      </w:pPr>
      <w:r>
        <w:rPr>
          <w:rFonts w:hint="eastAsia" w:ascii="仿宋" w:hAnsi="仿宋" w:eastAsia="仿宋" w:cs="仿宋"/>
          <w:kern w:val="0"/>
          <w:sz w:val="32"/>
          <w:szCs w:val="32"/>
        </w:rPr>
        <w:t>《河北省蓝天保卫战三年行动方案》</w:t>
      </w:r>
    </w:p>
    <w:p>
      <w:pPr>
        <w:keepNext w:val="0"/>
        <w:keepLines w:val="0"/>
        <w:pageBreakBefore w:val="0"/>
        <w:widowControl/>
        <w:shd w:val="clear" w:color="auto" w:fill="FFFFFF"/>
        <w:kinsoku/>
        <w:wordWrap/>
        <w:overflowPunct/>
        <w:topLinePunct w:val="0"/>
        <w:autoSpaceDE/>
        <w:autoSpaceDN/>
        <w:bidi w:val="0"/>
        <w:spacing w:line="500" w:lineRule="exact"/>
        <w:ind w:firstLine="640"/>
        <w:textAlignment w:val="auto"/>
        <w:rPr>
          <w:rFonts w:ascii="仿宋" w:hAnsi="仿宋" w:eastAsia="仿宋" w:cs="仿宋"/>
          <w:kern w:val="0"/>
          <w:sz w:val="32"/>
          <w:szCs w:val="32"/>
        </w:rPr>
      </w:pPr>
      <w:r>
        <w:rPr>
          <w:rFonts w:hint="eastAsia" w:ascii="仿宋" w:hAnsi="仿宋" w:eastAsia="仿宋" w:cs="仿宋"/>
          <w:kern w:val="0"/>
          <w:sz w:val="32"/>
          <w:szCs w:val="32"/>
        </w:rPr>
        <w:t>《关于印送〈关于加强重污染天气应对夯实应急减排措施的指导意见〉的函》（环大气函〔2019〕648号）</w:t>
      </w:r>
    </w:p>
    <w:p>
      <w:pPr>
        <w:keepNext w:val="0"/>
        <w:keepLines w:val="0"/>
        <w:pageBreakBefore w:val="0"/>
        <w:widowControl/>
        <w:shd w:val="clear" w:color="auto" w:fill="FFFFFF"/>
        <w:kinsoku/>
        <w:wordWrap/>
        <w:overflowPunct/>
        <w:topLinePunct w:val="0"/>
        <w:autoSpaceDE/>
        <w:autoSpaceDN/>
        <w:bidi w:val="0"/>
        <w:spacing w:line="500" w:lineRule="exact"/>
        <w:ind w:firstLine="640"/>
        <w:textAlignment w:val="auto"/>
        <w:rPr>
          <w:rFonts w:ascii="仿宋" w:hAnsi="仿宋" w:eastAsia="仿宋" w:cs="仿宋"/>
          <w:kern w:val="0"/>
          <w:sz w:val="32"/>
          <w:szCs w:val="32"/>
        </w:rPr>
      </w:pPr>
      <w:r>
        <w:rPr>
          <w:rFonts w:hint="eastAsia" w:ascii="仿宋" w:hAnsi="仿宋" w:eastAsia="仿宋" w:cs="仿宋"/>
          <w:kern w:val="0"/>
          <w:sz w:val="32"/>
          <w:szCs w:val="32"/>
        </w:rPr>
        <w:t>《河北省重污染天气应急预案》</w:t>
      </w:r>
    </w:p>
    <w:p>
      <w:pPr>
        <w:keepNext w:val="0"/>
        <w:keepLines w:val="0"/>
        <w:pageBreakBefore w:val="0"/>
        <w:widowControl/>
        <w:shd w:val="clear" w:color="auto" w:fill="FFFFFF"/>
        <w:kinsoku/>
        <w:wordWrap/>
        <w:overflowPunct/>
        <w:topLinePunct w:val="0"/>
        <w:autoSpaceDE/>
        <w:autoSpaceDN/>
        <w:bidi w:val="0"/>
        <w:spacing w:line="500" w:lineRule="exact"/>
        <w:ind w:firstLine="640"/>
        <w:textAlignment w:val="auto"/>
        <w:rPr>
          <w:rFonts w:ascii="仿宋" w:hAnsi="仿宋" w:eastAsia="仿宋" w:cs="仿宋"/>
          <w:kern w:val="0"/>
          <w:sz w:val="32"/>
          <w:szCs w:val="32"/>
        </w:rPr>
      </w:pPr>
      <w:r>
        <w:rPr>
          <w:rFonts w:hint="eastAsia" w:ascii="仿宋" w:hAnsi="仿宋" w:eastAsia="仿宋" w:cs="仿宋"/>
          <w:kern w:val="0"/>
          <w:sz w:val="32"/>
          <w:szCs w:val="32"/>
        </w:rPr>
        <w:t>《保定市重污染天气应急预案》</w:t>
      </w:r>
    </w:p>
    <w:p>
      <w:pPr>
        <w:keepNext w:val="0"/>
        <w:keepLines w:val="0"/>
        <w:pageBreakBefore w:val="0"/>
        <w:widowControl/>
        <w:shd w:val="clear" w:color="auto" w:fill="FFFFFF"/>
        <w:kinsoku/>
        <w:wordWrap/>
        <w:overflowPunct/>
        <w:topLinePunct w:val="0"/>
        <w:autoSpaceDE/>
        <w:autoSpaceDN/>
        <w:bidi w:val="0"/>
        <w:spacing w:line="500" w:lineRule="exact"/>
        <w:ind w:firstLine="640"/>
        <w:textAlignment w:val="auto"/>
        <w:rPr>
          <w:rFonts w:ascii="楷体" w:hAnsi="楷体" w:eastAsia="楷体" w:cs="楷体"/>
          <w:b/>
          <w:bCs/>
          <w:kern w:val="0"/>
          <w:sz w:val="32"/>
          <w:szCs w:val="32"/>
        </w:rPr>
      </w:pPr>
      <w:r>
        <w:rPr>
          <w:rFonts w:hint="eastAsia" w:ascii="楷体" w:hAnsi="楷体" w:eastAsia="楷体" w:cs="楷体"/>
          <w:b/>
          <w:bCs/>
          <w:kern w:val="0"/>
          <w:sz w:val="32"/>
          <w:szCs w:val="32"/>
        </w:rPr>
        <w:t>（三）适用范围</w:t>
      </w:r>
    </w:p>
    <w:p>
      <w:pPr>
        <w:keepNext w:val="0"/>
        <w:keepLines w:val="0"/>
        <w:pageBreakBefore w:val="0"/>
        <w:widowControl/>
        <w:shd w:val="clear" w:color="auto" w:fill="FFFFFF"/>
        <w:kinsoku/>
        <w:wordWrap/>
        <w:overflowPunct/>
        <w:topLinePunct w:val="0"/>
        <w:autoSpaceDE/>
        <w:autoSpaceDN/>
        <w:bidi w:val="0"/>
        <w:spacing w:line="500" w:lineRule="exact"/>
        <w:ind w:firstLine="640"/>
        <w:textAlignment w:val="auto"/>
        <w:rPr>
          <w:rFonts w:hint="eastAsia" w:ascii="仿宋" w:hAnsi="仿宋" w:eastAsia="仿宋" w:cs="仿宋"/>
          <w:kern w:val="0"/>
          <w:sz w:val="32"/>
          <w:szCs w:val="32"/>
        </w:rPr>
      </w:pPr>
      <w:r>
        <w:rPr>
          <w:rFonts w:hint="eastAsia" w:ascii="仿宋" w:hAnsi="仿宋" w:eastAsia="仿宋" w:cs="仿宋"/>
          <w:kern w:val="0"/>
          <w:sz w:val="32"/>
          <w:szCs w:val="32"/>
        </w:rPr>
        <w:t>本预案适用于涞水县重污染天气应对工作。</w:t>
      </w:r>
      <w:r>
        <w:rPr>
          <w:rFonts w:hint="eastAsia" w:ascii="仿宋" w:hAnsi="仿宋" w:eastAsia="仿宋" w:cs="仿宋"/>
          <w:sz w:val="32"/>
          <w:szCs w:val="32"/>
        </w:rPr>
        <w:t>因沙尘和臭氧造成的重污染天气，不纳入重污染天气应急预案范畴。</w:t>
      </w:r>
    </w:p>
    <w:p>
      <w:pPr>
        <w:keepNext w:val="0"/>
        <w:keepLines w:val="0"/>
        <w:pageBreakBefore w:val="0"/>
        <w:widowControl/>
        <w:shd w:val="clear" w:color="auto" w:fill="FFFFFF"/>
        <w:kinsoku/>
        <w:wordWrap/>
        <w:overflowPunct/>
        <w:topLinePunct w:val="0"/>
        <w:autoSpaceDE/>
        <w:autoSpaceDN/>
        <w:bidi w:val="0"/>
        <w:spacing w:line="500" w:lineRule="exact"/>
        <w:ind w:firstLine="640"/>
        <w:textAlignment w:val="auto"/>
        <w:rPr>
          <w:rFonts w:ascii="楷体" w:hAnsi="楷体" w:eastAsia="楷体" w:cs="楷体"/>
          <w:b/>
          <w:bCs/>
          <w:kern w:val="0"/>
          <w:sz w:val="32"/>
          <w:szCs w:val="32"/>
        </w:rPr>
      </w:pPr>
      <w:r>
        <w:rPr>
          <w:rFonts w:hint="eastAsia" w:ascii="楷体" w:hAnsi="楷体" w:eastAsia="楷体" w:cs="楷体"/>
          <w:b/>
          <w:bCs/>
          <w:kern w:val="0"/>
          <w:sz w:val="32"/>
          <w:szCs w:val="32"/>
        </w:rPr>
        <w:t>（四）工作原则</w:t>
      </w:r>
    </w:p>
    <w:p>
      <w:pPr>
        <w:keepNext w:val="0"/>
        <w:keepLines w:val="0"/>
        <w:pageBreakBefore w:val="0"/>
        <w:widowControl/>
        <w:kinsoku/>
        <w:wordWrap/>
        <w:overflowPunct/>
        <w:topLinePunct w:val="0"/>
        <w:autoSpaceDE/>
        <w:autoSpaceDN/>
        <w:bidi w:val="0"/>
        <w:spacing w:line="500" w:lineRule="exact"/>
        <w:ind w:firstLine="645"/>
        <w:textAlignment w:val="auto"/>
        <w:rPr>
          <w:rFonts w:ascii="仿宋" w:hAnsi="仿宋" w:eastAsia="仿宋" w:cs="仿宋"/>
          <w:kern w:val="0"/>
          <w:sz w:val="32"/>
          <w:szCs w:val="32"/>
        </w:rPr>
      </w:pPr>
      <w:r>
        <w:rPr>
          <w:rFonts w:hint="eastAsia" w:ascii="仿宋" w:hAnsi="仿宋" w:eastAsia="仿宋" w:cs="仿宋"/>
          <w:b/>
          <w:bCs/>
          <w:kern w:val="0"/>
          <w:sz w:val="32"/>
          <w:szCs w:val="32"/>
        </w:rPr>
        <w:t>以人为本，预防为主。</w:t>
      </w:r>
      <w:r>
        <w:rPr>
          <w:rFonts w:hint="eastAsia" w:ascii="仿宋" w:hAnsi="仿宋" w:eastAsia="仿宋" w:cs="仿宋"/>
          <w:kern w:val="0"/>
          <w:sz w:val="32"/>
          <w:szCs w:val="32"/>
        </w:rPr>
        <w:t>坚持以人为本，把保护人民群众身体健康作为重污染天气应对的出发点，科学制定应急减排措施，切实发挥减排效应，最大程度减少污染物排放，保障公众健康。</w:t>
      </w:r>
    </w:p>
    <w:p>
      <w:pPr>
        <w:pStyle w:val="18"/>
        <w:keepNext w:val="0"/>
        <w:keepLines w:val="0"/>
        <w:pageBreakBefore w:val="0"/>
        <w:kinsoku/>
        <w:wordWrap/>
        <w:overflowPunct/>
        <w:topLinePunct w:val="0"/>
        <w:autoSpaceDE/>
        <w:autoSpaceDN/>
        <w:bidi w:val="0"/>
        <w:spacing w:before="0" w:beforeAutospacing="0" w:after="0" w:afterAutospacing="0" w:line="500" w:lineRule="exact"/>
        <w:ind w:firstLine="643" w:firstLineChars="200"/>
        <w:jc w:val="both"/>
        <w:textAlignment w:val="auto"/>
        <w:rPr>
          <w:rFonts w:hint="eastAsia" w:ascii="仿宋" w:hAnsi="仿宋" w:eastAsia="仿宋" w:cs="仿宋"/>
          <w:sz w:val="32"/>
          <w:szCs w:val="32"/>
        </w:rPr>
      </w:pPr>
      <w:r>
        <w:rPr>
          <w:rFonts w:hint="eastAsia" w:ascii="仿宋_GB2312" w:hAnsi="华文中宋" w:eastAsia="仿宋_GB2312" w:cs="仿宋_GB2312"/>
          <w:b/>
          <w:bCs/>
          <w:sz w:val="32"/>
          <w:szCs w:val="32"/>
        </w:rPr>
        <w:t>属地管理，区域统筹。</w:t>
      </w:r>
      <w:r>
        <w:rPr>
          <w:rFonts w:hint="eastAsia" w:ascii="仿宋" w:hAnsi="仿宋" w:eastAsia="仿宋" w:cs="仿宋"/>
          <w:sz w:val="32"/>
          <w:szCs w:val="32"/>
        </w:rPr>
        <w:t>市政府统一指挥全市重污染天气应对工作，县政府负责区域内的重污染天气应对工作，各成员单位各司其职、密切配合。</w:t>
      </w:r>
    </w:p>
    <w:p>
      <w:pPr>
        <w:pStyle w:val="18"/>
        <w:keepNext w:val="0"/>
        <w:keepLines w:val="0"/>
        <w:pageBreakBefore w:val="0"/>
        <w:kinsoku/>
        <w:wordWrap/>
        <w:overflowPunct/>
        <w:topLinePunct w:val="0"/>
        <w:autoSpaceDE/>
        <w:autoSpaceDN/>
        <w:bidi w:val="0"/>
        <w:spacing w:before="0" w:beforeAutospacing="0" w:after="0" w:afterAutospacing="0" w:line="500" w:lineRule="exact"/>
        <w:ind w:firstLine="640"/>
        <w:jc w:val="both"/>
        <w:textAlignment w:val="auto"/>
        <w:rPr>
          <w:rFonts w:hint="eastAsia" w:ascii="仿宋" w:hAnsi="仿宋" w:eastAsia="仿宋" w:cs="仿宋"/>
          <w:sz w:val="32"/>
          <w:szCs w:val="32"/>
        </w:rPr>
      </w:pPr>
      <w:r>
        <w:rPr>
          <w:rFonts w:hint="eastAsia" w:ascii="仿宋_GB2312" w:hAnsi="华文中宋" w:eastAsia="仿宋_GB2312" w:cs="仿宋_GB2312"/>
          <w:b/>
          <w:bCs/>
          <w:sz w:val="32"/>
          <w:szCs w:val="32"/>
        </w:rPr>
        <w:t>科学预警，及时响应。</w:t>
      </w:r>
      <w:r>
        <w:rPr>
          <w:rFonts w:hint="eastAsia" w:ascii="仿宋" w:hAnsi="仿宋" w:eastAsia="仿宋" w:cs="仿宋"/>
          <w:sz w:val="32"/>
          <w:szCs w:val="32"/>
        </w:rPr>
        <w:t>加强大气污染源监控，做好空气质量和气象条件的日常监测，及时准确把握空气质量和气象条件的变化趋势，完善重污染天气的监测、预报、预警、响应体系。</w:t>
      </w:r>
    </w:p>
    <w:p>
      <w:pPr>
        <w:keepNext w:val="0"/>
        <w:keepLines w:val="0"/>
        <w:pageBreakBefore w:val="0"/>
        <w:widowControl/>
        <w:kinsoku/>
        <w:wordWrap/>
        <w:overflowPunct/>
        <w:topLinePunct w:val="0"/>
        <w:autoSpaceDE/>
        <w:autoSpaceDN/>
        <w:bidi w:val="0"/>
        <w:spacing w:line="500" w:lineRule="exact"/>
        <w:ind w:firstLine="640"/>
        <w:textAlignment w:val="auto"/>
        <w:rPr>
          <w:rFonts w:ascii="仿宋" w:hAnsi="仿宋" w:eastAsia="仿宋" w:cs="仿宋"/>
          <w:kern w:val="0"/>
          <w:sz w:val="32"/>
          <w:szCs w:val="32"/>
        </w:rPr>
      </w:pPr>
      <w:r>
        <w:rPr>
          <w:rFonts w:hint="eastAsia" w:ascii="仿宋" w:hAnsi="仿宋" w:eastAsia="仿宋" w:cs="仿宋"/>
          <w:b/>
          <w:bCs/>
          <w:kern w:val="0"/>
          <w:sz w:val="32"/>
          <w:szCs w:val="32"/>
        </w:rPr>
        <w:t>绩效分级，科学管理。</w:t>
      </w:r>
      <w:r>
        <w:rPr>
          <w:rFonts w:hint="eastAsia" w:ascii="仿宋" w:hAnsi="仿宋" w:eastAsia="仿宋" w:cs="仿宋"/>
          <w:kern w:val="0"/>
          <w:sz w:val="32"/>
          <w:szCs w:val="32"/>
        </w:rPr>
        <w:t>全面开展重点行业绩效评价工作，科学制定差别化停限产措施，严禁“一刀切”；积极引导企业有序开展深度治理，推进行业转型升级和高质量发展。</w:t>
      </w:r>
    </w:p>
    <w:p>
      <w:pPr>
        <w:keepNext w:val="0"/>
        <w:keepLines w:val="0"/>
        <w:pageBreakBefore w:val="0"/>
        <w:widowControl/>
        <w:kinsoku/>
        <w:wordWrap/>
        <w:overflowPunct/>
        <w:topLinePunct w:val="0"/>
        <w:autoSpaceDE/>
        <w:autoSpaceDN/>
        <w:bidi w:val="0"/>
        <w:spacing w:line="500" w:lineRule="exact"/>
        <w:ind w:firstLine="640"/>
        <w:textAlignment w:val="auto"/>
        <w:rPr>
          <w:rFonts w:ascii="仿宋" w:hAnsi="仿宋" w:eastAsia="仿宋" w:cs="仿宋"/>
          <w:kern w:val="0"/>
          <w:sz w:val="32"/>
          <w:szCs w:val="32"/>
        </w:rPr>
      </w:pPr>
      <w:r>
        <w:rPr>
          <w:rFonts w:hint="eastAsia" w:ascii="仿宋" w:hAnsi="仿宋" w:eastAsia="仿宋" w:cs="仿宋"/>
          <w:b/>
          <w:bCs/>
          <w:kern w:val="0"/>
          <w:sz w:val="32"/>
          <w:szCs w:val="32"/>
        </w:rPr>
        <w:t>明确责任，强化落实。</w:t>
      </w:r>
      <w:r>
        <w:rPr>
          <w:rFonts w:hint="eastAsia" w:ascii="仿宋" w:hAnsi="仿宋" w:eastAsia="仿宋" w:cs="仿宋"/>
          <w:kern w:val="0"/>
          <w:sz w:val="32"/>
          <w:szCs w:val="32"/>
        </w:rPr>
        <w:t>明确各有关部门和单位职责分工，</w:t>
      </w:r>
      <w:r>
        <w:rPr>
          <w:rFonts w:hint="eastAsia" w:ascii="仿宋" w:hAnsi="仿宋" w:eastAsia="仿宋" w:cs="仿宋"/>
          <w:kern w:val="0"/>
          <w:sz w:val="32"/>
          <w:szCs w:val="32"/>
          <w:lang w:eastAsia="zh-CN"/>
        </w:rPr>
        <w:t>厘</w:t>
      </w:r>
      <w:r>
        <w:rPr>
          <w:rFonts w:hint="eastAsia" w:ascii="仿宋" w:hAnsi="仿宋" w:eastAsia="仿宋" w:cs="仿宋"/>
          <w:kern w:val="0"/>
          <w:sz w:val="32"/>
          <w:szCs w:val="32"/>
        </w:rPr>
        <w:t>清工作重点、工作程序，奖惩并举，确保监测、预报、预警、响应、督导检查等应急工作各环节有据、有序、高效执行。</w:t>
      </w:r>
    </w:p>
    <w:p>
      <w:pPr>
        <w:keepNext w:val="0"/>
        <w:keepLines w:val="0"/>
        <w:pageBreakBefore w:val="0"/>
        <w:widowControl/>
        <w:kinsoku/>
        <w:wordWrap/>
        <w:overflowPunct/>
        <w:topLinePunct w:val="0"/>
        <w:autoSpaceDE/>
        <w:autoSpaceDN/>
        <w:bidi w:val="0"/>
        <w:spacing w:line="500" w:lineRule="exact"/>
        <w:ind w:firstLine="643" w:firstLineChars="200"/>
        <w:textAlignment w:val="auto"/>
        <w:rPr>
          <w:rFonts w:ascii="仿宋" w:hAnsi="仿宋" w:eastAsia="仿宋" w:cs="仿宋"/>
          <w:kern w:val="0"/>
          <w:sz w:val="32"/>
          <w:szCs w:val="32"/>
        </w:rPr>
      </w:pPr>
      <w:r>
        <w:rPr>
          <w:rFonts w:hint="eastAsia" w:ascii="仿宋" w:hAnsi="仿宋" w:eastAsia="仿宋" w:cs="仿宋"/>
          <w:b/>
          <w:bCs/>
          <w:kern w:val="0"/>
          <w:sz w:val="32"/>
          <w:szCs w:val="32"/>
        </w:rPr>
        <w:t>部门联动，社会参与。</w:t>
      </w:r>
      <w:r>
        <w:rPr>
          <w:rFonts w:hint="eastAsia" w:ascii="仿宋" w:hAnsi="仿宋" w:eastAsia="仿宋" w:cs="仿宋"/>
          <w:kern w:val="0"/>
          <w:sz w:val="32"/>
          <w:szCs w:val="32"/>
        </w:rPr>
        <w:t>完善部门协调联动和信息共享机制，综合采用经济、法律、行政等手段，协同做好重污染天气应对工作。完善信息公开制度，提高公众自我防护意识及参与意识。</w:t>
      </w:r>
    </w:p>
    <w:p>
      <w:pPr>
        <w:keepNext w:val="0"/>
        <w:keepLines w:val="0"/>
        <w:pageBreakBefore w:val="0"/>
        <w:widowControl/>
        <w:shd w:val="clear" w:color="auto" w:fill="FFFFFF"/>
        <w:kinsoku/>
        <w:wordWrap/>
        <w:overflowPunct/>
        <w:topLinePunct w:val="0"/>
        <w:autoSpaceDE/>
        <w:autoSpaceDN/>
        <w:bidi w:val="0"/>
        <w:spacing w:line="500" w:lineRule="exact"/>
        <w:ind w:firstLine="640"/>
        <w:textAlignment w:val="auto"/>
        <w:rPr>
          <w:rFonts w:ascii="黑体" w:hAnsi="黑体" w:eastAsia="黑体" w:cs="黑体"/>
          <w:kern w:val="0"/>
          <w:sz w:val="32"/>
          <w:szCs w:val="32"/>
        </w:rPr>
      </w:pPr>
      <w:r>
        <w:rPr>
          <w:rFonts w:hint="eastAsia" w:ascii="黑体" w:hAnsi="黑体" w:eastAsia="黑体" w:cs="黑体"/>
          <w:kern w:val="0"/>
          <w:sz w:val="32"/>
          <w:szCs w:val="32"/>
        </w:rPr>
        <w:t>二</w:t>
      </w:r>
      <w:r>
        <w:rPr>
          <w:rFonts w:hint="eastAsia" w:ascii="黑体" w:hAnsi="黑体" w:eastAsia="黑体" w:cs="黑体"/>
          <w:kern w:val="0"/>
          <w:sz w:val="32"/>
          <w:szCs w:val="32"/>
          <w:lang w:eastAsia="zh-CN"/>
        </w:rPr>
        <w:t>、</w:t>
      </w:r>
      <w:r>
        <w:rPr>
          <w:rFonts w:hint="eastAsia" w:ascii="黑体" w:hAnsi="黑体" w:eastAsia="黑体" w:cs="黑体"/>
          <w:kern w:val="0"/>
          <w:sz w:val="32"/>
          <w:szCs w:val="32"/>
        </w:rPr>
        <w:t>预案体系</w:t>
      </w:r>
    </w:p>
    <w:p>
      <w:pPr>
        <w:keepNext w:val="0"/>
        <w:keepLines w:val="0"/>
        <w:pageBreakBefore w:val="0"/>
        <w:widowControl/>
        <w:shd w:val="clear" w:color="auto" w:fill="FFFFFF"/>
        <w:kinsoku/>
        <w:wordWrap/>
        <w:overflowPunct/>
        <w:topLinePunct w:val="0"/>
        <w:autoSpaceDE/>
        <w:autoSpaceDN/>
        <w:bidi w:val="0"/>
        <w:spacing w:line="500" w:lineRule="exact"/>
        <w:ind w:firstLine="640"/>
        <w:textAlignment w:val="auto"/>
        <w:rPr>
          <w:rFonts w:ascii="仿宋" w:hAnsi="仿宋" w:eastAsia="仿宋" w:cs="仿宋"/>
          <w:kern w:val="0"/>
          <w:sz w:val="32"/>
          <w:szCs w:val="32"/>
        </w:rPr>
      </w:pPr>
      <w:r>
        <w:rPr>
          <w:rFonts w:hint="eastAsia" w:ascii="仿宋" w:hAnsi="仿宋" w:eastAsia="仿宋" w:cs="仿宋"/>
          <w:kern w:val="0"/>
          <w:sz w:val="32"/>
          <w:szCs w:val="32"/>
        </w:rPr>
        <w:t>《涞水县重污染天气应急预案》是政府专项应急预案</w:t>
      </w:r>
      <w:r>
        <w:rPr>
          <w:rFonts w:hint="eastAsia" w:ascii="仿宋" w:hAnsi="仿宋" w:eastAsia="仿宋" w:cs="仿宋"/>
          <w:kern w:val="0"/>
          <w:sz w:val="32"/>
          <w:szCs w:val="32"/>
          <w:lang w:eastAsia="zh-CN"/>
        </w:rPr>
        <w:t>，综合</w:t>
      </w:r>
      <w:r>
        <w:rPr>
          <w:rFonts w:hint="eastAsia" w:ascii="仿宋" w:hAnsi="仿宋" w:eastAsia="仿宋" w:cs="仿宋"/>
          <w:kern w:val="0"/>
          <w:sz w:val="32"/>
          <w:szCs w:val="32"/>
        </w:rPr>
        <w:t>各乡镇人民政府重污染天气应急响应实施方案、县政府相关部门专项实施方案和相关企业操作方案共同构成涞水县重污染天气应急预案体系，并与《涞水县重污染天气应急预案》相衔接，以其为依据，对相关内容进行分解和细化。</w:t>
      </w:r>
    </w:p>
    <w:p>
      <w:pPr>
        <w:keepNext w:val="0"/>
        <w:keepLines w:val="0"/>
        <w:pageBreakBefore w:val="0"/>
        <w:widowControl/>
        <w:shd w:val="clear" w:color="auto" w:fill="FFFFFF"/>
        <w:kinsoku/>
        <w:wordWrap/>
        <w:overflowPunct/>
        <w:topLinePunct w:val="0"/>
        <w:autoSpaceDE/>
        <w:autoSpaceDN/>
        <w:bidi w:val="0"/>
        <w:spacing w:line="500" w:lineRule="exact"/>
        <w:ind w:firstLine="640"/>
        <w:textAlignment w:val="auto"/>
        <w:rPr>
          <w:rFonts w:ascii="黑体" w:hAnsi="黑体" w:eastAsia="黑体" w:cs="黑体"/>
          <w:kern w:val="0"/>
          <w:sz w:val="32"/>
          <w:szCs w:val="32"/>
        </w:rPr>
      </w:pPr>
      <w:r>
        <w:rPr>
          <w:rFonts w:hint="eastAsia" w:ascii="黑体" w:hAnsi="黑体" w:eastAsia="黑体" w:cs="黑体"/>
          <w:kern w:val="0"/>
          <w:sz w:val="32"/>
          <w:szCs w:val="32"/>
        </w:rPr>
        <w:t>三、组织机构和职责</w:t>
      </w:r>
    </w:p>
    <w:p>
      <w:pPr>
        <w:keepNext w:val="0"/>
        <w:keepLines w:val="0"/>
        <w:pageBreakBefore w:val="0"/>
        <w:widowControl/>
        <w:shd w:val="clear" w:color="auto" w:fill="FFFFFF"/>
        <w:kinsoku/>
        <w:wordWrap/>
        <w:overflowPunct/>
        <w:topLinePunct w:val="0"/>
        <w:autoSpaceDE/>
        <w:autoSpaceDN/>
        <w:bidi w:val="0"/>
        <w:spacing w:line="500" w:lineRule="exact"/>
        <w:ind w:firstLine="640"/>
        <w:textAlignment w:val="auto"/>
        <w:rPr>
          <w:rFonts w:ascii="楷体" w:hAnsi="楷体" w:eastAsia="楷体" w:cs="楷体"/>
          <w:b/>
          <w:bCs/>
          <w:kern w:val="0"/>
          <w:sz w:val="32"/>
          <w:szCs w:val="32"/>
        </w:rPr>
      </w:pPr>
      <w:r>
        <w:rPr>
          <w:rFonts w:hint="eastAsia" w:ascii="楷体" w:hAnsi="楷体" w:eastAsia="楷体" w:cs="楷体"/>
          <w:b/>
          <w:bCs/>
          <w:kern w:val="0"/>
          <w:sz w:val="32"/>
          <w:szCs w:val="32"/>
        </w:rPr>
        <w:t>（一）涞水县大气污染防治工作领导小组</w:t>
      </w:r>
    </w:p>
    <w:p>
      <w:pPr>
        <w:keepNext w:val="0"/>
        <w:keepLines w:val="0"/>
        <w:pageBreakBefore w:val="0"/>
        <w:widowControl/>
        <w:shd w:val="clear" w:color="auto" w:fill="FFFFFF"/>
        <w:kinsoku/>
        <w:wordWrap/>
        <w:overflowPunct/>
        <w:topLinePunct w:val="0"/>
        <w:autoSpaceDE/>
        <w:autoSpaceDN/>
        <w:bidi w:val="0"/>
        <w:spacing w:line="500" w:lineRule="exact"/>
        <w:ind w:firstLine="640"/>
        <w:textAlignment w:val="auto"/>
        <w:rPr>
          <w:rFonts w:ascii="仿宋" w:hAnsi="仿宋" w:eastAsia="仿宋" w:cs="仿宋"/>
          <w:kern w:val="0"/>
          <w:sz w:val="32"/>
          <w:szCs w:val="32"/>
        </w:rPr>
      </w:pPr>
      <w:r>
        <w:rPr>
          <w:rFonts w:hint="eastAsia" w:ascii="仿宋" w:hAnsi="仿宋" w:eastAsia="仿宋" w:cs="仿宋"/>
          <w:kern w:val="0"/>
          <w:sz w:val="32"/>
          <w:szCs w:val="32"/>
        </w:rPr>
        <w:t>负责组织协调涞水县重污染天气预测预警、应急响应、检查评估等工作。</w:t>
      </w:r>
    </w:p>
    <w:p>
      <w:pPr>
        <w:keepNext w:val="0"/>
        <w:keepLines w:val="0"/>
        <w:pageBreakBefore w:val="0"/>
        <w:widowControl/>
        <w:shd w:val="clear" w:color="auto" w:fill="FFFFFF"/>
        <w:kinsoku/>
        <w:wordWrap/>
        <w:overflowPunct/>
        <w:topLinePunct w:val="0"/>
        <w:autoSpaceDE/>
        <w:autoSpaceDN/>
        <w:bidi w:val="0"/>
        <w:spacing w:line="500" w:lineRule="exact"/>
        <w:ind w:firstLine="640"/>
        <w:textAlignment w:val="auto"/>
        <w:rPr>
          <w:rFonts w:ascii="楷体" w:hAnsi="楷体" w:eastAsia="楷体" w:cs="楷体"/>
          <w:b/>
          <w:bCs/>
          <w:kern w:val="0"/>
          <w:sz w:val="32"/>
          <w:szCs w:val="32"/>
        </w:rPr>
      </w:pPr>
      <w:r>
        <w:rPr>
          <w:rFonts w:hint="eastAsia" w:ascii="楷体" w:hAnsi="楷体" w:eastAsia="楷体" w:cs="楷体"/>
          <w:b/>
          <w:bCs/>
          <w:kern w:val="0"/>
          <w:sz w:val="32"/>
          <w:szCs w:val="32"/>
        </w:rPr>
        <w:t>（二）重污染天气应急响应办公室</w:t>
      </w:r>
    </w:p>
    <w:p>
      <w:pPr>
        <w:keepNext w:val="0"/>
        <w:keepLines w:val="0"/>
        <w:pageBreakBefore w:val="0"/>
        <w:widowControl/>
        <w:shd w:val="clear" w:color="auto" w:fill="FFFFFF"/>
        <w:kinsoku/>
        <w:wordWrap/>
        <w:overflowPunct/>
        <w:topLinePunct w:val="0"/>
        <w:autoSpaceDE/>
        <w:autoSpaceDN/>
        <w:bidi w:val="0"/>
        <w:spacing w:line="500" w:lineRule="exact"/>
        <w:ind w:firstLine="640"/>
        <w:textAlignment w:val="auto"/>
        <w:rPr>
          <w:rFonts w:ascii="仿宋" w:hAnsi="仿宋" w:eastAsia="仿宋" w:cs="仿宋"/>
          <w:kern w:val="0"/>
          <w:sz w:val="32"/>
          <w:szCs w:val="32"/>
        </w:rPr>
      </w:pPr>
      <w:r>
        <w:rPr>
          <w:rFonts w:hint="eastAsia" w:ascii="仿宋" w:hAnsi="仿宋" w:eastAsia="仿宋" w:cs="仿宋"/>
          <w:kern w:val="0"/>
          <w:sz w:val="32"/>
          <w:szCs w:val="32"/>
        </w:rPr>
        <w:t>涞水县重污染天气应急响应办公室设在县大气办，分管副县长任主任，县大气办主任、生态环境分局局长任副主任。负责组织落实保定市重污染天气应急响应办公室发布的预警信息，落实涞水县大气污染防治工作领导小组决定，组织重污染天气相关信息发布和上报；组建重污染天气督导检查组，督导各成员单位落实应急响应措施；组织对重污染天气应对工作进行分析、总结；承担涞水县大气污染防治工作领导小组交办的其他工作。</w:t>
      </w:r>
    </w:p>
    <w:p>
      <w:pPr>
        <w:keepNext w:val="0"/>
        <w:keepLines w:val="0"/>
        <w:pageBreakBefore w:val="0"/>
        <w:widowControl/>
        <w:shd w:val="clear" w:color="auto" w:fill="FFFFFF"/>
        <w:kinsoku/>
        <w:wordWrap/>
        <w:overflowPunct/>
        <w:topLinePunct w:val="0"/>
        <w:autoSpaceDE/>
        <w:autoSpaceDN/>
        <w:bidi w:val="0"/>
        <w:spacing w:line="500" w:lineRule="exact"/>
        <w:ind w:firstLine="640"/>
        <w:textAlignment w:val="auto"/>
        <w:rPr>
          <w:rFonts w:ascii="仿宋" w:hAnsi="仿宋" w:eastAsia="仿宋" w:cs="仿宋"/>
          <w:kern w:val="0"/>
          <w:sz w:val="32"/>
          <w:szCs w:val="32"/>
        </w:rPr>
      </w:pPr>
      <w:r>
        <w:rPr>
          <w:rFonts w:hint="eastAsia" w:ascii="仿宋" w:hAnsi="仿宋" w:eastAsia="仿宋" w:cs="仿宋"/>
          <w:kern w:val="0"/>
          <w:sz w:val="32"/>
          <w:szCs w:val="32"/>
        </w:rPr>
        <w:t>涞水县重污染天气应急响应办公室成员单位：县委宣传部、生态环境分局、发改局、公安局、住建局、执法局、交通局、财政局、自然资源和规划局、教育和体育局、卫健局、市场监管局、农业农村局、水利局、供电公司、各乡镇人民政府。</w:t>
      </w:r>
    </w:p>
    <w:p>
      <w:pPr>
        <w:keepNext w:val="0"/>
        <w:keepLines w:val="0"/>
        <w:pageBreakBefore w:val="0"/>
        <w:widowControl/>
        <w:shd w:val="clear" w:color="auto" w:fill="FFFFFF"/>
        <w:kinsoku/>
        <w:wordWrap/>
        <w:overflowPunct/>
        <w:topLinePunct w:val="0"/>
        <w:autoSpaceDE/>
        <w:autoSpaceDN/>
        <w:bidi w:val="0"/>
        <w:spacing w:line="500" w:lineRule="exact"/>
        <w:ind w:firstLine="640"/>
        <w:textAlignment w:val="auto"/>
        <w:rPr>
          <w:rFonts w:ascii="楷体" w:hAnsi="楷体" w:eastAsia="楷体" w:cs="楷体"/>
          <w:b/>
          <w:bCs/>
          <w:kern w:val="0"/>
          <w:sz w:val="32"/>
          <w:szCs w:val="32"/>
        </w:rPr>
      </w:pPr>
      <w:r>
        <w:rPr>
          <w:rFonts w:hint="eastAsia" w:ascii="楷体" w:hAnsi="楷体" w:eastAsia="楷体" w:cs="楷体"/>
          <w:b/>
          <w:bCs/>
          <w:kern w:val="0"/>
          <w:sz w:val="32"/>
          <w:szCs w:val="32"/>
        </w:rPr>
        <w:t>（三）督导检查组</w:t>
      </w:r>
    </w:p>
    <w:p>
      <w:pPr>
        <w:keepNext w:val="0"/>
        <w:keepLines w:val="0"/>
        <w:pageBreakBefore w:val="0"/>
        <w:widowControl/>
        <w:shd w:val="clear" w:color="auto" w:fill="FFFFFF"/>
        <w:kinsoku/>
        <w:wordWrap/>
        <w:overflowPunct/>
        <w:topLinePunct w:val="0"/>
        <w:autoSpaceDE/>
        <w:autoSpaceDN/>
        <w:bidi w:val="0"/>
        <w:spacing w:line="500" w:lineRule="exact"/>
        <w:ind w:firstLine="640"/>
        <w:textAlignment w:val="auto"/>
        <w:rPr>
          <w:rFonts w:ascii="仿宋" w:hAnsi="仿宋" w:eastAsia="仿宋" w:cs="仿宋"/>
          <w:kern w:val="0"/>
          <w:sz w:val="32"/>
          <w:szCs w:val="32"/>
        </w:rPr>
      </w:pPr>
      <w:r>
        <w:rPr>
          <w:rFonts w:hint="eastAsia" w:ascii="仿宋" w:hAnsi="仿宋" w:eastAsia="仿宋" w:cs="仿宋"/>
          <w:kern w:val="0"/>
          <w:sz w:val="32"/>
          <w:szCs w:val="32"/>
        </w:rPr>
        <w:t>重污染天气应急响应办公室组织各成员单位组成督导检查组，负责对各成员单位重污染天气应急准备、</w:t>
      </w:r>
      <w:r>
        <w:rPr>
          <w:rFonts w:hint="eastAsia" w:ascii="仿宋" w:hAnsi="仿宋" w:eastAsia="仿宋" w:cs="仿宋"/>
          <w:kern w:val="0"/>
          <w:sz w:val="32"/>
          <w:szCs w:val="32"/>
          <w:lang w:eastAsia="zh-CN"/>
        </w:rPr>
        <w:t>预警、</w:t>
      </w:r>
      <w:r>
        <w:rPr>
          <w:rFonts w:hint="eastAsia" w:ascii="仿宋" w:hAnsi="仿宋" w:eastAsia="仿宋" w:cs="仿宋"/>
          <w:kern w:val="0"/>
          <w:sz w:val="32"/>
          <w:szCs w:val="32"/>
        </w:rPr>
        <w:t>响应等职责落实情况进行督导检查，及时反馈有关情况并对履职不到位的提出问责处理意见。</w:t>
      </w:r>
    </w:p>
    <w:p>
      <w:pPr>
        <w:keepNext w:val="0"/>
        <w:keepLines w:val="0"/>
        <w:pageBreakBefore w:val="0"/>
        <w:widowControl/>
        <w:shd w:val="clear" w:color="auto" w:fill="FFFFFF"/>
        <w:kinsoku/>
        <w:wordWrap/>
        <w:overflowPunct/>
        <w:topLinePunct w:val="0"/>
        <w:autoSpaceDE/>
        <w:autoSpaceDN/>
        <w:bidi w:val="0"/>
        <w:spacing w:line="500" w:lineRule="exact"/>
        <w:ind w:firstLine="640"/>
        <w:textAlignment w:val="auto"/>
        <w:rPr>
          <w:rFonts w:ascii="黑体" w:hAnsi="黑体" w:eastAsia="黑体" w:cs="黑体"/>
          <w:kern w:val="0"/>
          <w:sz w:val="32"/>
          <w:szCs w:val="32"/>
        </w:rPr>
      </w:pPr>
      <w:r>
        <w:rPr>
          <w:rFonts w:hint="eastAsia" w:ascii="黑体" w:hAnsi="黑体" w:eastAsia="黑体" w:cs="黑体"/>
          <w:kern w:val="0"/>
          <w:sz w:val="32"/>
          <w:szCs w:val="32"/>
        </w:rPr>
        <w:t>四、预警</w:t>
      </w:r>
    </w:p>
    <w:p>
      <w:pPr>
        <w:keepNext w:val="0"/>
        <w:keepLines w:val="0"/>
        <w:pageBreakBefore w:val="0"/>
        <w:kinsoku/>
        <w:wordWrap/>
        <w:overflowPunct/>
        <w:topLinePunct w:val="0"/>
        <w:autoSpaceDE/>
        <w:autoSpaceDN/>
        <w:bidi w:val="0"/>
        <w:adjustRightInd w:val="0"/>
        <w:snapToGrid w:val="0"/>
        <w:spacing w:line="5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重污染天气预警统一以空气质量指数（AQI）日均值为指标，按连续24小时（可以跨自然日）均值计算，以AQI＞200持续天数作为各级别预警启动的基本条件。</w:t>
      </w:r>
    </w:p>
    <w:p>
      <w:pPr>
        <w:keepNext w:val="0"/>
        <w:keepLines w:val="0"/>
        <w:pageBreakBefore w:val="0"/>
        <w:widowControl/>
        <w:shd w:val="clear" w:color="auto" w:fill="FFFFFF"/>
        <w:kinsoku/>
        <w:wordWrap/>
        <w:overflowPunct/>
        <w:topLinePunct w:val="0"/>
        <w:autoSpaceDE/>
        <w:autoSpaceDN/>
        <w:bidi w:val="0"/>
        <w:spacing w:line="500" w:lineRule="exact"/>
        <w:ind w:firstLine="640"/>
        <w:textAlignment w:val="auto"/>
        <w:rPr>
          <w:rFonts w:ascii="楷体" w:hAnsi="楷体" w:eastAsia="楷体" w:cs="楷体"/>
          <w:b/>
          <w:bCs/>
          <w:kern w:val="0"/>
          <w:sz w:val="32"/>
          <w:szCs w:val="32"/>
        </w:rPr>
      </w:pPr>
      <w:r>
        <w:rPr>
          <w:rFonts w:hint="eastAsia" w:ascii="楷体" w:hAnsi="楷体" w:eastAsia="楷体" w:cs="楷体"/>
          <w:b/>
          <w:bCs/>
          <w:kern w:val="0"/>
          <w:sz w:val="32"/>
          <w:szCs w:val="32"/>
        </w:rPr>
        <w:t>（一）预警分级</w:t>
      </w:r>
    </w:p>
    <w:p>
      <w:pPr>
        <w:keepNext w:val="0"/>
        <w:keepLines w:val="0"/>
        <w:pageBreakBefore w:val="0"/>
        <w:widowControl/>
        <w:shd w:val="clear" w:color="auto" w:fill="FFFFFF"/>
        <w:kinsoku/>
        <w:wordWrap/>
        <w:overflowPunct/>
        <w:topLinePunct w:val="0"/>
        <w:autoSpaceDE/>
        <w:autoSpaceDN/>
        <w:bidi w:val="0"/>
        <w:spacing w:line="500" w:lineRule="exact"/>
        <w:ind w:firstLine="640"/>
        <w:textAlignment w:val="auto"/>
        <w:rPr>
          <w:rFonts w:ascii="仿宋" w:hAnsi="仿宋" w:eastAsia="仿宋" w:cs="仿宋"/>
          <w:kern w:val="0"/>
          <w:sz w:val="32"/>
          <w:szCs w:val="32"/>
        </w:rPr>
      </w:pPr>
      <w:r>
        <w:rPr>
          <w:rFonts w:hint="eastAsia" w:ascii="仿宋" w:hAnsi="仿宋" w:eastAsia="仿宋" w:cs="仿宋"/>
          <w:kern w:val="0"/>
          <w:sz w:val="32"/>
          <w:szCs w:val="32"/>
        </w:rPr>
        <w:t>根据重污染天气的发展趋势和严重性，将预警分为三个等级，由低到高依次为黄色预警、橙色预警、红色预警。</w:t>
      </w:r>
    </w:p>
    <w:p>
      <w:pPr>
        <w:keepNext w:val="0"/>
        <w:keepLines w:val="0"/>
        <w:pageBreakBefore w:val="0"/>
        <w:widowControl/>
        <w:shd w:val="clear" w:color="auto" w:fill="FFFFFF"/>
        <w:kinsoku/>
        <w:wordWrap/>
        <w:overflowPunct/>
        <w:topLinePunct w:val="0"/>
        <w:autoSpaceDE/>
        <w:autoSpaceDN/>
        <w:bidi w:val="0"/>
        <w:spacing w:line="500" w:lineRule="exact"/>
        <w:ind w:firstLine="640"/>
        <w:textAlignment w:val="auto"/>
        <w:rPr>
          <w:rFonts w:ascii="仿宋" w:hAnsi="仿宋" w:eastAsia="仿宋" w:cs="仿宋"/>
          <w:kern w:val="0"/>
          <w:sz w:val="32"/>
          <w:szCs w:val="32"/>
        </w:rPr>
      </w:pPr>
      <w:r>
        <w:rPr>
          <w:rFonts w:hint="eastAsia" w:ascii="仿宋" w:hAnsi="仿宋" w:eastAsia="仿宋" w:cs="仿宋"/>
          <w:kern w:val="0"/>
          <w:sz w:val="32"/>
          <w:szCs w:val="32"/>
        </w:rPr>
        <w:t>黄色预警：预测AQI日均值&gt;200将持续2天（48小时）及以上，且未达到高级别预警条件；</w:t>
      </w:r>
    </w:p>
    <w:p>
      <w:pPr>
        <w:keepNext w:val="0"/>
        <w:keepLines w:val="0"/>
        <w:pageBreakBefore w:val="0"/>
        <w:widowControl/>
        <w:shd w:val="clear" w:color="auto" w:fill="FFFFFF"/>
        <w:kinsoku/>
        <w:wordWrap/>
        <w:overflowPunct/>
        <w:topLinePunct w:val="0"/>
        <w:autoSpaceDE/>
        <w:autoSpaceDN/>
        <w:bidi w:val="0"/>
        <w:spacing w:line="500" w:lineRule="exact"/>
        <w:ind w:firstLine="640"/>
        <w:textAlignment w:val="auto"/>
        <w:rPr>
          <w:rFonts w:ascii="仿宋" w:hAnsi="仿宋" w:eastAsia="仿宋" w:cs="仿宋"/>
          <w:kern w:val="0"/>
          <w:sz w:val="32"/>
          <w:szCs w:val="32"/>
        </w:rPr>
      </w:pPr>
      <w:r>
        <w:rPr>
          <w:rFonts w:hint="eastAsia" w:ascii="仿宋" w:hAnsi="仿宋" w:eastAsia="仿宋" w:cs="仿宋"/>
          <w:kern w:val="0"/>
          <w:sz w:val="32"/>
          <w:szCs w:val="32"/>
        </w:rPr>
        <w:t>橙色预警：预测AQI日均值&gt;200将持续3天（72小时）及以上，且预测AQI日均值&gt;300，且未达到高级别预警条件；</w:t>
      </w:r>
    </w:p>
    <w:p>
      <w:pPr>
        <w:keepNext w:val="0"/>
        <w:keepLines w:val="0"/>
        <w:pageBreakBefore w:val="0"/>
        <w:widowControl/>
        <w:shd w:val="clear" w:color="auto" w:fill="FFFFFF"/>
        <w:kinsoku/>
        <w:wordWrap/>
        <w:overflowPunct/>
        <w:topLinePunct w:val="0"/>
        <w:autoSpaceDE/>
        <w:autoSpaceDN/>
        <w:bidi w:val="0"/>
        <w:spacing w:line="500" w:lineRule="exact"/>
        <w:ind w:firstLine="640"/>
        <w:textAlignment w:val="auto"/>
        <w:rPr>
          <w:rFonts w:ascii="仿宋" w:hAnsi="仿宋" w:eastAsia="仿宋" w:cs="仿宋"/>
          <w:kern w:val="0"/>
          <w:sz w:val="32"/>
          <w:szCs w:val="32"/>
        </w:rPr>
      </w:pPr>
      <w:r>
        <w:rPr>
          <w:rFonts w:hint="eastAsia" w:ascii="仿宋" w:hAnsi="仿宋" w:eastAsia="仿宋" w:cs="仿宋"/>
          <w:kern w:val="0"/>
          <w:sz w:val="32"/>
          <w:szCs w:val="32"/>
        </w:rPr>
        <w:t>红色预警：预测AQI日均值&gt;200将持续4天（96小时）及以上，且预测AQI日均值&gt;300将持续2天（48小时）及以上；或预测AQI日均值达到500。</w:t>
      </w:r>
    </w:p>
    <w:p>
      <w:pPr>
        <w:keepNext w:val="0"/>
        <w:keepLines w:val="0"/>
        <w:pageBreakBefore w:val="0"/>
        <w:widowControl/>
        <w:shd w:val="clear" w:color="auto" w:fill="FFFFFF"/>
        <w:kinsoku/>
        <w:wordWrap/>
        <w:overflowPunct/>
        <w:topLinePunct w:val="0"/>
        <w:autoSpaceDE/>
        <w:autoSpaceDN/>
        <w:bidi w:val="0"/>
        <w:spacing w:line="500" w:lineRule="exact"/>
        <w:ind w:firstLine="640"/>
        <w:textAlignment w:val="auto"/>
        <w:rPr>
          <w:rFonts w:ascii="楷体" w:hAnsi="楷体" w:eastAsia="楷体" w:cs="楷体"/>
          <w:b/>
          <w:bCs/>
          <w:kern w:val="0"/>
          <w:sz w:val="32"/>
          <w:szCs w:val="32"/>
        </w:rPr>
      </w:pPr>
      <w:r>
        <w:rPr>
          <w:rFonts w:hint="eastAsia" w:ascii="楷体" w:hAnsi="楷体" w:eastAsia="楷体" w:cs="楷体"/>
          <w:b/>
          <w:bCs/>
          <w:kern w:val="0"/>
          <w:sz w:val="32"/>
          <w:szCs w:val="32"/>
        </w:rPr>
        <w:t>（二）预警发布与解除</w:t>
      </w:r>
    </w:p>
    <w:p>
      <w:pPr>
        <w:keepNext w:val="0"/>
        <w:keepLines w:val="0"/>
        <w:pageBreakBefore w:val="0"/>
        <w:widowControl/>
        <w:shd w:val="clear" w:color="auto" w:fill="FFFFFF"/>
        <w:kinsoku/>
        <w:wordWrap/>
        <w:overflowPunct/>
        <w:topLinePunct w:val="0"/>
        <w:autoSpaceDE/>
        <w:autoSpaceDN/>
        <w:bidi w:val="0"/>
        <w:spacing w:line="500" w:lineRule="exact"/>
        <w:ind w:firstLine="640"/>
        <w:textAlignment w:val="auto"/>
        <w:rPr>
          <w:rFonts w:ascii="仿宋" w:hAnsi="仿宋" w:eastAsia="仿宋" w:cs="仿宋"/>
          <w:kern w:val="0"/>
          <w:sz w:val="32"/>
          <w:szCs w:val="32"/>
        </w:rPr>
      </w:pPr>
      <w:r>
        <w:rPr>
          <w:rFonts w:hint="eastAsia" w:ascii="仿宋" w:hAnsi="仿宋" w:eastAsia="仿宋" w:cs="仿宋"/>
          <w:kern w:val="0"/>
          <w:sz w:val="32"/>
          <w:szCs w:val="32"/>
        </w:rPr>
        <w:t>当县重污染天气应急响应办公室接到保定市发布的预警信息或预警解除信息时，按要求组织发布或解除本辖区预警信息。</w:t>
      </w:r>
    </w:p>
    <w:p>
      <w:pPr>
        <w:keepNext w:val="0"/>
        <w:keepLines w:val="0"/>
        <w:pageBreakBefore w:val="0"/>
        <w:widowControl/>
        <w:shd w:val="clear" w:color="auto" w:fill="FFFFFF"/>
        <w:kinsoku/>
        <w:wordWrap/>
        <w:overflowPunct/>
        <w:topLinePunct w:val="0"/>
        <w:autoSpaceDE/>
        <w:autoSpaceDN/>
        <w:bidi w:val="0"/>
        <w:spacing w:line="500" w:lineRule="exact"/>
        <w:ind w:firstLine="640"/>
        <w:textAlignment w:val="auto"/>
        <w:rPr>
          <w:rFonts w:hint="eastAsia" w:ascii="仿宋" w:hAnsi="仿宋" w:eastAsia="仿宋" w:cs="仿宋"/>
          <w:b/>
          <w:bCs/>
          <w:kern w:val="0"/>
          <w:sz w:val="32"/>
          <w:szCs w:val="32"/>
        </w:rPr>
      </w:pPr>
      <w:r>
        <w:rPr>
          <w:rFonts w:hint="eastAsia" w:ascii="仿宋" w:hAnsi="仿宋" w:eastAsia="仿宋" w:cs="仿宋"/>
          <w:b/>
          <w:bCs/>
          <w:kern w:val="0"/>
          <w:sz w:val="32"/>
          <w:szCs w:val="32"/>
        </w:rPr>
        <w:t>1</w:t>
      </w:r>
      <w:r>
        <w:rPr>
          <w:rFonts w:hint="eastAsia" w:ascii="仿宋" w:hAnsi="仿宋" w:eastAsia="仿宋" w:cs="仿宋"/>
          <w:b/>
          <w:bCs/>
          <w:kern w:val="0"/>
          <w:sz w:val="32"/>
          <w:szCs w:val="32"/>
          <w:lang w:eastAsia="zh-CN"/>
        </w:rPr>
        <w:t>.</w:t>
      </w:r>
      <w:r>
        <w:rPr>
          <w:rFonts w:hint="eastAsia" w:ascii="仿宋" w:hAnsi="仿宋" w:eastAsia="仿宋" w:cs="仿宋"/>
          <w:b/>
          <w:bCs/>
          <w:kern w:val="0"/>
          <w:sz w:val="32"/>
          <w:szCs w:val="32"/>
        </w:rPr>
        <w:t>预警发布</w:t>
      </w:r>
    </w:p>
    <w:p>
      <w:pPr>
        <w:keepNext w:val="0"/>
        <w:keepLines w:val="0"/>
        <w:pageBreakBefore w:val="0"/>
        <w:widowControl/>
        <w:shd w:val="clear" w:color="auto" w:fill="FFFFFF"/>
        <w:kinsoku/>
        <w:wordWrap/>
        <w:overflowPunct/>
        <w:topLinePunct w:val="0"/>
        <w:autoSpaceDE/>
        <w:autoSpaceDN/>
        <w:bidi w:val="0"/>
        <w:spacing w:line="500" w:lineRule="exact"/>
        <w:ind w:firstLine="640"/>
        <w:textAlignment w:val="auto"/>
        <w:rPr>
          <w:rFonts w:ascii="仿宋" w:hAnsi="仿宋" w:eastAsia="仿宋" w:cs="仿宋"/>
          <w:b w:val="0"/>
          <w:bCs w:val="0"/>
          <w:kern w:val="0"/>
          <w:sz w:val="32"/>
          <w:szCs w:val="32"/>
        </w:rPr>
      </w:pPr>
      <w:r>
        <w:rPr>
          <w:rFonts w:hint="eastAsia" w:ascii="仿宋" w:hAnsi="仿宋" w:eastAsia="仿宋" w:cs="仿宋"/>
          <w:b w:val="0"/>
          <w:bCs w:val="0"/>
          <w:kern w:val="0"/>
          <w:sz w:val="32"/>
          <w:szCs w:val="32"/>
        </w:rPr>
        <w:t>（1）预警发布方式与程序</w:t>
      </w:r>
    </w:p>
    <w:p>
      <w:pPr>
        <w:keepNext w:val="0"/>
        <w:keepLines w:val="0"/>
        <w:pageBreakBefore w:val="0"/>
        <w:widowControl/>
        <w:shd w:val="clear" w:color="auto" w:fill="FFFFFF"/>
        <w:kinsoku/>
        <w:wordWrap/>
        <w:overflowPunct/>
        <w:topLinePunct w:val="0"/>
        <w:autoSpaceDE/>
        <w:autoSpaceDN/>
        <w:bidi w:val="0"/>
        <w:spacing w:line="500" w:lineRule="exact"/>
        <w:ind w:firstLine="640"/>
        <w:textAlignment w:val="auto"/>
        <w:rPr>
          <w:rFonts w:ascii="仿宋" w:hAnsi="仿宋" w:eastAsia="仿宋" w:cs="仿宋"/>
          <w:kern w:val="0"/>
          <w:sz w:val="32"/>
          <w:szCs w:val="32"/>
        </w:rPr>
      </w:pPr>
      <w:r>
        <w:rPr>
          <w:rFonts w:hint="eastAsia" w:ascii="仿宋" w:hAnsi="仿宋" w:eastAsia="仿宋" w:cs="仿宋"/>
          <w:kern w:val="0"/>
          <w:sz w:val="32"/>
          <w:szCs w:val="32"/>
        </w:rPr>
        <w:t>当县重污染天气应急响应办公室接到保定市重污染天气应急办公室发布的预警通知时，于1小时内完成审批程序，并发布预警信息，</w:t>
      </w:r>
      <w:r>
        <w:rPr>
          <w:rFonts w:hint="eastAsia" w:ascii="仿宋" w:hAnsi="仿宋" w:eastAsia="仿宋" w:cs="仿宋"/>
          <w:spacing w:val="8"/>
          <w:kern w:val="0"/>
          <w:sz w:val="32"/>
          <w:szCs w:val="32"/>
        </w:rPr>
        <w:t>黄色、橙色预警由</w:t>
      </w:r>
      <w:r>
        <w:rPr>
          <w:rFonts w:hint="eastAsia" w:ascii="仿宋" w:hAnsi="仿宋" w:eastAsia="仿宋" w:cs="仿宋"/>
          <w:kern w:val="0"/>
          <w:sz w:val="32"/>
          <w:szCs w:val="32"/>
        </w:rPr>
        <w:t>县重污染天气应急办公室主任审批</w:t>
      </w:r>
      <w:r>
        <w:rPr>
          <w:rFonts w:hint="eastAsia" w:ascii="仿宋" w:hAnsi="仿宋" w:eastAsia="仿宋" w:cs="仿宋"/>
          <w:spacing w:val="8"/>
          <w:kern w:val="0"/>
          <w:sz w:val="32"/>
          <w:szCs w:val="32"/>
        </w:rPr>
        <w:t>，红色预警由</w:t>
      </w:r>
      <w:r>
        <w:rPr>
          <w:rFonts w:hint="eastAsia" w:ascii="仿宋" w:hAnsi="仿宋" w:eastAsia="仿宋" w:cs="仿宋"/>
          <w:kern w:val="0"/>
          <w:sz w:val="32"/>
          <w:szCs w:val="32"/>
        </w:rPr>
        <w:t>县大气污染防治工作领导小组组长</w:t>
      </w:r>
      <w:r>
        <w:rPr>
          <w:rFonts w:hint="eastAsia" w:ascii="仿宋" w:hAnsi="仿宋" w:eastAsia="仿宋" w:cs="仿宋"/>
          <w:spacing w:val="8"/>
          <w:kern w:val="0"/>
          <w:sz w:val="32"/>
          <w:szCs w:val="32"/>
        </w:rPr>
        <w:t>审批。</w:t>
      </w:r>
    </w:p>
    <w:p>
      <w:pPr>
        <w:keepNext w:val="0"/>
        <w:keepLines w:val="0"/>
        <w:pageBreakBefore w:val="0"/>
        <w:widowControl/>
        <w:shd w:val="clear" w:color="auto" w:fill="FFFFFF"/>
        <w:kinsoku/>
        <w:wordWrap/>
        <w:overflowPunct/>
        <w:topLinePunct w:val="0"/>
        <w:autoSpaceDE/>
        <w:autoSpaceDN/>
        <w:bidi w:val="0"/>
        <w:spacing w:line="500" w:lineRule="exact"/>
        <w:ind w:firstLine="640"/>
        <w:textAlignment w:val="auto"/>
        <w:rPr>
          <w:rFonts w:ascii="仿宋" w:hAnsi="仿宋" w:eastAsia="仿宋" w:cs="仿宋"/>
          <w:kern w:val="0"/>
          <w:sz w:val="32"/>
          <w:szCs w:val="32"/>
        </w:rPr>
      </w:pPr>
      <w:r>
        <w:rPr>
          <w:rFonts w:hint="eastAsia" w:ascii="仿宋" w:hAnsi="仿宋" w:eastAsia="仿宋" w:cs="仿宋"/>
          <w:kern w:val="0"/>
          <w:sz w:val="32"/>
          <w:szCs w:val="32"/>
        </w:rPr>
        <w:t>预警信息发布对象为需要采取措施的成员和各乡镇人民政府。预警信息包括：重污染天气出现的时间、范围、污染程度、主要污染物、预警级别及气象条件情况等。</w:t>
      </w:r>
    </w:p>
    <w:p>
      <w:pPr>
        <w:keepNext w:val="0"/>
        <w:keepLines w:val="0"/>
        <w:pageBreakBefore w:val="0"/>
        <w:widowControl/>
        <w:shd w:val="clear" w:color="auto" w:fill="FFFFFF"/>
        <w:kinsoku/>
        <w:wordWrap/>
        <w:overflowPunct/>
        <w:topLinePunct w:val="0"/>
        <w:autoSpaceDE/>
        <w:autoSpaceDN/>
        <w:bidi w:val="0"/>
        <w:spacing w:line="500" w:lineRule="exact"/>
        <w:ind w:firstLine="640"/>
        <w:textAlignment w:val="auto"/>
        <w:rPr>
          <w:rFonts w:ascii="仿宋" w:hAnsi="仿宋" w:eastAsia="仿宋" w:cs="仿宋"/>
          <w:kern w:val="0"/>
          <w:sz w:val="32"/>
          <w:szCs w:val="32"/>
        </w:rPr>
      </w:pPr>
      <w:r>
        <w:rPr>
          <w:rFonts w:hint="eastAsia" w:ascii="仿宋" w:hAnsi="仿宋" w:eastAsia="仿宋" w:cs="仿宋"/>
          <w:kern w:val="0"/>
          <w:sz w:val="32"/>
          <w:szCs w:val="32"/>
        </w:rPr>
        <w:t>针对企业和公众的预警信息由相关职能部门依据专项实施方案发布。</w:t>
      </w:r>
    </w:p>
    <w:p>
      <w:pPr>
        <w:keepNext w:val="0"/>
        <w:keepLines w:val="0"/>
        <w:pageBreakBefore w:val="0"/>
        <w:kinsoku/>
        <w:wordWrap/>
        <w:overflowPunct/>
        <w:topLinePunct w:val="0"/>
        <w:autoSpaceDE/>
        <w:autoSpaceDN/>
        <w:bidi w:val="0"/>
        <w:spacing w:line="5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（2）预警级别调整</w:t>
      </w:r>
    </w:p>
    <w:p>
      <w:pPr>
        <w:keepNext w:val="0"/>
        <w:keepLines w:val="0"/>
        <w:pageBreakBefore w:val="0"/>
        <w:kinsoku/>
        <w:wordWrap/>
        <w:overflowPunct/>
        <w:topLinePunct w:val="0"/>
        <w:autoSpaceDE/>
        <w:autoSpaceDN/>
        <w:bidi w:val="0"/>
        <w:spacing w:line="5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接到上级重污染天气指令性预警信息，达到其他级别的预警条件，预警需要升级或降级的，按照预警发布程序调整预警级别。</w:t>
      </w:r>
    </w:p>
    <w:p>
      <w:pPr>
        <w:keepNext w:val="0"/>
        <w:keepLines w:val="0"/>
        <w:pageBreakBefore w:val="0"/>
        <w:widowControl/>
        <w:shd w:val="clear" w:color="auto" w:fill="FFFFFF"/>
        <w:kinsoku/>
        <w:wordWrap/>
        <w:overflowPunct/>
        <w:topLinePunct w:val="0"/>
        <w:autoSpaceDE/>
        <w:autoSpaceDN/>
        <w:bidi w:val="0"/>
        <w:spacing w:line="500" w:lineRule="exact"/>
        <w:ind w:firstLine="640"/>
        <w:textAlignment w:val="auto"/>
        <w:rPr>
          <w:rFonts w:hint="eastAsia" w:ascii="仿宋" w:hAnsi="仿宋" w:eastAsia="仿宋" w:cs="仿宋"/>
          <w:b/>
          <w:bCs/>
          <w:kern w:val="0"/>
          <w:sz w:val="32"/>
          <w:szCs w:val="32"/>
        </w:rPr>
      </w:pPr>
      <w:r>
        <w:rPr>
          <w:rFonts w:hint="eastAsia" w:ascii="仿宋" w:hAnsi="仿宋" w:eastAsia="仿宋" w:cs="仿宋"/>
          <w:b/>
          <w:bCs/>
          <w:kern w:val="0"/>
          <w:sz w:val="32"/>
          <w:szCs w:val="32"/>
        </w:rPr>
        <w:t>2</w:t>
      </w:r>
      <w:r>
        <w:rPr>
          <w:rFonts w:hint="eastAsia" w:ascii="仿宋" w:hAnsi="仿宋" w:eastAsia="仿宋" w:cs="仿宋"/>
          <w:b/>
          <w:bCs/>
          <w:kern w:val="0"/>
          <w:sz w:val="32"/>
          <w:szCs w:val="32"/>
          <w:lang w:eastAsia="zh-CN"/>
        </w:rPr>
        <w:t>.</w:t>
      </w:r>
      <w:r>
        <w:rPr>
          <w:rFonts w:hint="eastAsia" w:ascii="仿宋" w:hAnsi="仿宋" w:eastAsia="仿宋" w:cs="仿宋"/>
          <w:b/>
          <w:bCs/>
          <w:kern w:val="0"/>
          <w:sz w:val="32"/>
          <w:szCs w:val="32"/>
        </w:rPr>
        <w:t>预警解除</w:t>
      </w:r>
    </w:p>
    <w:p>
      <w:pPr>
        <w:keepNext w:val="0"/>
        <w:keepLines w:val="0"/>
        <w:pageBreakBefore w:val="0"/>
        <w:widowControl/>
        <w:shd w:val="clear" w:color="auto" w:fill="FFFFFF"/>
        <w:kinsoku/>
        <w:wordWrap/>
        <w:overflowPunct/>
        <w:topLinePunct w:val="0"/>
        <w:autoSpaceDE/>
        <w:autoSpaceDN/>
        <w:bidi w:val="0"/>
        <w:spacing w:line="500" w:lineRule="exact"/>
        <w:ind w:firstLine="640"/>
        <w:textAlignment w:val="auto"/>
        <w:rPr>
          <w:rFonts w:ascii="仿宋" w:hAnsi="仿宋" w:eastAsia="仿宋" w:cs="仿宋"/>
          <w:kern w:val="0"/>
          <w:sz w:val="32"/>
          <w:szCs w:val="32"/>
        </w:rPr>
      </w:pPr>
      <w:r>
        <w:rPr>
          <w:rFonts w:hint="eastAsia" w:ascii="仿宋" w:hAnsi="仿宋" w:eastAsia="仿宋" w:cs="仿宋"/>
          <w:kern w:val="0"/>
          <w:sz w:val="32"/>
          <w:szCs w:val="32"/>
        </w:rPr>
        <w:t>当县重污染天气应急响应办公室接到保定市重污染天气应急办公室发布的预警解除通知时，于1小时内完成审批程序，并发布预警解除信息，黄色、橙色、红色预警解除按预警发布程序解除。</w:t>
      </w:r>
    </w:p>
    <w:p>
      <w:pPr>
        <w:keepNext w:val="0"/>
        <w:keepLines w:val="0"/>
        <w:pageBreakBefore w:val="0"/>
        <w:widowControl/>
        <w:shd w:val="clear" w:color="auto" w:fill="FFFFFF"/>
        <w:kinsoku/>
        <w:wordWrap/>
        <w:overflowPunct/>
        <w:topLinePunct w:val="0"/>
        <w:autoSpaceDE/>
        <w:autoSpaceDN/>
        <w:bidi w:val="0"/>
        <w:spacing w:line="500" w:lineRule="exact"/>
        <w:ind w:firstLine="640"/>
        <w:textAlignment w:val="auto"/>
        <w:rPr>
          <w:rFonts w:ascii="黑体" w:hAnsi="黑体" w:eastAsia="黑体" w:cs="黑体"/>
          <w:kern w:val="0"/>
          <w:sz w:val="32"/>
          <w:szCs w:val="32"/>
        </w:rPr>
      </w:pPr>
      <w:r>
        <w:rPr>
          <w:rFonts w:hint="eastAsia" w:ascii="黑体" w:hAnsi="黑体" w:eastAsia="黑体" w:cs="黑体"/>
          <w:kern w:val="0"/>
          <w:sz w:val="32"/>
          <w:szCs w:val="32"/>
        </w:rPr>
        <w:t>五、预案修订</w:t>
      </w:r>
    </w:p>
    <w:p>
      <w:pPr>
        <w:keepNext w:val="0"/>
        <w:keepLines w:val="0"/>
        <w:pageBreakBefore w:val="0"/>
        <w:widowControl/>
        <w:shd w:val="clear" w:color="auto" w:fill="FFFFFF"/>
        <w:kinsoku/>
        <w:wordWrap/>
        <w:overflowPunct/>
        <w:topLinePunct w:val="0"/>
        <w:autoSpaceDE/>
        <w:autoSpaceDN/>
        <w:bidi w:val="0"/>
        <w:spacing w:line="500" w:lineRule="exact"/>
        <w:ind w:firstLine="640"/>
        <w:textAlignment w:val="auto"/>
        <w:rPr>
          <w:rFonts w:ascii="仿宋" w:hAnsi="仿宋" w:eastAsia="仿宋" w:cs="仿宋"/>
          <w:sz w:val="32"/>
          <w:szCs w:val="32"/>
        </w:rPr>
      </w:pPr>
      <w:r>
        <w:rPr>
          <w:rFonts w:hint="eastAsia" w:ascii="仿宋" w:hAnsi="仿宋" w:eastAsia="仿宋" w:cs="仿宋"/>
          <w:sz w:val="32"/>
          <w:szCs w:val="32"/>
        </w:rPr>
        <w:t>预案内容包括：预案文本、</w:t>
      </w:r>
      <w:bookmarkStart w:id="0" w:name="_Hlk20288060"/>
      <w:r>
        <w:rPr>
          <w:rFonts w:hint="eastAsia" w:ascii="仿宋" w:hAnsi="仿宋" w:eastAsia="仿宋" w:cs="仿宋"/>
          <w:sz w:val="32"/>
          <w:szCs w:val="32"/>
        </w:rPr>
        <w:t>重污染天气应急响应行业减排措施、重污染天气应急办公室成员单位及职责</w:t>
      </w:r>
      <w:bookmarkEnd w:id="0"/>
      <w:r>
        <w:rPr>
          <w:rFonts w:hint="eastAsia" w:ascii="仿宋" w:hAnsi="仿宋" w:eastAsia="仿宋" w:cs="仿宋"/>
          <w:sz w:val="32"/>
          <w:szCs w:val="32"/>
        </w:rPr>
        <w:t>等。</w:t>
      </w:r>
    </w:p>
    <w:p>
      <w:pPr>
        <w:keepNext w:val="0"/>
        <w:keepLines w:val="0"/>
        <w:pageBreakBefore w:val="0"/>
        <w:widowControl/>
        <w:kinsoku/>
        <w:wordWrap/>
        <w:overflowPunct/>
        <w:topLinePunct w:val="0"/>
        <w:autoSpaceDE/>
        <w:autoSpaceDN/>
        <w:bidi w:val="0"/>
        <w:snapToGrid w:val="0"/>
        <w:spacing w:line="500" w:lineRule="exact"/>
        <w:ind w:firstLine="640"/>
        <w:textAlignment w:val="auto"/>
        <w:rPr>
          <w:rFonts w:ascii="楷体" w:hAnsi="楷体" w:eastAsia="楷体" w:cs="楷体"/>
          <w:b/>
          <w:bCs/>
          <w:kern w:val="0"/>
          <w:sz w:val="32"/>
          <w:szCs w:val="32"/>
        </w:rPr>
      </w:pPr>
      <w:r>
        <w:rPr>
          <w:rFonts w:hint="eastAsia" w:ascii="楷体" w:hAnsi="楷体" w:eastAsia="楷体" w:cs="楷体"/>
          <w:b/>
          <w:bCs/>
          <w:kern w:val="0"/>
          <w:sz w:val="32"/>
          <w:szCs w:val="32"/>
        </w:rPr>
        <w:t>（一）全面排查摸清底数</w:t>
      </w:r>
    </w:p>
    <w:p>
      <w:pPr>
        <w:keepNext w:val="0"/>
        <w:keepLines w:val="0"/>
        <w:pageBreakBefore w:val="0"/>
        <w:widowControl w:val="0"/>
        <w:kinsoku/>
        <w:wordWrap/>
        <w:overflowPunct/>
        <w:topLinePunct w:val="0"/>
        <w:autoSpaceDE/>
        <w:autoSpaceDN/>
        <w:bidi w:val="0"/>
        <w:adjustRightInd/>
        <w:snapToGrid/>
        <w:spacing w:line="500" w:lineRule="exact"/>
        <w:ind w:right="0" w:firstLine="640" w:firstLineChars="200"/>
        <w:textAlignment w:val="auto"/>
        <w:rPr>
          <w:rFonts w:ascii="仿宋" w:hAnsi="仿宋" w:eastAsia="仿宋" w:cs="仿宋"/>
          <w:sz w:val="32"/>
          <w:szCs w:val="32"/>
          <w:lang w:val="zh-CN" w:bidi="zh-CN"/>
        </w:rPr>
      </w:pPr>
      <w:r>
        <w:rPr>
          <w:rFonts w:hint="eastAsia" w:ascii="仿宋" w:hAnsi="仿宋" w:eastAsia="仿宋" w:cs="仿宋"/>
          <w:sz w:val="32"/>
          <w:szCs w:val="32"/>
          <w:lang w:val="zh-CN" w:bidi="zh-CN"/>
        </w:rPr>
        <w:t>重污染天气应急响应办公室组织相关部门，比对当年新建项目、工商注册、排污许可等清单，结合现场梳理排查，摸清行政区域内所有涉气企业和涉气生产工序，确保真实准确。要逐个排查涉气企业，做到无遗漏、全覆盖；要逐一摸清涉气企业生产工艺、产品产量、能源消耗、污染物排放、污染治理设施等情况；要明确涉气企业的涉气环节和污染物排放种类、数量，优先管控污染物排放量大的生产环节；要对环保治理设施正在升级改造的企业、正在建设或建成尚未进行环保验收的企业，已停产但具备随时复产能力的企业进行统计，做好应急减排清单的更新准备。长期停产的企业不得纳入减排量核算。</w:t>
      </w:r>
    </w:p>
    <w:p>
      <w:pPr>
        <w:keepNext w:val="0"/>
        <w:keepLines w:val="0"/>
        <w:pageBreakBefore w:val="0"/>
        <w:widowControl/>
        <w:kinsoku/>
        <w:wordWrap/>
        <w:overflowPunct/>
        <w:topLinePunct w:val="0"/>
        <w:autoSpaceDE/>
        <w:autoSpaceDN/>
        <w:bidi w:val="0"/>
        <w:snapToGrid w:val="0"/>
        <w:spacing w:line="500" w:lineRule="exact"/>
        <w:ind w:firstLine="640"/>
        <w:textAlignment w:val="auto"/>
        <w:rPr>
          <w:rFonts w:ascii="楷体" w:hAnsi="楷体" w:eastAsia="楷体" w:cs="楷体"/>
          <w:b/>
          <w:bCs/>
          <w:kern w:val="0"/>
          <w:sz w:val="32"/>
          <w:szCs w:val="32"/>
        </w:rPr>
      </w:pPr>
      <w:r>
        <w:rPr>
          <w:rFonts w:hint="eastAsia" w:ascii="楷体" w:hAnsi="楷体" w:eastAsia="楷体" w:cs="楷体"/>
          <w:b/>
          <w:bCs/>
          <w:kern w:val="0"/>
          <w:sz w:val="32"/>
          <w:szCs w:val="32"/>
        </w:rPr>
        <w:t>（二）精准开展绩效评级</w:t>
      </w:r>
    </w:p>
    <w:p>
      <w:pPr>
        <w:keepNext w:val="0"/>
        <w:keepLines w:val="0"/>
        <w:pageBreakBefore w:val="0"/>
        <w:kinsoku/>
        <w:wordWrap/>
        <w:overflowPunct/>
        <w:topLinePunct w:val="0"/>
        <w:autoSpaceDE/>
        <w:autoSpaceDN/>
        <w:bidi w:val="0"/>
        <w:spacing w:line="500" w:lineRule="exact"/>
        <w:ind w:right="197" w:firstLine="643" w:firstLineChars="200"/>
        <w:textAlignment w:val="auto"/>
        <w:rPr>
          <w:rFonts w:ascii="仿宋" w:hAnsi="仿宋" w:eastAsia="仿宋" w:cs="仿宋"/>
          <w:b/>
          <w:bCs/>
          <w:kern w:val="0"/>
          <w:sz w:val="32"/>
          <w:szCs w:val="32"/>
        </w:rPr>
      </w:pPr>
      <w:r>
        <w:rPr>
          <w:rFonts w:hint="eastAsia" w:ascii="仿宋" w:hAnsi="仿宋" w:eastAsia="仿宋" w:cs="仿宋"/>
          <w:b/>
          <w:bCs/>
          <w:kern w:val="0"/>
          <w:sz w:val="32"/>
          <w:szCs w:val="32"/>
        </w:rPr>
        <w:t>1</w:t>
      </w:r>
      <w:r>
        <w:rPr>
          <w:rFonts w:hint="eastAsia" w:ascii="仿宋" w:hAnsi="仿宋" w:eastAsia="仿宋" w:cs="仿宋"/>
          <w:b/>
          <w:bCs/>
          <w:kern w:val="0"/>
          <w:sz w:val="32"/>
          <w:szCs w:val="32"/>
          <w:lang w:eastAsia="zh-CN"/>
        </w:rPr>
        <w:t>.</w:t>
      </w:r>
      <w:r>
        <w:rPr>
          <w:rFonts w:hint="eastAsia" w:ascii="仿宋" w:hAnsi="仿宋" w:eastAsia="仿宋" w:cs="仿宋"/>
          <w:b/>
          <w:bCs/>
          <w:kern w:val="0"/>
          <w:sz w:val="32"/>
          <w:szCs w:val="32"/>
        </w:rPr>
        <w:t>绩效评级范围</w:t>
      </w:r>
    </w:p>
    <w:p>
      <w:pPr>
        <w:keepNext w:val="0"/>
        <w:keepLines w:val="0"/>
        <w:pageBreakBefore w:val="0"/>
        <w:kinsoku/>
        <w:wordWrap/>
        <w:overflowPunct/>
        <w:topLinePunct w:val="0"/>
        <w:autoSpaceDE/>
        <w:autoSpaceDN/>
        <w:bidi w:val="0"/>
        <w:spacing w:line="500" w:lineRule="exact"/>
        <w:ind w:right="197" w:firstLine="640" w:firstLineChars="200"/>
        <w:textAlignment w:val="auto"/>
        <w:rPr>
          <w:rFonts w:ascii="仿宋" w:hAnsi="仿宋" w:eastAsia="仿宋" w:cs="仿宋"/>
          <w:kern w:val="0"/>
          <w:sz w:val="32"/>
          <w:szCs w:val="32"/>
        </w:rPr>
      </w:pPr>
      <w:r>
        <w:rPr>
          <w:rFonts w:hint="eastAsia" w:ascii="仿宋" w:hAnsi="仿宋" w:eastAsia="仿宋" w:cs="仿宋"/>
          <w:kern w:val="0"/>
          <w:sz w:val="32"/>
          <w:szCs w:val="32"/>
        </w:rPr>
        <w:t>按照生态环境部重点行业应急减排措施绩效分级有关规定，</w:t>
      </w:r>
      <w:r>
        <w:rPr>
          <w:rFonts w:hint="eastAsia" w:ascii="仿宋" w:hAnsi="仿宋" w:eastAsia="仿宋" w:cs="仿宋"/>
          <w:sz w:val="32"/>
          <w:szCs w:val="32"/>
          <w:lang w:val="zh-CN" w:bidi="zh-CN"/>
        </w:rPr>
        <w:t>对明确绩效分级的行业开展绩效评级工作，对工业企业</w:t>
      </w:r>
      <w:r>
        <w:rPr>
          <w:rFonts w:hint="eastAsia" w:ascii="仿宋" w:hAnsi="仿宋" w:eastAsia="仿宋" w:cs="仿宋"/>
          <w:kern w:val="0"/>
          <w:sz w:val="32"/>
          <w:szCs w:val="32"/>
        </w:rPr>
        <w:t>制定差异化</w:t>
      </w:r>
      <w:r>
        <w:rPr>
          <w:rFonts w:hint="eastAsia" w:ascii="仿宋" w:hAnsi="仿宋" w:eastAsia="仿宋" w:cs="仿宋"/>
          <w:sz w:val="32"/>
          <w:szCs w:val="32"/>
          <w:lang w:val="zh-CN" w:bidi="zh-CN"/>
        </w:rPr>
        <w:t>应急</w:t>
      </w:r>
      <w:r>
        <w:rPr>
          <w:rFonts w:hint="eastAsia" w:ascii="仿宋" w:hAnsi="仿宋" w:eastAsia="仿宋" w:cs="仿宋"/>
          <w:kern w:val="0"/>
          <w:sz w:val="32"/>
          <w:szCs w:val="32"/>
        </w:rPr>
        <w:t>减排措施。未明确绩效分级的行业，生态环境分局应结合实际，明确差异化应急减排措施。</w:t>
      </w:r>
    </w:p>
    <w:p>
      <w:pPr>
        <w:keepNext w:val="0"/>
        <w:keepLines w:val="0"/>
        <w:pageBreakBefore w:val="0"/>
        <w:widowControl/>
        <w:kinsoku/>
        <w:wordWrap/>
        <w:overflowPunct/>
        <w:topLinePunct w:val="0"/>
        <w:autoSpaceDE/>
        <w:autoSpaceDN/>
        <w:bidi w:val="0"/>
        <w:snapToGrid w:val="0"/>
        <w:spacing w:line="500" w:lineRule="exact"/>
        <w:ind w:firstLine="640"/>
        <w:textAlignment w:val="auto"/>
        <w:rPr>
          <w:rFonts w:ascii="仿宋" w:hAnsi="仿宋" w:eastAsia="仿宋" w:cs="仿宋"/>
          <w:b/>
          <w:bCs/>
          <w:kern w:val="0"/>
          <w:sz w:val="32"/>
          <w:szCs w:val="32"/>
        </w:rPr>
      </w:pPr>
      <w:r>
        <w:rPr>
          <w:rFonts w:hint="eastAsia" w:ascii="仿宋" w:hAnsi="仿宋" w:eastAsia="仿宋" w:cs="仿宋"/>
          <w:b/>
          <w:bCs/>
          <w:kern w:val="0"/>
          <w:sz w:val="32"/>
          <w:szCs w:val="32"/>
        </w:rPr>
        <w:t>2</w:t>
      </w:r>
      <w:r>
        <w:rPr>
          <w:rFonts w:hint="eastAsia" w:ascii="仿宋" w:hAnsi="仿宋" w:eastAsia="仿宋" w:cs="仿宋"/>
          <w:b/>
          <w:bCs/>
          <w:kern w:val="0"/>
          <w:sz w:val="32"/>
          <w:szCs w:val="32"/>
          <w:lang w:eastAsia="zh-CN"/>
        </w:rPr>
        <w:t>.</w:t>
      </w:r>
      <w:r>
        <w:rPr>
          <w:rFonts w:hint="eastAsia" w:ascii="仿宋" w:hAnsi="仿宋" w:eastAsia="仿宋" w:cs="仿宋"/>
          <w:b/>
          <w:bCs/>
          <w:kern w:val="0"/>
          <w:sz w:val="32"/>
          <w:szCs w:val="32"/>
        </w:rPr>
        <w:t>绩效评级原则</w:t>
      </w:r>
    </w:p>
    <w:p>
      <w:pPr>
        <w:keepNext w:val="0"/>
        <w:keepLines w:val="0"/>
        <w:pageBreakBefore w:val="0"/>
        <w:widowControl/>
        <w:kinsoku/>
        <w:wordWrap/>
        <w:overflowPunct/>
        <w:topLinePunct w:val="0"/>
        <w:autoSpaceDE/>
        <w:autoSpaceDN/>
        <w:bidi w:val="0"/>
        <w:snapToGrid w:val="0"/>
        <w:spacing w:line="500" w:lineRule="exact"/>
        <w:ind w:firstLine="640"/>
        <w:textAlignment w:val="auto"/>
        <w:rPr>
          <w:rFonts w:ascii="仿宋" w:hAnsi="仿宋" w:eastAsia="仿宋" w:cs="仿宋"/>
          <w:kern w:val="0"/>
          <w:sz w:val="32"/>
          <w:szCs w:val="32"/>
        </w:rPr>
      </w:pPr>
      <w:r>
        <w:rPr>
          <w:rFonts w:hint="eastAsia" w:ascii="仿宋" w:hAnsi="仿宋" w:eastAsia="仿宋" w:cs="仿宋"/>
          <w:kern w:val="0"/>
          <w:sz w:val="32"/>
          <w:szCs w:val="32"/>
          <w:lang w:eastAsia="zh-CN"/>
        </w:rPr>
        <w:t>（</w:t>
      </w:r>
      <w:r>
        <w:rPr>
          <w:rFonts w:hint="eastAsia" w:ascii="仿宋" w:hAnsi="仿宋" w:eastAsia="仿宋" w:cs="仿宋"/>
          <w:kern w:val="0"/>
          <w:sz w:val="32"/>
          <w:szCs w:val="32"/>
          <w:lang w:val="en-US" w:eastAsia="zh-CN"/>
        </w:rPr>
        <w:t>1</w:t>
      </w:r>
      <w:r>
        <w:rPr>
          <w:rFonts w:hint="eastAsia" w:ascii="仿宋" w:hAnsi="仿宋" w:eastAsia="仿宋" w:cs="仿宋"/>
          <w:kern w:val="0"/>
          <w:sz w:val="32"/>
          <w:szCs w:val="32"/>
          <w:lang w:eastAsia="zh-CN"/>
        </w:rPr>
        <w:t>）</w:t>
      </w:r>
      <w:r>
        <w:rPr>
          <w:rFonts w:hint="eastAsia" w:ascii="仿宋" w:hAnsi="仿宋" w:eastAsia="仿宋" w:cs="仿宋"/>
          <w:kern w:val="0"/>
          <w:sz w:val="32"/>
          <w:szCs w:val="32"/>
        </w:rPr>
        <w:t>“短板”原则。在评级时，需满足该级别指标中规定的各项要求，有一项未满足的，降级评定；当企业涉及跨行业、跨工序时，以所含行业或工序中绩效评级较差为准，执行相应应急减排措施。</w:t>
      </w:r>
    </w:p>
    <w:p>
      <w:pPr>
        <w:keepNext w:val="0"/>
        <w:keepLines w:val="0"/>
        <w:pageBreakBefore w:val="0"/>
        <w:widowControl/>
        <w:kinsoku/>
        <w:wordWrap/>
        <w:overflowPunct/>
        <w:topLinePunct w:val="0"/>
        <w:autoSpaceDE/>
        <w:autoSpaceDN/>
        <w:bidi w:val="0"/>
        <w:snapToGrid w:val="0"/>
        <w:spacing w:line="500" w:lineRule="exact"/>
        <w:ind w:firstLine="640"/>
        <w:textAlignment w:val="auto"/>
        <w:rPr>
          <w:rFonts w:ascii="仿宋" w:hAnsi="仿宋" w:eastAsia="仿宋" w:cs="仿宋"/>
          <w:kern w:val="0"/>
          <w:sz w:val="32"/>
          <w:szCs w:val="32"/>
        </w:rPr>
      </w:pPr>
      <w:r>
        <w:rPr>
          <w:rFonts w:hint="eastAsia" w:ascii="仿宋" w:hAnsi="仿宋" w:eastAsia="仿宋" w:cs="仿宋"/>
          <w:kern w:val="0"/>
          <w:sz w:val="32"/>
          <w:szCs w:val="32"/>
          <w:lang w:eastAsia="zh-CN"/>
        </w:rPr>
        <w:t>（</w:t>
      </w:r>
      <w:r>
        <w:rPr>
          <w:rFonts w:hint="eastAsia" w:ascii="仿宋" w:hAnsi="仿宋" w:eastAsia="仿宋" w:cs="仿宋"/>
          <w:kern w:val="0"/>
          <w:sz w:val="32"/>
          <w:szCs w:val="32"/>
          <w:lang w:val="en-US" w:eastAsia="zh-CN"/>
        </w:rPr>
        <w:t>2</w:t>
      </w:r>
      <w:r>
        <w:rPr>
          <w:rFonts w:hint="eastAsia" w:ascii="仿宋" w:hAnsi="仿宋" w:eastAsia="仿宋" w:cs="仿宋"/>
          <w:kern w:val="0"/>
          <w:sz w:val="32"/>
          <w:szCs w:val="32"/>
          <w:lang w:eastAsia="zh-CN"/>
        </w:rPr>
        <w:t>）</w:t>
      </w:r>
      <w:r>
        <w:rPr>
          <w:rFonts w:hint="eastAsia" w:ascii="仿宋" w:hAnsi="仿宋" w:eastAsia="仿宋" w:cs="仿宋"/>
          <w:kern w:val="0"/>
          <w:sz w:val="32"/>
          <w:szCs w:val="32"/>
        </w:rPr>
        <w:t xml:space="preserve">“否定”原则。原则上，存在以下八方面问题的，不得评为A、B级：两年以来有重大环境违法行为的；自动监控数据不能稳定达标，出现多次超标的；存在无证排污、未批先建、批件不符情况的；群众反映大气环境问题突出、来信来访较多的；中央和省级生态环境保护督察发现问题，没有按照整改要求按时完成整改，或者存在表面整改、虚假整改、敷衍整改的；锅炉使用燃煤不符合标准要求的；大宗物料和产品铁路运输，或清洁汽车运输比例低于80%的；列入当年去产能、退城搬迁任务，10月底前未完成年度任务的。 </w:t>
      </w:r>
    </w:p>
    <w:p>
      <w:pPr>
        <w:keepNext w:val="0"/>
        <w:keepLines w:val="0"/>
        <w:pageBreakBefore w:val="0"/>
        <w:kinsoku/>
        <w:wordWrap/>
        <w:overflowPunct/>
        <w:topLinePunct w:val="0"/>
        <w:autoSpaceDE/>
        <w:autoSpaceDN/>
        <w:bidi w:val="0"/>
        <w:spacing w:line="5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3</w:t>
      </w:r>
      <w:r>
        <w:rPr>
          <w:rFonts w:hint="eastAsia" w:ascii="仿宋" w:hAnsi="仿宋" w:eastAsia="仿宋" w:cs="仿宋"/>
          <w:sz w:val="32"/>
          <w:szCs w:val="32"/>
          <w:lang w:eastAsia="zh-CN"/>
        </w:rPr>
        <w:t>）</w:t>
      </w:r>
      <w:r>
        <w:rPr>
          <w:rFonts w:hint="eastAsia" w:ascii="仿宋" w:hAnsi="仿宋" w:eastAsia="仿宋" w:cs="仿宋"/>
          <w:sz w:val="32"/>
          <w:szCs w:val="32"/>
        </w:rPr>
        <w:t>坚持“公开、公平、公正”的原则。按照或严于生态环境部规定的绩效评级标准，对所辖企业开展绩效评级工作，确保同一区域、同一行业、同等绩效水平的企业减排措施相对一致。工业企业绩效评级结果，应在政府网站向社会公示（涉密企业和工程除外），接受社会监督。</w:t>
      </w:r>
    </w:p>
    <w:p>
      <w:pPr>
        <w:keepNext w:val="0"/>
        <w:keepLines w:val="0"/>
        <w:pageBreakBefore w:val="0"/>
        <w:widowControl/>
        <w:kinsoku/>
        <w:wordWrap/>
        <w:overflowPunct/>
        <w:topLinePunct w:val="0"/>
        <w:autoSpaceDE/>
        <w:autoSpaceDN/>
        <w:bidi w:val="0"/>
        <w:spacing w:line="500" w:lineRule="exact"/>
        <w:ind w:firstLine="640"/>
        <w:textAlignment w:val="auto"/>
        <w:rPr>
          <w:rFonts w:ascii="楷体" w:hAnsi="楷体" w:eastAsia="楷体" w:cs="楷体"/>
          <w:b/>
          <w:bCs w:val="0"/>
          <w:kern w:val="0"/>
          <w:sz w:val="32"/>
          <w:szCs w:val="32"/>
        </w:rPr>
      </w:pPr>
      <w:r>
        <w:rPr>
          <w:rFonts w:hint="eastAsia" w:ascii="楷体" w:hAnsi="楷体" w:eastAsia="楷体" w:cs="楷体"/>
          <w:b/>
          <w:bCs w:val="0"/>
          <w:kern w:val="0"/>
          <w:sz w:val="32"/>
          <w:szCs w:val="32"/>
        </w:rPr>
        <w:t>（三）规范填报减排清单</w:t>
      </w:r>
    </w:p>
    <w:p>
      <w:pPr>
        <w:keepNext w:val="0"/>
        <w:keepLines w:val="0"/>
        <w:pageBreakBefore w:val="0"/>
        <w:kinsoku/>
        <w:wordWrap/>
        <w:overflowPunct/>
        <w:topLinePunct w:val="0"/>
        <w:autoSpaceDE/>
        <w:autoSpaceDN/>
        <w:bidi w:val="0"/>
        <w:spacing w:line="500" w:lineRule="exact"/>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lang w:val="en-US" w:eastAsia="zh-CN"/>
        </w:rPr>
        <w:t>1.</w:t>
      </w:r>
      <w:r>
        <w:rPr>
          <w:rFonts w:hint="eastAsia" w:ascii="仿宋" w:hAnsi="仿宋" w:eastAsia="仿宋" w:cs="仿宋"/>
          <w:b/>
          <w:bCs/>
          <w:sz w:val="32"/>
          <w:szCs w:val="32"/>
        </w:rPr>
        <w:t>减排基数核算方法</w:t>
      </w:r>
    </w:p>
    <w:p>
      <w:pPr>
        <w:keepNext w:val="0"/>
        <w:keepLines w:val="0"/>
        <w:pageBreakBefore w:val="0"/>
        <w:widowControl/>
        <w:kinsoku/>
        <w:wordWrap/>
        <w:overflowPunct/>
        <w:topLinePunct w:val="0"/>
        <w:autoSpaceDE/>
        <w:autoSpaceDN/>
        <w:bidi w:val="0"/>
        <w:spacing w:line="500" w:lineRule="exact"/>
        <w:ind w:firstLine="640" w:firstLineChars="200"/>
        <w:textAlignment w:val="auto"/>
        <w:rPr>
          <w:rFonts w:hint="eastAsia" w:ascii="仿宋" w:hAnsi="仿宋" w:eastAsia="仿宋" w:cs="仿宋"/>
          <w:kern w:val="0"/>
          <w:sz w:val="32"/>
          <w:szCs w:val="32"/>
        </w:rPr>
      </w:pPr>
      <w:r>
        <w:rPr>
          <w:rFonts w:hint="eastAsia" w:ascii="仿宋" w:hAnsi="仿宋" w:eastAsia="仿宋" w:cs="仿宋"/>
          <w:kern w:val="0"/>
          <w:sz w:val="32"/>
          <w:szCs w:val="32"/>
        </w:rPr>
        <w:t>减排基数每年核算一次，主要包括基础排放量、应急减排基数。基础排放量是对全社会排放量进行核算；应急减排基数是基础排放量扣除当年常规治理措施减排量，并叠加当年新增产能导致的污染新增量后折算到每日的排放量。其中，工业源原则上按照全年排放量除以330天折算；采暖锅炉和民用散煤按照当地实际供暖天数折算；移动源和扬尘源按照365天折算。扬尘排放量作为PM排放量的一部分单独计算，其减排比例上限应按照城市分季节的PM2.5源解析结果确定。</w:t>
      </w:r>
    </w:p>
    <w:p>
      <w:pPr>
        <w:keepNext w:val="0"/>
        <w:keepLines w:val="0"/>
        <w:pageBreakBefore w:val="0"/>
        <w:kinsoku/>
        <w:wordWrap/>
        <w:overflowPunct/>
        <w:topLinePunct w:val="0"/>
        <w:autoSpaceDE/>
        <w:autoSpaceDN/>
        <w:bidi w:val="0"/>
        <w:adjustRightInd w:val="0"/>
        <w:snapToGrid w:val="0"/>
        <w:spacing w:line="500" w:lineRule="exact"/>
        <w:ind w:firstLine="643" w:firstLineChars="200"/>
        <w:textAlignment w:val="auto"/>
        <w:rPr>
          <w:rFonts w:hint="eastAsia" w:ascii="仿宋" w:hAnsi="仿宋" w:eastAsia="仿宋" w:cs="仿宋"/>
          <w:b/>
          <w:bCs/>
          <w:kern w:val="0"/>
          <w:sz w:val="32"/>
          <w:szCs w:val="32"/>
        </w:rPr>
      </w:pPr>
      <w:r>
        <w:rPr>
          <w:rFonts w:hint="eastAsia" w:ascii="仿宋" w:hAnsi="仿宋" w:eastAsia="仿宋" w:cs="仿宋"/>
          <w:b/>
          <w:bCs/>
          <w:kern w:val="0"/>
          <w:sz w:val="32"/>
          <w:szCs w:val="32"/>
          <w:lang w:val="en-US" w:eastAsia="zh-CN"/>
        </w:rPr>
        <w:t>2.</w:t>
      </w:r>
      <w:r>
        <w:rPr>
          <w:rFonts w:hint="eastAsia" w:ascii="仿宋" w:hAnsi="仿宋" w:eastAsia="仿宋" w:cs="仿宋"/>
          <w:b/>
          <w:bCs/>
          <w:kern w:val="0"/>
          <w:sz w:val="32"/>
          <w:szCs w:val="32"/>
        </w:rPr>
        <w:t>编制应急减排项目清单</w:t>
      </w:r>
    </w:p>
    <w:p>
      <w:pPr>
        <w:keepNext w:val="0"/>
        <w:keepLines w:val="0"/>
        <w:pageBreakBefore w:val="0"/>
        <w:kinsoku/>
        <w:wordWrap/>
        <w:overflowPunct/>
        <w:topLinePunct w:val="0"/>
        <w:autoSpaceDE/>
        <w:autoSpaceDN/>
        <w:bidi w:val="0"/>
        <w:spacing w:line="500" w:lineRule="exact"/>
        <w:ind w:firstLine="640" w:firstLineChars="200"/>
        <w:textAlignment w:val="auto"/>
        <w:rPr>
          <w:rFonts w:hint="eastAsia" w:ascii="仿宋" w:hAnsi="仿宋" w:eastAsia="仿宋" w:cs="仿宋"/>
          <w:sz w:val="32"/>
          <w:szCs w:val="32"/>
          <w:lang w:val="zh-CN" w:bidi="zh-CN"/>
        </w:rPr>
      </w:pPr>
      <w:r>
        <w:rPr>
          <w:rFonts w:hint="eastAsia" w:ascii="仿宋" w:hAnsi="仿宋" w:eastAsia="仿宋" w:cs="仿宋"/>
          <w:sz w:val="32"/>
          <w:szCs w:val="32"/>
          <w:lang w:val="zh-CN" w:bidi="zh-CN"/>
        </w:rPr>
        <w:t>比对当年新建项目、工商注册、排污许可等清单，结合现场梳理排查，摸清行政区域内所有涉气企业和工序，并按照《技术指南》规定填报应急减排清单。重点行业所有涉气企业应纳入应急减排清单，其他行业视情纳入。长期停产企业应在清单中明确，并不得纳入减排量核算；未纳入应急减排清单的企业，应当提出明确要求，根据减排需要，在橙色及以上预警期间采取统一应急减排措施。按照省、市要求每年定期开展清单修订工作。</w:t>
      </w:r>
    </w:p>
    <w:p>
      <w:pPr>
        <w:keepNext w:val="0"/>
        <w:keepLines w:val="0"/>
        <w:pageBreakBefore w:val="0"/>
        <w:widowControl/>
        <w:kinsoku/>
        <w:wordWrap/>
        <w:overflowPunct/>
        <w:topLinePunct w:val="0"/>
        <w:autoSpaceDE/>
        <w:autoSpaceDN/>
        <w:bidi w:val="0"/>
        <w:spacing w:line="500" w:lineRule="exact"/>
        <w:ind w:firstLine="643" w:firstLineChars="200"/>
        <w:textAlignment w:val="auto"/>
        <w:rPr>
          <w:rFonts w:hint="eastAsia" w:ascii="仿宋" w:hAnsi="仿宋" w:eastAsia="仿宋" w:cs="仿宋"/>
          <w:b/>
          <w:bCs/>
          <w:sz w:val="32"/>
          <w:szCs w:val="32"/>
          <w:lang w:val="zh-CN" w:bidi="zh-CN"/>
        </w:rPr>
      </w:pPr>
      <w:r>
        <w:rPr>
          <w:rFonts w:hint="eastAsia" w:ascii="仿宋" w:hAnsi="仿宋" w:eastAsia="仿宋" w:cs="仿宋"/>
          <w:b/>
          <w:bCs/>
          <w:sz w:val="32"/>
          <w:szCs w:val="32"/>
          <w:lang w:val="en-US" w:bidi="zh-CN"/>
        </w:rPr>
        <w:t>3.</w:t>
      </w:r>
      <w:r>
        <w:rPr>
          <w:rFonts w:hint="eastAsia" w:ascii="仿宋" w:hAnsi="仿宋" w:eastAsia="仿宋" w:cs="仿宋"/>
          <w:b/>
          <w:bCs/>
          <w:sz w:val="32"/>
          <w:szCs w:val="32"/>
          <w:lang w:val="zh-CN" w:bidi="zh-CN"/>
        </w:rPr>
        <w:t>完善应急减排项目清单内容</w:t>
      </w:r>
    </w:p>
    <w:p>
      <w:pPr>
        <w:keepNext w:val="0"/>
        <w:keepLines w:val="0"/>
        <w:pageBreakBefore w:val="0"/>
        <w:widowControl/>
        <w:kinsoku/>
        <w:wordWrap/>
        <w:overflowPunct/>
        <w:topLinePunct w:val="0"/>
        <w:autoSpaceDE/>
        <w:autoSpaceDN/>
        <w:bidi w:val="0"/>
        <w:spacing w:line="500" w:lineRule="exact"/>
        <w:ind w:firstLine="640"/>
        <w:textAlignment w:val="auto"/>
        <w:rPr>
          <w:rFonts w:hint="eastAsia" w:ascii="仿宋" w:hAnsi="仿宋" w:eastAsia="仿宋" w:cs="仿宋"/>
          <w:kern w:val="0"/>
          <w:sz w:val="32"/>
          <w:szCs w:val="32"/>
        </w:rPr>
      </w:pPr>
      <w:r>
        <w:rPr>
          <w:rFonts w:hint="eastAsia" w:ascii="仿宋" w:hAnsi="仿宋" w:eastAsia="仿宋" w:cs="仿宋"/>
          <w:bCs/>
          <w:kern w:val="0"/>
          <w:sz w:val="32"/>
          <w:szCs w:val="32"/>
        </w:rPr>
        <w:t>工业源</w:t>
      </w:r>
      <w:r>
        <w:rPr>
          <w:rFonts w:hint="eastAsia" w:ascii="仿宋" w:hAnsi="仿宋" w:eastAsia="仿宋" w:cs="仿宋"/>
          <w:kern w:val="0"/>
          <w:sz w:val="32"/>
          <w:szCs w:val="32"/>
        </w:rPr>
        <w:t>项目清单应包括企业具体工艺环节、污染物排放量、绩效等级、是否在工业园区、运输方式、运输量以及不同级别预警采取的应急措施和相应减排量等新增信息；对涉及居民供暖的工业企业，在纳入应急减排清单统一管理的同时，应单独填报清单，明确供暖户数、面积、温度以及替代方案等。</w:t>
      </w:r>
      <w:r>
        <w:rPr>
          <w:rFonts w:hint="eastAsia" w:ascii="仿宋" w:hAnsi="仿宋" w:eastAsia="仿宋" w:cs="仿宋"/>
          <w:bCs/>
          <w:kern w:val="0"/>
          <w:sz w:val="32"/>
          <w:szCs w:val="32"/>
        </w:rPr>
        <w:t>移动源</w:t>
      </w:r>
      <w:r>
        <w:rPr>
          <w:rFonts w:hint="eastAsia" w:ascii="仿宋" w:hAnsi="仿宋" w:eastAsia="仿宋" w:cs="仿宋"/>
          <w:kern w:val="0"/>
          <w:sz w:val="32"/>
          <w:szCs w:val="32"/>
        </w:rPr>
        <w:t>项目清单应包括不同车辆类型、不同排放标准的机动车保有量信息和应急减排措施并估算减排量。</w:t>
      </w:r>
      <w:r>
        <w:rPr>
          <w:rFonts w:hint="eastAsia" w:ascii="仿宋" w:hAnsi="仿宋" w:eastAsia="仿宋" w:cs="仿宋"/>
          <w:bCs/>
          <w:kern w:val="0"/>
          <w:sz w:val="32"/>
          <w:szCs w:val="32"/>
        </w:rPr>
        <w:t>扬尘源</w:t>
      </w:r>
      <w:r>
        <w:rPr>
          <w:rFonts w:hint="eastAsia" w:ascii="仿宋" w:hAnsi="仿宋" w:eastAsia="仿宋" w:cs="仿宋"/>
          <w:kern w:val="0"/>
          <w:sz w:val="32"/>
          <w:szCs w:val="32"/>
        </w:rPr>
        <w:t>项目清单应包括当年施工工地、道路扬尘、堆场扬尘、减排量等信息。</w:t>
      </w:r>
    </w:p>
    <w:p>
      <w:pPr>
        <w:keepNext w:val="0"/>
        <w:keepLines w:val="0"/>
        <w:pageBreakBefore w:val="0"/>
        <w:widowControl/>
        <w:kinsoku/>
        <w:wordWrap/>
        <w:overflowPunct/>
        <w:topLinePunct w:val="0"/>
        <w:autoSpaceDE/>
        <w:autoSpaceDN/>
        <w:bidi w:val="0"/>
        <w:spacing w:line="500" w:lineRule="exact"/>
        <w:ind w:firstLine="640"/>
        <w:textAlignment w:val="auto"/>
        <w:rPr>
          <w:rFonts w:ascii="楷体" w:hAnsi="楷体" w:eastAsia="楷体" w:cs="楷体"/>
          <w:b/>
          <w:bCs w:val="0"/>
          <w:kern w:val="0"/>
          <w:sz w:val="32"/>
          <w:szCs w:val="32"/>
        </w:rPr>
      </w:pPr>
      <w:r>
        <w:rPr>
          <w:rFonts w:hint="eastAsia" w:ascii="楷体" w:hAnsi="楷体" w:eastAsia="楷体" w:cs="楷体"/>
          <w:b/>
          <w:bCs w:val="0"/>
          <w:kern w:val="0"/>
          <w:sz w:val="32"/>
          <w:szCs w:val="32"/>
        </w:rPr>
        <w:t>（四）完善正面清单制度</w:t>
      </w:r>
    </w:p>
    <w:p>
      <w:pPr>
        <w:keepNext w:val="0"/>
        <w:keepLines w:val="0"/>
        <w:pageBreakBefore w:val="0"/>
        <w:widowControl/>
        <w:kinsoku/>
        <w:wordWrap/>
        <w:overflowPunct/>
        <w:topLinePunct w:val="0"/>
        <w:autoSpaceDE/>
        <w:autoSpaceDN/>
        <w:bidi w:val="0"/>
        <w:spacing w:line="500" w:lineRule="exact"/>
        <w:ind w:firstLine="640" w:firstLineChars="200"/>
        <w:textAlignment w:val="auto"/>
        <w:rPr>
          <w:rFonts w:ascii="仿宋" w:hAnsi="仿宋" w:eastAsia="仿宋" w:cs="仿宋"/>
          <w:kern w:val="0"/>
          <w:sz w:val="32"/>
          <w:szCs w:val="32"/>
        </w:rPr>
      </w:pPr>
      <w:r>
        <w:rPr>
          <w:rFonts w:hint="eastAsia" w:ascii="仿宋" w:hAnsi="仿宋" w:eastAsia="仿宋" w:cs="仿宋"/>
          <w:kern w:val="0"/>
          <w:sz w:val="32"/>
          <w:szCs w:val="32"/>
        </w:rPr>
        <w:t>建立和完善工业企业和重点建设工程正面鼓励清单制度。按照河北省生态环境厅《关于加快建立环境监管正面清单的通知》（冀环大气函〔2019〕1055号）要求，确定工业企业和重点建设工程正面清单。原则上，在重污染天气预警期间，对列入正面清单的工业企业和重点建设工程分类施策、区别对待，在确保污染防治设施稳定运行和达标排放的前提下，不再实行停工、停产管控(国家有关规定明确要求除外)。</w:t>
      </w:r>
    </w:p>
    <w:p>
      <w:pPr>
        <w:keepNext w:val="0"/>
        <w:keepLines w:val="0"/>
        <w:pageBreakBefore w:val="0"/>
        <w:widowControl/>
        <w:kinsoku/>
        <w:wordWrap/>
        <w:overflowPunct/>
        <w:topLinePunct w:val="0"/>
        <w:autoSpaceDE/>
        <w:autoSpaceDN/>
        <w:bidi w:val="0"/>
        <w:spacing w:line="500" w:lineRule="exact"/>
        <w:ind w:firstLine="643" w:firstLineChars="200"/>
        <w:textAlignment w:val="auto"/>
        <w:rPr>
          <w:rFonts w:ascii="仿宋" w:hAnsi="仿宋" w:eastAsia="仿宋" w:cs="仿宋"/>
          <w:b/>
          <w:bCs/>
          <w:kern w:val="0"/>
          <w:sz w:val="32"/>
          <w:szCs w:val="32"/>
        </w:rPr>
      </w:pPr>
      <w:r>
        <w:rPr>
          <w:rFonts w:hint="eastAsia" w:ascii="仿宋" w:hAnsi="仿宋" w:eastAsia="仿宋" w:cs="仿宋"/>
          <w:b/>
          <w:bCs/>
          <w:kern w:val="0"/>
          <w:sz w:val="32"/>
          <w:szCs w:val="32"/>
          <w:lang w:val="en-US" w:eastAsia="zh-CN"/>
        </w:rPr>
        <w:t>1.</w:t>
      </w:r>
      <w:r>
        <w:rPr>
          <w:rFonts w:hint="eastAsia" w:ascii="仿宋" w:hAnsi="仿宋" w:eastAsia="仿宋" w:cs="仿宋"/>
          <w:b/>
          <w:bCs/>
          <w:kern w:val="0"/>
          <w:sz w:val="32"/>
          <w:szCs w:val="32"/>
        </w:rPr>
        <w:t>工业企业</w:t>
      </w:r>
    </w:p>
    <w:p>
      <w:pPr>
        <w:keepNext w:val="0"/>
        <w:keepLines w:val="0"/>
        <w:pageBreakBefore w:val="0"/>
        <w:widowControl/>
        <w:kinsoku/>
        <w:wordWrap/>
        <w:overflowPunct/>
        <w:topLinePunct w:val="0"/>
        <w:autoSpaceDE/>
        <w:autoSpaceDN/>
        <w:bidi w:val="0"/>
        <w:spacing w:line="500" w:lineRule="exact"/>
        <w:ind w:firstLine="640"/>
        <w:textAlignment w:val="auto"/>
        <w:rPr>
          <w:rFonts w:ascii="仿宋" w:hAnsi="仿宋" w:eastAsia="仿宋" w:cs="仿宋"/>
          <w:kern w:val="0"/>
          <w:sz w:val="32"/>
          <w:szCs w:val="32"/>
        </w:rPr>
      </w:pPr>
      <w:r>
        <w:rPr>
          <w:rFonts w:hint="eastAsia" w:ascii="仿宋" w:hAnsi="仿宋" w:eastAsia="仿宋" w:cs="仿宋"/>
          <w:kern w:val="0"/>
          <w:sz w:val="32"/>
          <w:szCs w:val="32"/>
        </w:rPr>
        <w:t>包括绩效评级为A级企业、环保“领跑者”企业，污染治理高效并稳定达标排放的战略性新兴产业、重点出口企业，以及零排放和微污染涉气企业等。</w:t>
      </w:r>
    </w:p>
    <w:p>
      <w:pPr>
        <w:keepNext w:val="0"/>
        <w:keepLines w:val="0"/>
        <w:pageBreakBefore w:val="0"/>
        <w:kinsoku/>
        <w:wordWrap/>
        <w:overflowPunct/>
        <w:topLinePunct w:val="0"/>
        <w:autoSpaceDE/>
        <w:autoSpaceDN/>
        <w:bidi w:val="0"/>
        <w:spacing w:line="5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相关部门要对此类企业开展核查，逐一摸清生产工艺、主要产品、治理设施、排污状况等，逐一开展评估。对污染防治设施不全或不正常运行、污染物不能稳定达标排放的，要督促限期整改，帮扶提出治理方案，尽快进行整改，确保达到环境管理要求。对重点出口企业，在要求时限完成生产任务期间，可少限产或不予限产，完成生产任务和订单后，仍需按应急减排要求执行。</w:t>
      </w:r>
    </w:p>
    <w:p>
      <w:pPr>
        <w:keepNext w:val="0"/>
        <w:keepLines w:val="0"/>
        <w:pageBreakBefore w:val="0"/>
        <w:widowControl/>
        <w:kinsoku/>
        <w:wordWrap/>
        <w:overflowPunct/>
        <w:topLinePunct w:val="0"/>
        <w:autoSpaceDE/>
        <w:autoSpaceDN/>
        <w:bidi w:val="0"/>
        <w:spacing w:line="500" w:lineRule="exact"/>
        <w:ind w:firstLine="643" w:firstLineChars="200"/>
        <w:textAlignment w:val="auto"/>
        <w:rPr>
          <w:rFonts w:ascii="仿宋" w:hAnsi="仿宋" w:eastAsia="仿宋" w:cs="仿宋"/>
          <w:b/>
          <w:bCs/>
          <w:kern w:val="0"/>
          <w:sz w:val="32"/>
          <w:szCs w:val="32"/>
        </w:rPr>
      </w:pPr>
      <w:r>
        <w:rPr>
          <w:rFonts w:hint="eastAsia" w:ascii="仿宋" w:hAnsi="仿宋" w:eastAsia="仿宋" w:cs="仿宋"/>
          <w:b/>
          <w:bCs/>
          <w:kern w:val="0"/>
          <w:sz w:val="32"/>
          <w:szCs w:val="32"/>
          <w:lang w:val="en-US" w:eastAsia="zh-CN"/>
        </w:rPr>
        <w:t>2.</w:t>
      </w:r>
      <w:r>
        <w:rPr>
          <w:rFonts w:hint="eastAsia" w:ascii="仿宋" w:hAnsi="仿宋" w:eastAsia="仿宋" w:cs="仿宋"/>
          <w:b/>
          <w:bCs/>
          <w:kern w:val="0"/>
          <w:sz w:val="32"/>
          <w:szCs w:val="32"/>
        </w:rPr>
        <w:t>重点建设工程</w:t>
      </w:r>
    </w:p>
    <w:p>
      <w:pPr>
        <w:keepNext w:val="0"/>
        <w:keepLines w:val="0"/>
        <w:pageBreakBefore w:val="0"/>
        <w:kinsoku/>
        <w:wordWrap/>
        <w:overflowPunct/>
        <w:topLinePunct w:val="0"/>
        <w:autoSpaceDE/>
        <w:autoSpaceDN/>
        <w:bidi w:val="0"/>
        <w:spacing w:line="500" w:lineRule="exact"/>
        <w:ind w:firstLine="640" w:firstLineChars="200"/>
        <w:textAlignment w:val="auto"/>
        <w:rPr>
          <w:rFonts w:ascii="仿宋" w:hAnsi="仿宋" w:eastAsia="仿宋" w:cs="仿宋"/>
          <w:sz w:val="32"/>
          <w:szCs w:val="32"/>
        </w:rPr>
      </w:pPr>
      <w:r>
        <w:rPr>
          <w:rFonts w:hint="eastAsia" w:ascii="仿宋" w:hAnsi="仿宋" w:eastAsia="仿宋" w:cs="仿宋"/>
          <w:kern w:val="0"/>
          <w:sz w:val="32"/>
          <w:szCs w:val="32"/>
        </w:rPr>
        <w:t>对列入正面清单的重点建设工程，</w:t>
      </w:r>
      <w:r>
        <w:rPr>
          <w:rFonts w:hint="eastAsia" w:ascii="仿宋" w:hAnsi="仿宋" w:eastAsia="仿宋" w:cs="仿宋"/>
          <w:sz w:val="32"/>
          <w:szCs w:val="32"/>
        </w:rPr>
        <w:t>应达到八条扬尘污染治理达标验收标准，即:施工工地做到“六个百分百”（工地周边围挡100%、物料堆放苫盖100%、出入车辆冲洗100%、施工地面硬化100%、拆迁湿法作业100%、渣土密闭运输100%），实现“两个全覆盖”（视频监控、PM</w:t>
      </w:r>
      <w:r>
        <w:rPr>
          <w:rFonts w:hint="eastAsia" w:ascii="仿宋" w:hAnsi="仿宋" w:eastAsia="仿宋" w:cs="仿宋"/>
          <w:sz w:val="32"/>
          <w:szCs w:val="32"/>
          <w:vertAlign w:val="baseline"/>
          <w:lang w:val="en-US" w:eastAsia="zh-CN"/>
        </w:rPr>
        <w:t>10</w:t>
      </w:r>
      <w:r>
        <w:rPr>
          <w:rFonts w:hint="eastAsia" w:ascii="仿宋" w:hAnsi="仿宋" w:eastAsia="仿宋" w:cs="仿宋"/>
          <w:sz w:val="32"/>
          <w:szCs w:val="32"/>
        </w:rPr>
        <w:t>在线监测设备安装并联网），扬尘污染物达标排放，土石方作业雾炮全覆盖，结构施工作业区目测扬尘高度小于0.5米，设立专业扬尘管理监督员，工程主体作业层防尘网全封闭，建筑物内干净整洁、无浮尘。</w:t>
      </w:r>
    </w:p>
    <w:p>
      <w:pPr>
        <w:keepNext w:val="0"/>
        <w:keepLines w:val="0"/>
        <w:pageBreakBefore w:val="0"/>
        <w:widowControl/>
        <w:kinsoku/>
        <w:wordWrap/>
        <w:overflowPunct/>
        <w:topLinePunct w:val="0"/>
        <w:autoSpaceDE/>
        <w:autoSpaceDN/>
        <w:bidi w:val="0"/>
        <w:spacing w:line="500" w:lineRule="exact"/>
        <w:ind w:firstLine="641"/>
        <w:textAlignment w:val="auto"/>
        <w:rPr>
          <w:rFonts w:ascii="仿宋" w:hAnsi="仿宋" w:eastAsia="仿宋" w:cs="仿宋"/>
          <w:b/>
          <w:bCs/>
          <w:kern w:val="0"/>
          <w:sz w:val="32"/>
          <w:szCs w:val="32"/>
        </w:rPr>
      </w:pPr>
      <w:r>
        <w:rPr>
          <w:rFonts w:hint="eastAsia" w:ascii="仿宋" w:hAnsi="仿宋" w:eastAsia="仿宋" w:cs="仿宋"/>
          <w:b/>
          <w:bCs/>
          <w:kern w:val="0"/>
          <w:sz w:val="32"/>
          <w:szCs w:val="32"/>
          <w:lang w:val="en-US" w:eastAsia="zh-CN"/>
        </w:rPr>
        <w:t>3.</w:t>
      </w:r>
      <w:r>
        <w:rPr>
          <w:rFonts w:hint="eastAsia" w:ascii="仿宋" w:hAnsi="仿宋" w:eastAsia="仿宋" w:cs="仿宋"/>
          <w:b/>
          <w:bCs/>
          <w:kern w:val="0"/>
          <w:sz w:val="32"/>
          <w:szCs w:val="32"/>
        </w:rPr>
        <w:t>保障类企业</w:t>
      </w:r>
    </w:p>
    <w:p>
      <w:pPr>
        <w:keepNext w:val="0"/>
        <w:keepLines w:val="0"/>
        <w:pageBreakBefore w:val="0"/>
        <w:widowControl/>
        <w:kinsoku/>
        <w:wordWrap/>
        <w:overflowPunct/>
        <w:topLinePunct w:val="0"/>
        <w:autoSpaceDE/>
        <w:autoSpaceDN/>
        <w:bidi w:val="0"/>
        <w:spacing w:line="500" w:lineRule="exact"/>
        <w:ind w:firstLine="641"/>
        <w:textAlignment w:val="auto"/>
        <w:rPr>
          <w:rFonts w:ascii="仿宋" w:hAnsi="仿宋" w:eastAsia="仿宋" w:cs="仿宋"/>
          <w:kern w:val="0"/>
          <w:sz w:val="32"/>
          <w:szCs w:val="32"/>
        </w:rPr>
      </w:pPr>
      <w:r>
        <w:rPr>
          <w:rFonts w:hint="eastAsia" w:ascii="仿宋" w:hAnsi="仿宋" w:eastAsia="仿宋" w:cs="仿宋"/>
          <w:kern w:val="0"/>
          <w:sz w:val="32"/>
          <w:szCs w:val="32"/>
        </w:rPr>
        <w:t>保障类企业包括涉及居民供暖、协同处置城市生活垃圾和危险废物等保民生企业，以及涉军、涉政生产类企业，为纳入正面清单的工业企业和重点建设工程提供保障的工业企业。此类企业应实施“以热定产”、“以量定产”，根据其承担的任务量和供暖面积等参数，核定最大允许生产负荷，科学制定应急减排措施。</w:t>
      </w:r>
    </w:p>
    <w:p>
      <w:pPr>
        <w:keepNext w:val="0"/>
        <w:keepLines w:val="0"/>
        <w:pageBreakBefore w:val="0"/>
        <w:widowControl/>
        <w:kinsoku/>
        <w:wordWrap/>
        <w:overflowPunct/>
        <w:topLinePunct w:val="0"/>
        <w:autoSpaceDE/>
        <w:autoSpaceDN/>
        <w:bidi w:val="0"/>
        <w:spacing w:line="500" w:lineRule="exact"/>
        <w:ind w:firstLine="641"/>
        <w:textAlignment w:val="auto"/>
        <w:rPr>
          <w:rFonts w:ascii="仿宋" w:hAnsi="仿宋" w:eastAsia="仿宋" w:cs="仿宋"/>
          <w:kern w:val="0"/>
          <w:sz w:val="32"/>
          <w:szCs w:val="32"/>
        </w:rPr>
      </w:pPr>
      <w:r>
        <w:rPr>
          <w:rFonts w:hint="eastAsia" w:ascii="仿宋" w:hAnsi="仿宋" w:eastAsia="仿宋" w:cs="仿宋"/>
          <w:kern w:val="0"/>
          <w:sz w:val="32"/>
          <w:szCs w:val="32"/>
        </w:rPr>
        <w:t>原则上，此类企业应达到 B 级绩效分级水平。对未参与评级的保障类企业，需是运营手续齐全、环保管理规范、污染治理设施完善的优质企业，本着环保标准从高从严、污染防治措施从严从细的原则，严格落实大气污染防治要求。保障类企业在预警期间仅准许从事特定保障任务的生产经营。如保障类企业超出允许生产经营范围、保障类工程未做到绿色施工相关要求的，一经发现，应立即移出保障类清单。</w:t>
      </w:r>
    </w:p>
    <w:p>
      <w:pPr>
        <w:keepNext w:val="0"/>
        <w:keepLines w:val="0"/>
        <w:pageBreakBefore w:val="0"/>
        <w:widowControl/>
        <w:kinsoku/>
        <w:wordWrap/>
        <w:overflowPunct/>
        <w:topLinePunct w:val="0"/>
        <w:autoSpaceDE/>
        <w:autoSpaceDN/>
        <w:bidi w:val="0"/>
        <w:spacing w:line="500" w:lineRule="exact"/>
        <w:ind w:firstLine="641"/>
        <w:textAlignment w:val="auto"/>
        <w:rPr>
          <w:rFonts w:ascii="仿宋" w:hAnsi="仿宋" w:eastAsia="仿宋" w:cs="仿宋"/>
          <w:b/>
          <w:bCs/>
          <w:kern w:val="0"/>
          <w:sz w:val="32"/>
          <w:szCs w:val="32"/>
        </w:rPr>
      </w:pPr>
      <w:r>
        <w:rPr>
          <w:rFonts w:hint="eastAsia" w:ascii="仿宋" w:hAnsi="仿宋" w:eastAsia="仿宋" w:cs="仿宋"/>
          <w:b/>
          <w:bCs/>
          <w:kern w:val="0"/>
          <w:sz w:val="32"/>
          <w:szCs w:val="32"/>
          <w:lang w:val="en-US" w:eastAsia="zh-CN"/>
        </w:rPr>
        <w:t>4.</w:t>
      </w:r>
      <w:r>
        <w:rPr>
          <w:rFonts w:hint="eastAsia" w:ascii="仿宋" w:hAnsi="仿宋" w:eastAsia="仿宋" w:cs="仿宋"/>
          <w:b/>
          <w:bCs/>
          <w:kern w:val="0"/>
          <w:sz w:val="32"/>
          <w:szCs w:val="32"/>
        </w:rPr>
        <w:t xml:space="preserve">保障类车辆 </w:t>
      </w:r>
    </w:p>
    <w:p>
      <w:pPr>
        <w:keepNext w:val="0"/>
        <w:keepLines w:val="0"/>
        <w:pageBreakBefore w:val="0"/>
        <w:widowControl/>
        <w:kinsoku/>
        <w:wordWrap/>
        <w:overflowPunct/>
        <w:topLinePunct w:val="0"/>
        <w:autoSpaceDE/>
        <w:autoSpaceDN/>
        <w:bidi w:val="0"/>
        <w:spacing w:line="500" w:lineRule="exact"/>
        <w:ind w:firstLine="641"/>
        <w:textAlignment w:val="auto"/>
        <w:rPr>
          <w:rFonts w:ascii="仿宋" w:hAnsi="仿宋" w:eastAsia="仿宋" w:cs="仿宋"/>
          <w:kern w:val="0"/>
          <w:sz w:val="32"/>
          <w:szCs w:val="32"/>
        </w:rPr>
      </w:pPr>
      <w:r>
        <w:rPr>
          <w:rFonts w:hint="eastAsia" w:ascii="仿宋" w:hAnsi="仿宋" w:eastAsia="仿宋" w:cs="仿宋"/>
          <w:kern w:val="0"/>
          <w:sz w:val="32"/>
          <w:szCs w:val="32"/>
        </w:rPr>
        <w:t>保障类车辆包括保障民生和城市正常运行的运输车辆、为正面清单的工业企业和重点建设工程运输物料的车辆等。原则上，使用重型载货车辆的保障类车辆，禁止使用国四及以下车辆（含燃气）进行物料运输（运送氨水等危化品车辆除外）。</w:t>
      </w:r>
    </w:p>
    <w:p>
      <w:pPr>
        <w:keepNext w:val="0"/>
        <w:keepLines w:val="0"/>
        <w:pageBreakBefore w:val="0"/>
        <w:widowControl/>
        <w:kinsoku/>
        <w:wordWrap/>
        <w:overflowPunct/>
        <w:topLinePunct w:val="0"/>
        <w:autoSpaceDE/>
        <w:autoSpaceDN/>
        <w:bidi w:val="0"/>
        <w:spacing w:line="500" w:lineRule="exact"/>
        <w:ind w:firstLine="643" w:firstLineChars="200"/>
        <w:textAlignment w:val="auto"/>
        <w:rPr>
          <w:rFonts w:hint="eastAsia" w:ascii="楷体" w:hAnsi="楷体" w:eastAsia="楷体" w:cs="楷体"/>
          <w:b/>
          <w:bCs/>
          <w:kern w:val="0"/>
          <w:sz w:val="32"/>
          <w:szCs w:val="32"/>
        </w:rPr>
      </w:pPr>
      <w:r>
        <w:rPr>
          <w:rFonts w:hint="eastAsia" w:ascii="楷体" w:hAnsi="楷体" w:eastAsia="楷体" w:cs="楷体"/>
          <w:b/>
          <w:bCs/>
          <w:kern w:val="0"/>
          <w:sz w:val="32"/>
          <w:szCs w:val="32"/>
        </w:rPr>
        <w:t>（五）严防“一刀切”</w:t>
      </w:r>
    </w:p>
    <w:p>
      <w:pPr>
        <w:keepNext w:val="0"/>
        <w:keepLines w:val="0"/>
        <w:pageBreakBefore w:val="0"/>
        <w:widowControl/>
        <w:kinsoku/>
        <w:wordWrap/>
        <w:overflowPunct/>
        <w:topLinePunct w:val="0"/>
        <w:autoSpaceDE/>
        <w:autoSpaceDN/>
        <w:bidi w:val="0"/>
        <w:spacing w:line="500" w:lineRule="exact"/>
        <w:ind w:firstLine="640"/>
        <w:textAlignment w:val="auto"/>
        <w:rPr>
          <w:rFonts w:hint="eastAsia" w:ascii="仿宋" w:hAnsi="仿宋" w:eastAsia="仿宋" w:cs="仿宋"/>
          <w:kern w:val="0"/>
          <w:sz w:val="32"/>
          <w:szCs w:val="32"/>
        </w:rPr>
      </w:pPr>
      <w:r>
        <w:rPr>
          <w:rFonts w:hint="eastAsia" w:ascii="仿宋" w:hAnsi="仿宋" w:eastAsia="仿宋" w:cs="仿宋"/>
          <w:kern w:val="0"/>
          <w:sz w:val="32"/>
          <w:szCs w:val="32"/>
        </w:rPr>
        <w:t>预案修订，应结合本地实际和重污染天气应对工作经验，按照生态环境部和省、市大气办工作要求，细化工业企业应急响应措施，完善“一厂（场）一策”工作内容，严防“一刀切”式的停限产方式。</w:t>
      </w:r>
    </w:p>
    <w:p>
      <w:pPr>
        <w:keepNext w:val="0"/>
        <w:keepLines w:val="0"/>
        <w:pageBreakBefore w:val="0"/>
        <w:widowControl/>
        <w:kinsoku/>
        <w:wordWrap/>
        <w:overflowPunct/>
        <w:topLinePunct w:val="0"/>
        <w:autoSpaceDE/>
        <w:autoSpaceDN/>
        <w:bidi w:val="0"/>
        <w:spacing w:line="500" w:lineRule="exact"/>
        <w:ind w:firstLine="640"/>
        <w:textAlignment w:val="auto"/>
        <w:rPr>
          <w:rFonts w:hint="eastAsia" w:ascii="仿宋" w:hAnsi="仿宋" w:eastAsia="仿宋" w:cs="仿宋"/>
          <w:b/>
          <w:bCs/>
          <w:kern w:val="0"/>
          <w:sz w:val="32"/>
          <w:szCs w:val="32"/>
        </w:rPr>
      </w:pPr>
      <w:r>
        <w:rPr>
          <w:rFonts w:hint="eastAsia" w:ascii="仿宋" w:hAnsi="仿宋" w:eastAsia="仿宋" w:cs="仿宋"/>
          <w:b/>
          <w:bCs/>
          <w:kern w:val="0"/>
          <w:sz w:val="32"/>
          <w:szCs w:val="32"/>
        </w:rPr>
        <w:t>1.严防响应“一刀切”</w:t>
      </w:r>
    </w:p>
    <w:p>
      <w:pPr>
        <w:keepNext w:val="0"/>
        <w:keepLines w:val="0"/>
        <w:pageBreakBefore w:val="0"/>
        <w:widowControl/>
        <w:kinsoku/>
        <w:wordWrap/>
        <w:overflowPunct/>
        <w:topLinePunct w:val="0"/>
        <w:autoSpaceDE/>
        <w:autoSpaceDN/>
        <w:bidi w:val="0"/>
        <w:spacing w:line="500" w:lineRule="exact"/>
        <w:ind w:firstLine="640"/>
        <w:textAlignment w:val="auto"/>
        <w:rPr>
          <w:rFonts w:hint="eastAsia" w:ascii="仿宋" w:hAnsi="仿宋" w:eastAsia="仿宋" w:cs="仿宋"/>
          <w:kern w:val="0"/>
          <w:sz w:val="32"/>
          <w:szCs w:val="32"/>
        </w:rPr>
      </w:pPr>
      <w:r>
        <w:rPr>
          <w:rFonts w:hint="eastAsia" w:ascii="仿宋" w:hAnsi="仿宋" w:eastAsia="仿宋" w:cs="仿宋"/>
          <w:kern w:val="0"/>
          <w:sz w:val="32"/>
          <w:szCs w:val="32"/>
        </w:rPr>
        <w:t>应急响应时，按要求采取应急响应措施，当污染达到相应级别时，再采取公众防护措施，公众防护措施和强制性减排措施可分开执行。</w:t>
      </w:r>
    </w:p>
    <w:p>
      <w:pPr>
        <w:keepNext w:val="0"/>
        <w:keepLines w:val="0"/>
        <w:pageBreakBefore w:val="0"/>
        <w:widowControl/>
        <w:kinsoku/>
        <w:wordWrap/>
        <w:overflowPunct/>
        <w:topLinePunct w:val="0"/>
        <w:autoSpaceDE/>
        <w:autoSpaceDN/>
        <w:bidi w:val="0"/>
        <w:spacing w:line="500" w:lineRule="exact"/>
        <w:ind w:firstLine="640"/>
        <w:textAlignment w:val="auto"/>
        <w:rPr>
          <w:rFonts w:hint="eastAsia" w:ascii="仿宋" w:hAnsi="仿宋" w:eastAsia="仿宋" w:cs="仿宋"/>
          <w:b/>
          <w:bCs/>
          <w:kern w:val="0"/>
          <w:sz w:val="32"/>
          <w:szCs w:val="32"/>
        </w:rPr>
      </w:pPr>
      <w:r>
        <w:rPr>
          <w:rFonts w:hint="eastAsia" w:ascii="仿宋" w:hAnsi="仿宋" w:eastAsia="仿宋" w:cs="仿宋"/>
          <w:b/>
          <w:bCs/>
          <w:kern w:val="0"/>
          <w:sz w:val="32"/>
          <w:szCs w:val="32"/>
        </w:rPr>
        <w:t>2.严防限行“一刀切”</w:t>
      </w:r>
    </w:p>
    <w:p>
      <w:pPr>
        <w:keepNext w:val="0"/>
        <w:keepLines w:val="0"/>
        <w:pageBreakBefore w:val="0"/>
        <w:widowControl/>
        <w:kinsoku/>
        <w:wordWrap/>
        <w:overflowPunct/>
        <w:topLinePunct w:val="0"/>
        <w:autoSpaceDE/>
        <w:autoSpaceDN/>
        <w:bidi w:val="0"/>
        <w:spacing w:line="500" w:lineRule="exact"/>
        <w:ind w:firstLine="640"/>
        <w:textAlignment w:val="auto"/>
        <w:rPr>
          <w:rFonts w:hint="eastAsia" w:ascii="仿宋" w:hAnsi="仿宋" w:eastAsia="仿宋" w:cs="仿宋"/>
          <w:kern w:val="0"/>
          <w:sz w:val="32"/>
          <w:szCs w:val="32"/>
        </w:rPr>
      </w:pPr>
      <w:r>
        <w:rPr>
          <w:rFonts w:hint="eastAsia" w:ascii="仿宋" w:hAnsi="仿宋" w:eastAsia="仿宋" w:cs="仿宋"/>
          <w:kern w:val="0"/>
          <w:sz w:val="32"/>
          <w:szCs w:val="32"/>
        </w:rPr>
        <w:t>县城主城区机动车采取2个车牌尾号一组轮换限行,限行车辆尾号与北京市保持一致，每日的限行时间为早7：00至晚20：00，法定节假日和公休日不限行。原则上，不得采取单双号限行措施。重污染天气橙色及以上预警期间，加大公共交通运力，有条件时可减免公交乘车费用。在应急响应车辆限行措施中，不包括军队、警务、环境执法、消防、急救、抢险、邮政（快递）、保险勘验救援、民生保障、环卫作业车辆和单位通勤车、公交车、出租车、清洁能源汽车、残疾人专用车及其他特定车辆。</w:t>
      </w:r>
    </w:p>
    <w:p>
      <w:pPr>
        <w:keepNext w:val="0"/>
        <w:keepLines w:val="0"/>
        <w:pageBreakBefore w:val="0"/>
        <w:widowControl/>
        <w:kinsoku/>
        <w:wordWrap/>
        <w:overflowPunct/>
        <w:topLinePunct w:val="0"/>
        <w:autoSpaceDE/>
        <w:autoSpaceDN/>
        <w:bidi w:val="0"/>
        <w:spacing w:line="500" w:lineRule="exact"/>
        <w:ind w:firstLine="643" w:firstLineChars="200"/>
        <w:textAlignment w:val="auto"/>
        <w:rPr>
          <w:rFonts w:hint="eastAsia" w:ascii="仿宋" w:hAnsi="仿宋" w:eastAsia="仿宋" w:cs="仿宋"/>
          <w:b/>
          <w:bCs/>
          <w:kern w:val="0"/>
          <w:sz w:val="32"/>
          <w:szCs w:val="32"/>
        </w:rPr>
      </w:pPr>
      <w:r>
        <w:rPr>
          <w:rFonts w:hint="eastAsia" w:ascii="仿宋" w:hAnsi="仿宋" w:eastAsia="仿宋" w:cs="仿宋"/>
          <w:b/>
          <w:bCs/>
          <w:kern w:val="0"/>
          <w:sz w:val="32"/>
          <w:szCs w:val="32"/>
        </w:rPr>
        <w:t>3.严防措施“一刀切”</w:t>
      </w:r>
    </w:p>
    <w:p>
      <w:pPr>
        <w:keepNext w:val="0"/>
        <w:keepLines w:val="0"/>
        <w:pageBreakBefore w:val="0"/>
        <w:widowControl/>
        <w:kinsoku/>
        <w:wordWrap/>
        <w:overflowPunct/>
        <w:topLinePunct w:val="0"/>
        <w:autoSpaceDE/>
        <w:autoSpaceDN/>
        <w:bidi w:val="0"/>
        <w:spacing w:line="500" w:lineRule="exact"/>
        <w:ind w:firstLine="640" w:firstLineChars="200"/>
        <w:textAlignment w:val="auto"/>
        <w:rPr>
          <w:rFonts w:hint="eastAsia" w:ascii="仿宋" w:hAnsi="仿宋" w:eastAsia="仿宋" w:cs="仿宋"/>
          <w:kern w:val="0"/>
          <w:sz w:val="32"/>
          <w:szCs w:val="32"/>
        </w:rPr>
      </w:pPr>
      <w:r>
        <w:rPr>
          <w:rFonts w:hint="eastAsia" w:ascii="仿宋" w:hAnsi="仿宋" w:eastAsia="仿宋" w:cs="仿宋"/>
          <w:kern w:val="0"/>
          <w:sz w:val="32"/>
          <w:szCs w:val="32"/>
        </w:rPr>
        <w:t>炭素、石灰窑、玻璃等生产工序不可中断、且在减排措施落实过程中污染物排放浓度波动较大，排放浓度不能稳定达标的企业，或短时间内难以完全停产的行业，应预先调整生产计划，确保在预警期间能够按照相关要求，有效落实应急减排措施。</w:t>
      </w:r>
    </w:p>
    <w:p>
      <w:pPr>
        <w:keepNext w:val="0"/>
        <w:keepLines w:val="0"/>
        <w:pageBreakBefore w:val="0"/>
        <w:widowControl/>
        <w:kinsoku/>
        <w:wordWrap/>
        <w:overflowPunct/>
        <w:topLinePunct w:val="0"/>
        <w:autoSpaceDE/>
        <w:autoSpaceDN/>
        <w:bidi w:val="0"/>
        <w:spacing w:line="500" w:lineRule="exact"/>
        <w:ind w:firstLine="640" w:firstLineChars="200"/>
        <w:textAlignment w:val="auto"/>
        <w:rPr>
          <w:rFonts w:hint="eastAsia" w:ascii="仿宋" w:hAnsi="仿宋" w:eastAsia="仿宋" w:cs="仿宋"/>
          <w:kern w:val="0"/>
          <w:sz w:val="32"/>
          <w:szCs w:val="32"/>
        </w:rPr>
      </w:pPr>
      <w:r>
        <w:rPr>
          <w:rFonts w:hint="eastAsia" w:ascii="仿宋" w:hAnsi="仿宋" w:eastAsia="仿宋" w:cs="仿宋"/>
          <w:kern w:val="0"/>
          <w:sz w:val="32"/>
          <w:szCs w:val="32"/>
        </w:rPr>
        <w:t>对国家和省、市未明确应急减排措施的行业，可根据行业排放水平、对周边人群健康影响程度和当地空气质量改善目标情况，自行制定应急减排措施。原则上，在满足减排比例的情况下，避免对涉民生和小微涉气企业采取停限产措施；难以满足减排比例时，可对协同处置固废危废、垃圾发电（存贮空间允许情况下），</w:t>
      </w:r>
      <w:r>
        <w:rPr>
          <w:rFonts w:hint="eastAsia" w:ascii="仿宋" w:hAnsi="仿宋" w:eastAsia="仿宋" w:cs="仿宋"/>
          <w:sz w:val="32"/>
          <w:szCs w:val="32"/>
        </w:rPr>
        <w:t>以及小微涉气企业适度采取应急减排措施。在制定应急减排措施时，</w:t>
      </w:r>
      <w:r>
        <w:rPr>
          <w:rFonts w:hint="eastAsia" w:ascii="仿宋" w:hAnsi="仿宋" w:eastAsia="仿宋" w:cs="仿宋"/>
          <w:kern w:val="0"/>
          <w:sz w:val="32"/>
          <w:szCs w:val="32"/>
        </w:rPr>
        <w:t>应避免对居民供暖锅炉和对当地空气质量影响小的餐饮、洗涤、修理等生活服务业采取停限产措施，严禁简单粗暴“一刀切”式的停限产方式。</w:t>
      </w:r>
    </w:p>
    <w:p>
      <w:pPr>
        <w:keepNext w:val="0"/>
        <w:keepLines w:val="0"/>
        <w:pageBreakBefore w:val="0"/>
        <w:widowControl/>
        <w:kinsoku/>
        <w:wordWrap/>
        <w:overflowPunct/>
        <w:topLinePunct w:val="0"/>
        <w:autoSpaceDE/>
        <w:autoSpaceDN/>
        <w:bidi w:val="0"/>
        <w:spacing w:line="500" w:lineRule="exact"/>
        <w:ind w:firstLine="643" w:firstLineChars="200"/>
        <w:textAlignment w:val="auto"/>
        <w:rPr>
          <w:rFonts w:hint="eastAsia" w:ascii="楷体" w:hAnsi="楷体" w:eastAsia="楷体" w:cs="楷体"/>
          <w:b/>
          <w:bCs/>
          <w:kern w:val="0"/>
          <w:sz w:val="32"/>
          <w:szCs w:val="32"/>
        </w:rPr>
      </w:pPr>
      <w:r>
        <w:rPr>
          <w:rFonts w:hint="eastAsia" w:ascii="楷体" w:hAnsi="楷体" w:eastAsia="楷体" w:cs="楷体"/>
          <w:b/>
          <w:bCs/>
          <w:kern w:val="0"/>
          <w:sz w:val="32"/>
          <w:szCs w:val="32"/>
        </w:rPr>
        <w:t>（六）企业“一厂一策”实施方案编制</w:t>
      </w:r>
    </w:p>
    <w:p>
      <w:pPr>
        <w:pStyle w:val="22"/>
        <w:keepNext w:val="0"/>
        <w:keepLines w:val="0"/>
        <w:pageBreakBefore w:val="0"/>
        <w:kinsoku/>
        <w:wordWrap/>
        <w:overflowPunct/>
        <w:topLinePunct w:val="0"/>
        <w:autoSpaceDE/>
        <w:autoSpaceDN/>
        <w:bidi w:val="0"/>
        <w:spacing w:before="0" w:after="0" w:line="500" w:lineRule="exact"/>
        <w:ind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指导纳入应急减排清单的工业企业应制定“一厂一策”实施方案。实施方案包含企业基本情况、主要生产工艺流程、主要涉气产排污环节及污染物排放情况（含重型运输车辆及非道路移动机械），并阐明不同级别预警下的应急减排措施，明确具体停产的生产线、工艺环节和各类减排措施的关键性指标（如天然气用量、用电量等）、应急准备时间，细化具体减排工序责任人及联系方式等。其中，对于简易工序或重污染预警期间实施全厂、整条生产线停产和轮流停产的工业企业，可只制定“公示牌”。对于生产工序不可中断，通过采取提高治污效率、限制生产负荷等措施减排的重点排污企业，需安装烟气排放自动监控设施（CEMS），并提供分布式控制系统（DCS）一年以上数据记录，自证达到减排比例要求（新安装CEMS和DCS，或验收不满一年的企业，数据记录应具备保存一年以上的能力）。采用轮流停产方式达到停产比例要求的，原则上轮流停产批次不应超过3批。</w:t>
      </w:r>
    </w:p>
    <w:p>
      <w:pPr>
        <w:keepNext w:val="0"/>
        <w:keepLines w:val="0"/>
        <w:pageBreakBefore w:val="0"/>
        <w:widowControl/>
        <w:kinsoku/>
        <w:wordWrap/>
        <w:overflowPunct/>
        <w:topLinePunct w:val="0"/>
        <w:autoSpaceDE/>
        <w:autoSpaceDN/>
        <w:bidi w:val="0"/>
        <w:spacing w:line="500" w:lineRule="exact"/>
        <w:ind w:firstLine="640" w:firstLineChars="200"/>
        <w:textAlignment w:val="auto"/>
        <w:rPr>
          <w:rFonts w:hint="eastAsia" w:ascii="仿宋" w:hAnsi="仿宋" w:eastAsia="仿宋" w:cs="仿宋"/>
          <w:kern w:val="0"/>
          <w:sz w:val="32"/>
          <w:szCs w:val="32"/>
        </w:rPr>
      </w:pPr>
      <w:r>
        <w:rPr>
          <w:rFonts w:hint="eastAsia" w:ascii="仿宋" w:hAnsi="仿宋" w:eastAsia="仿宋" w:cs="仿宋"/>
          <w:kern w:val="0"/>
          <w:sz w:val="32"/>
          <w:szCs w:val="32"/>
        </w:rPr>
        <w:t>应急准备时间是指，工业企业根据生产工艺特点，在安全生产许可情况下，应急减排措施开始实施到应急减排措施落实到位所需要的时间。</w:t>
      </w:r>
    </w:p>
    <w:p>
      <w:pPr>
        <w:keepNext w:val="0"/>
        <w:keepLines w:val="0"/>
        <w:pageBreakBefore w:val="0"/>
        <w:widowControl/>
        <w:shd w:val="clear" w:color="auto" w:fill="FFFFFF"/>
        <w:kinsoku/>
        <w:wordWrap/>
        <w:overflowPunct/>
        <w:topLinePunct w:val="0"/>
        <w:autoSpaceDE/>
        <w:autoSpaceDN/>
        <w:bidi w:val="0"/>
        <w:spacing w:line="500" w:lineRule="exact"/>
        <w:ind w:firstLine="640"/>
        <w:textAlignment w:val="auto"/>
        <w:rPr>
          <w:rFonts w:ascii="黑体" w:hAnsi="黑体" w:eastAsia="黑体" w:cs="黑体"/>
          <w:kern w:val="0"/>
          <w:sz w:val="32"/>
          <w:szCs w:val="32"/>
        </w:rPr>
      </w:pPr>
      <w:r>
        <w:rPr>
          <w:rFonts w:hint="eastAsia" w:ascii="黑体" w:hAnsi="黑体" w:eastAsia="黑体" w:cs="黑体"/>
          <w:kern w:val="0"/>
          <w:sz w:val="32"/>
          <w:szCs w:val="32"/>
        </w:rPr>
        <w:t>六、应急响应措施</w:t>
      </w:r>
    </w:p>
    <w:p>
      <w:pPr>
        <w:keepNext w:val="0"/>
        <w:keepLines w:val="0"/>
        <w:pageBreakBefore w:val="0"/>
        <w:widowControl/>
        <w:shd w:val="clear" w:color="auto" w:fill="FFFFFF"/>
        <w:kinsoku/>
        <w:wordWrap/>
        <w:overflowPunct/>
        <w:topLinePunct w:val="0"/>
        <w:autoSpaceDE/>
        <w:autoSpaceDN/>
        <w:bidi w:val="0"/>
        <w:spacing w:line="500" w:lineRule="exact"/>
        <w:ind w:firstLine="640"/>
        <w:textAlignment w:val="auto"/>
        <w:rPr>
          <w:rFonts w:hint="eastAsia" w:ascii="楷体" w:hAnsi="楷体" w:eastAsia="楷体" w:cs="楷体"/>
          <w:b/>
          <w:bCs/>
          <w:kern w:val="0"/>
          <w:sz w:val="32"/>
          <w:szCs w:val="32"/>
          <w:lang w:eastAsia="zh-CN"/>
        </w:rPr>
      </w:pPr>
      <w:r>
        <w:rPr>
          <w:rFonts w:hint="eastAsia" w:ascii="楷体" w:hAnsi="楷体" w:eastAsia="楷体" w:cs="楷体"/>
          <w:b/>
          <w:bCs/>
          <w:kern w:val="0"/>
          <w:sz w:val="32"/>
          <w:szCs w:val="32"/>
        </w:rPr>
        <w:t>（一）应急响应分级及</w:t>
      </w:r>
      <w:r>
        <w:rPr>
          <w:rFonts w:hint="eastAsia" w:ascii="楷体" w:hAnsi="楷体" w:eastAsia="楷体" w:cs="楷体"/>
          <w:b/>
          <w:bCs/>
          <w:kern w:val="0"/>
          <w:sz w:val="32"/>
          <w:szCs w:val="32"/>
          <w:lang w:eastAsia="zh-CN"/>
        </w:rPr>
        <w:t>启动</w:t>
      </w:r>
    </w:p>
    <w:p>
      <w:pPr>
        <w:keepNext w:val="0"/>
        <w:keepLines w:val="0"/>
        <w:pageBreakBefore w:val="0"/>
        <w:widowControl/>
        <w:shd w:val="clear" w:color="auto" w:fill="FFFFFF"/>
        <w:kinsoku/>
        <w:wordWrap/>
        <w:overflowPunct/>
        <w:topLinePunct w:val="0"/>
        <w:autoSpaceDE/>
        <w:autoSpaceDN/>
        <w:bidi w:val="0"/>
        <w:spacing w:line="500" w:lineRule="exact"/>
        <w:ind w:firstLine="640"/>
        <w:textAlignment w:val="auto"/>
        <w:rPr>
          <w:rFonts w:ascii="仿宋" w:hAnsi="仿宋" w:eastAsia="仿宋" w:cs="仿宋"/>
          <w:kern w:val="0"/>
          <w:sz w:val="32"/>
          <w:szCs w:val="32"/>
        </w:rPr>
      </w:pPr>
      <w:r>
        <w:rPr>
          <w:rFonts w:hint="eastAsia" w:ascii="仿宋" w:hAnsi="仿宋" w:eastAsia="仿宋" w:cs="仿宋"/>
          <w:kern w:val="0"/>
          <w:sz w:val="32"/>
          <w:szCs w:val="32"/>
        </w:rPr>
        <w:t>应急响应分为三个等级，由低到高顺序依次为Ⅲ级应急响应、Ⅱ级应急响应、Ⅰ级应急响应。</w:t>
      </w:r>
    </w:p>
    <w:p>
      <w:pPr>
        <w:keepNext w:val="0"/>
        <w:keepLines w:val="0"/>
        <w:pageBreakBefore w:val="0"/>
        <w:widowControl/>
        <w:shd w:val="clear" w:color="auto" w:fill="FFFFFF"/>
        <w:kinsoku/>
        <w:wordWrap/>
        <w:overflowPunct/>
        <w:topLinePunct w:val="0"/>
        <w:autoSpaceDE/>
        <w:autoSpaceDN/>
        <w:bidi w:val="0"/>
        <w:spacing w:line="500" w:lineRule="exact"/>
        <w:ind w:firstLine="640"/>
        <w:textAlignment w:val="auto"/>
        <w:rPr>
          <w:rFonts w:ascii="仿宋" w:hAnsi="仿宋" w:eastAsia="仿宋" w:cs="仿宋"/>
          <w:kern w:val="0"/>
          <w:sz w:val="32"/>
          <w:szCs w:val="32"/>
        </w:rPr>
      </w:pPr>
      <w:r>
        <w:rPr>
          <w:rFonts w:hint="eastAsia" w:ascii="仿宋" w:hAnsi="仿宋" w:eastAsia="仿宋" w:cs="仿宋"/>
          <w:kern w:val="0"/>
          <w:sz w:val="32"/>
          <w:szCs w:val="32"/>
        </w:rPr>
        <w:t>当发布黄色预警信息时，启动Ⅲ级响应；</w:t>
      </w:r>
    </w:p>
    <w:p>
      <w:pPr>
        <w:keepNext w:val="0"/>
        <w:keepLines w:val="0"/>
        <w:pageBreakBefore w:val="0"/>
        <w:widowControl/>
        <w:shd w:val="clear" w:color="auto" w:fill="FFFFFF"/>
        <w:kinsoku/>
        <w:wordWrap/>
        <w:overflowPunct/>
        <w:topLinePunct w:val="0"/>
        <w:autoSpaceDE/>
        <w:autoSpaceDN/>
        <w:bidi w:val="0"/>
        <w:spacing w:line="500" w:lineRule="exact"/>
        <w:ind w:firstLine="640"/>
        <w:textAlignment w:val="auto"/>
        <w:rPr>
          <w:rFonts w:ascii="仿宋" w:hAnsi="仿宋" w:eastAsia="仿宋" w:cs="仿宋"/>
          <w:kern w:val="0"/>
          <w:sz w:val="32"/>
          <w:szCs w:val="32"/>
        </w:rPr>
      </w:pPr>
      <w:r>
        <w:rPr>
          <w:rFonts w:hint="eastAsia" w:ascii="仿宋" w:hAnsi="仿宋" w:eastAsia="仿宋" w:cs="仿宋"/>
          <w:kern w:val="0"/>
          <w:sz w:val="32"/>
          <w:szCs w:val="32"/>
        </w:rPr>
        <w:t>当发布橙色预警信息时，启动Ⅱ级响应；</w:t>
      </w:r>
    </w:p>
    <w:p>
      <w:pPr>
        <w:keepNext w:val="0"/>
        <w:keepLines w:val="0"/>
        <w:pageBreakBefore w:val="0"/>
        <w:widowControl/>
        <w:shd w:val="clear" w:color="auto" w:fill="FFFFFF"/>
        <w:kinsoku/>
        <w:wordWrap/>
        <w:overflowPunct/>
        <w:topLinePunct w:val="0"/>
        <w:autoSpaceDE/>
        <w:autoSpaceDN/>
        <w:bidi w:val="0"/>
        <w:spacing w:line="500" w:lineRule="exact"/>
        <w:ind w:firstLine="640"/>
        <w:textAlignment w:val="auto"/>
        <w:rPr>
          <w:rFonts w:hint="eastAsia" w:ascii="仿宋" w:hAnsi="仿宋" w:eastAsia="仿宋" w:cs="仿宋"/>
          <w:kern w:val="0"/>
          <w:sz w:val="32"/>
          <w:szCs w:val="32"/>
        </w:rPr>
      </w:pPr>
      <w:r>
        <w:rPr>
          <w:rFonts w:hint="eastAsia" w:ascii="仿宋" w:hAnsi="仿宋" w:eastAsia="仿宋" w:cs="仿宋"/>
          <w:kern w:val="0"/>
          <w:sz w:val="32"/>
          <w:szCs w:val="32"/>
        </w:rPr>
        <w:t>当发布红色预警信息时，启动Ⅰ级响应。</w:t>
      </w:r>
    </w:p>
    <w:p>
      <w:pPr>
        <w:keepNext w:val="0"/>
        <w:keepLines w:val="0"/>
        <w:pageBreakBefore w:val="0"/>
        <w:widowControl/>
        <w:shd w:val="clear" w:color="auto" w:fill="FFFFFF"/>
        <w:kinsoku/>
        <w:wordWrap/>
        <w:overflowPunct/>
        <w:topLinePunct w:val="0"/>
        <w:autoSpaceDE/>
        <w:autoSpaceDN/>
        <w:bidi w:val="0"/>
        <w:spacing w:line="500" w:lineRule="exact"/>
        <w:ind w:firstLine="640"/>
        <w:textAlignment w:val="auto"/>
        <w:rPr>
          <w:rFonts w:ascii="仿宋" w:hAnsi="仿宋" w:eastAsia="仿宋" w:cs="仿宋"/>
          <w:kern w:val="0"/>
          <w:sz w:val="32"/>
          <w:szCs w:val="32"/>
        </w:rPr>
      </w:pPr>
      <w:r>
        <w:rPr>
          <w:rFonts w:hint="eastAsia" w:ascii="仿宋" w:hAnsi="仿宋" w:eastAsia="仿宋" w:cs="仿宋"/>
          <w:kern w:val="0"/>
          <w:sz w:val="32"/>
          <w:szCs w:val="32"/>
        </w:rPr>
        <w:t>应急响应的内容包括公众防护措施、倡议性污染减排措施和强制性污染减排措施。</w:t>
      </w:r>
    </w:p>
    <w:p>
      <w:pPr>
        <w:keepNext w:val="0"/>
        <w:keepLines w:val="0"/>
        <w:pageBreakBefore w:val="0"/>
        <w:widowControl/>
        <w:shd w:val="clear" w:color="auto" w:fill="FFFFFF"/>
        <w:kinsoku/>
        <w:wordWrap/>
        <w:overflowPunct/>
        <w:topLinePunct w:val="0"/>
        <w:autoSpaceDE/>
        <w:autoSpaceDN/>
        <w:bidi w:val="0"/>
        <w:spacing w:line="500" w:lineRule="exact"/>
        <w:ind w:firstLine="640"/>
        <w:textAlignment w:val="auto"/>
        <w:rPr>
          <w:rFonts w:ascii="楷体" w:hAnsi="楷体" w:eastAsia="楷体" w:cs="楷体"/>
          <w:b/>
          <w:bCs/>
          <w:sz w:val="32"/>
          <w:szCs w:val="32"/>
        </w:rPr>
      </w:pPr>
      <w:r>
        <w:rPr>
          <w:rFonts w:hint="eastAsia" w:ascii="楷体" w:hAnsi="楷体" w:eastAsia="楷体" w:cs="楷体"/>
          <w:b/>
          <w:bCs/>
          <w:kern w:val="0"/>
          <w:sz w:val="32"/>
          <w:szCs w:val="32"/>
        </w:rPr>
        <w:t>（二）</w:t>
      </w:r>
      <w:r>
        <w:rPr>
          <w:rFonts w:hint="eastAsia" w:ascii="楷体" w:hAnsi="楷体" w:eastAsia="楷体" w:cs="楷体"/>
          <w:b/>
          <w:bCs/>
          <w:sz w:val="32"/>
          <w:szCs w:val="32"/>
        </w:rPr>
        <w:t>不同级别响应措施</w:t>
      </w:r>
    </w:p>
    <w:p>
      <w:pPr>
        <w:pStyle w:val="22"/>
        <w:keepNext w:val="0"/>
        <w:keepLines w:val="0"/>
        <w:pageBreakBefore w:val="0"/>
        <w:kinsoku/>
        <w:wordWrap/>
        <w:overflowPunct/>
        <w:topLinePunct w:val="0"/>
        <w:autoSpaceDE/>
        <w:autoSpaceDN/>
        <w:bidi w:val="0"/>
        <w:spacing w:before="0" w:after="0" w:line="500" w:lineRule="exact"/>
        <w:ind w:firstLine="643" w:firstLineChars="200"/>
        <w:jc w:val="both"/>
        <w:textAlignment w:val="auto"/>
        <w:rPr>
          <w:rFonts w:hint="eastAsia" w:ascii="仿宋" w:hAnsi="仿宋" w:eastAsia="仿宋" w:cs="仿宋"/>
          <w:b/>
          <w:bCs/>
          <w:color w:val="auto"/>
          <w:sz w:val="32"/>
          <w:szCs w:val="32"/>
        </w:rPr>
      </w:pPr>
      <w:r>
        <w:rPr>
          <w:rFonts w:hint="eastAsia" w:ascii="仿宋" w:hAnsi="仿宋" w:eastAsia="仿宋" w:cs="仿宋"/>
          <w:b/>
          <w:bCs/>
          <w:color w:val="auto"/>
          <w:sz w:val="32"/>
          <w:szCs w:val="32"/>
        </w:rPr>
        <w:t>1.Ⅲ级应急响应措施</w:t>
      </w:r>
    </w:p>
    <w:p>
      <w:pPr>
        <w:pStyle w:val="22"/>
        <w:keepNext w:val="0"/>
        <w:keepLines w:val="0"/>
        <w:pageBreakBefore w:val="0"/>
        <w:kinsoku/>
        <w:wordWrap/>
        <w:overflowPunct/>
        <w:topLinePunct w:val="0"/>
        <w:autoSpaceDE/>
        <w:autoSpaceDN/>
        <w:bidi w:val="0"/>
        <w:spacing w:before="0" w:after="0" w:line="500" w:lineRule="exact"/>
        <w:ind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（1）公众防护措施</w:t>
      </w:r>
    </w:p>
    <w:p>
      <w:pPr>
        <w:pStyle w:val="18"/>
        <w:keepNext w:val="0"/>
        <w:keepLines w:val="0"/>
        <w:pageBreakBefore w:val="0"/>
        <w:kinsoku/>
        <w:wordWrap/>
        <w:overflowPunct/>
        <w:topLinePunct w:val="0"/>
        <w:autoSpaceDE/>
        <w:autoSpaceDN/>
        <w:bidi w:val="0"/>
        <w:spacing w:before="0" w:beforeAutospacing="0" w:after="0" w:afterAutospacing="0" w:line="500" w:lineRule="exact"/>
        <w:ind w:firstLine="640"/>
        <w:jc w:val="both"/>
        <w:textAlignment w:val="auto"/>
        <w:rPr>
          <w:rFonts w:hint="eastAsia" w:ascii="仿宋" w:hAnsi="仿宋" w:eastAsia="仿宋" w:cs="仿宋"/>
          <w:sz w:val="32"/>
          <w:szCs w:val="32"/>
        </w:rPr>
      </w:pPr>
      <w:r>
        <w:rPr>
          <w:rFonts w:hint="eastAsia" w:ascii="仿宋" w:hAnsi="仿宋" w:eastAsia="仿宋" w:cs="仿宋"/>
          <w:sz w:val="32"/>
          <w:szCs w:val="32"/>
        </w:rPr>
        <w:t>①儿童、老年人和呼吸道、心脑血管病及其他慢性疾病患者尽量留在室内，避免户外活动，尽量减少开窗通风时间；医疗卫生机构加强对呼吸类疾病患者的就医指导和诊疗保障。</w:t>
      </w:r>
    </w:p>
    <w:p>
      <w:pPr>
        <w:pStyle w:val="18"/>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0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②一般人群减少或避免户外活动；室外工作、执勤、作业、活动等人员可以采取佩戴口罩、缩短户外工作时间等必要的防护措施。</w:t>
      </w:r>
    </w:p>
    <w:p>
      <w:pPr>
        <w:keepNext w:val="0"/>
        <w:keepLines w:val="0"/>
        <w:pageBreakBefore w:val="0"/>
        <w:kinsoku/>
        <w:wordWrap/>
        <w:overflowPunct/>
        <w:topLinePunct w:val="0"/>
        <w:autoSpaceDE/>
        <w:autoSpaceDN/>
        <w:bidi w:val="0"/>
        <w:adjustRightInd w:val="0"/>
        <w:snapToGrid w:val="0"/>
        <w:spacing w:line="500" w:lineRule="exact"/>
        <w:ind w:firstLine="640" w:firstLineChars="200"/>
        <w:textAlignment w:val="auto"/>
        <w:rPr>
          <w:rFonts w:hint="eastAsia" w:ascii="仿宋" w:hAnsi="仿宋" w:eastAsia="仿宋" w:cs="仿宋"/>
          <w:kern w:val="0"/>
          <w:sz w:val="32"/>
          <w:szCs w:val="32"/>
        </w:rPr>
      </w:pPr>
      <w:r>
        <w:rPr>
          <w:rFonts w:hint="eastAsia" w:ascii="仿宋" w:hAnsi="仿宋" w:eastAsia="仿宋" w:cs="仿宋"/>
          <w:sz w:val="32"/>
          <w:szCs w:val="32"/>
        </w:rPr>
        <w:t>③已安装空气净化装置的幼儿园、中小学和企事业单位等，及时开启空气净化装置。</w:t>
      </w:r>
    </w:p>
    <w:p>
      <w:pPr>
        <w:pStyle w:val="18"/>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0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（2）倡议性污染减排措施</w:t>
      </w:r>
    </w:p>
    <w:p>
      <w:pPr>
        <w:keepNext w:val="0"/>
        <w:keepLines w:val="0"/>
        <w:pageBreakBefore w:val="0"/>
        <w:kinsoku/>
        <w:wordWrap/>
        <w:overflowPunct/>
        <w:topLinePunct w:val="0"/>
        <w:autoSpaceDE/>
        <w:autoSpaceDN/>
        <w:bidi w:val="0"/>
        <w:adjustRightInd w:val="0"/>
        <w:snapToGrid w:val="0"/>
        <w:spacing w:line="500" w:lineRule="exact"/>
        <w:ind w:firstLine="640" w:firstLineChars="200"/>
        <w:textAlignment w:val="auto"/>
        <w:rPr>
          <w:rFonts w:hint="eastAsia" w:ascii="仿宋" w:hAnsi="仿宋" w:eastAsia="仿宋" w:cs="仿宋"/>
          <w:kern w:val="0"/>
          <w:sz w:val="32"/>
          <w:szCs w:val="32"/>
        </w:rPr>
      </w:pPr>
      <w:r>
        <w:rPr>
          <w:rFonts w:hint="eastAsia" w:ascii="仿宋" w:hAnsi="仿宋" w:eastAsia="仿宋" w:cs="仿宋"/>
          <w:kern w:val="0"/>
          <w:sz w:val="32"/>
          <w:szCs w:val="32"/>
        </w:rPr>
        <w:t>①倡导公众绿色生活，节能减排，夏天可适当将空调调高1-2℃，冬天可适当将空调调低1-2℃。</w:t>
      </w:r>
    </w:p>
    <w:p>
      <w:pPr>
        <w:keepNext w:val="0"/>
        <w:keepLines w:val="0"/>
        <w:pageBreakBefore w:val="0"/>
        <w:kinsoku/>
        <w:wordWrap/>
        <w:overflowPunct/>
        <w:topLinePunct w:val="0"/>
        <w:autoSpaceDE/>
        <w:autoSpaceDN/>
        <w:bidi w:val="0"/>
        <w:adjustRightInd w:val="0"/>
        <w:snapToGrid w:val="0"/>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②倡导公众绿色出行，尽量乘坐公共交通工具或电动汽车等方式出行；驻车及时熄火，减少车辆原地怠速运行时间。</w:t>
      </w:r>
    </w:p>
    <w:p>
      <w:pPr>
        <w:pStyle w:val="18"/>
        <w:keepNext w:val="0"/>
        <w:keepLines w:val="0"/>
        <w:pageBreakBefore w:val="0"/>
        <w:kinsoku/>
        <w:wordWrap/>
        <w:overflowPunct/>
        <w:topLinePunct w:val="0"/>
        <w:autoSpaceDE/>
        <w:autoSpaceDN/>
        <w:bidi w:val="0"/>
        <w:spacing w:before="0" w:beforeAutospacing="0" w:after="0" w:afterAutospacing="0" w:line="500" w:lineRule="exact"/>
        <w:ind w:firstLine="640"/>
        <w:jc w:val="both"/>
        <w:textAlignment w:val="auto"/>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 3 \* GB3 </w:instrText>
      </w:r>
      <w:r>
        <w:rPr>
          <w:rFonts w:hint="eastAsia" w:ascii="仿宋" w:hAnsi="仿宋" w:eastAsia="仿宋" w:cs="仿宋"/>
          <w:sz w:val="32"/>
          <w:szCs w:val="32"/>
        </w:rPr>
        <w:fldChar w:fldCharType="separate"/>
      </w:r>
      <w:r>
        <w:rPr>
          <w:rFonts w:hint="eastAsia" w:ascii="仿宋" w:hAnsi="仿宋" w:eastAsia="仿宋" w:cs="仿宋"/>
          <w:sz w:val="32"/>
          <w:szCs w:val="32"/>
        </w:rPr>
        <w:t>③</w:t>
      </w:r>
      <w:r>
        <w:rPr>
          <w:rFonts w:hint="eastAsia" w:ascii="仿宋" w:hAnsi="仿宋" w:eastAsia="仿宋" w:cs="仿宋"/>
          <w:sz w:val="32"/>
          <w:szCs w:val="32"/>
        </w:rPr>
        <w:fldChar w:fldCharType="end"/>
      </w:r>
      <w:r>
        <w:rPr>
          <w:rFonts w:hint="eastAsia" w:ascii="仿宋" w:hAnsi="仿宋" w:eastAsia="仿宋" w:cs="仿宋"/>
          <w:sz w:val="32"/>
          <w:szCs w:val="32"/>
        </w:rPr>
        <w:t>倡导公众绿色消费，单位和公众尽量减少含挥发性有机物的涂料、油漆、溶剂等原材料及产品的使用。</w:t>
      </w:r>
    </w:p>
    <w:p>
      <w:pPr>
        <w:pStyle w:val="18"/>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0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（3）强制性污染减排措施</w:t>
      </w:r>
    </w:p>
    <w:p>
      <w:pPr>
        <w:pStyle w:val="18"/>
        <w:keepNext w:val="0"/>
        <w:keepLines w:val="0"/>
        <w:pageBreakBefore w:val="0"/>
        <w:kinsoku/>
        <w:wordWrap/>
        <w:overflowPunct/>
        <w:topLinePunct w:val="0"/>
        <w:autoSpaceDE/>
        <w:autoSpaceDN/>
        <w:bidi w:val="0"/>
        <w:spacing w:before="0" w:beforeAutospacing="0" w:after="0" w:afterAutospacing="0" w:line="500" w:lineRule="exact"/>
        <w:ind w:firstLine="640"/>
        <w:jc w:val="both"/>
        <w:textAlignment w:val="auto"/>
        <w:rPr>
          <w:rFonts w:hint="eastAsia" w:ascii="仿宋" w:hAnsi="仿宋" w:eastAsia="仿宋" w:cs="仿宋"/>
          <w:sz w:val="30"/>
          <w:szCs w:val="30"/>
          <w:shd w:val="clear" w:color="auto" w:fill="FFFFFF"/>
        </w:rPr>
      </w:pPr>
      <w:r>
        <w:rPr>
          <w:rFonts w:hint="eastAsia" w:ascii="仿宋" w:hAnsi="仿宋" w:eastAsia="仿宋" w:cs="仿宋"/>
          <w:sz w:val="32"/>
          <w:szCs w:val="32"/>
        </w:rPr>
        <w:t>①工业企业管控措施。按照《涞水县重污染天气应急预案》要求，依据工业企业</w:t>
      </w:r>
      <w:r>
        <w:rPr>
          <w:rFonts w:hint="eastAsia" w:ascii="仿宋" w:hAnsi="仿宋" w:eastAsia="仿宋" w:cs="仿宋"/>
          <w:sz w:val="32"/>
          <w:szCs w:val="32"/>
          <w:lang w:eastAsia="zh-CN"/>
        </w:rPr>
        <w:t>重污染天气</w:t>
      </w:r>
      <w:r>
        <w:rPr>
          <w:rFonts w:hint="eastAsia" w:ascii="仿宋" w:hAnsi="仿宋" w:eastAsia="仿宋" w:cs="仿宋"/>
          <w:sz w:val="32"/>
          <w:szCs w:val="32"/>
        </w:rPr>
        <w:t>应急减排清单，严格落实各项应急减排措施。二氧化硫（SO</w:t>
      </w:r>
      <w:r>
        <w:rPr>
          <w:rFonts w:hint="eastAsia" w:ascii="仿宋" w:hAnsi="仿宋" w:eastAsia="仿宋" w:cs="仿宋"/>
          <w:sz w:val="32"/>
          <w:szCs w:val="32"/>
          <w:vertAlign w:val="subscript"/>
        </w:rPr>
        <w:t>2</w:t>
      </w:r>
      <w:r>
        <w:rPr>
          <w:rFonts w:hint="eastAsia" w:ascii="仿宋" w:hAnsi="仿宋" w:eastAsia="仿宋" w:cs="仿宋"/>
          <w:sz w:val="32"/>
          <w:szCs w:val="32"/>
        </w:rPr>
        <w:t>）、氮氧化物（NOx）、颗粒物（PM）、挥发性有机物（VOCs），减排比例应分别达到全社会占比的10%以上。SO</w:t>
      </w:r>
      <w:r>
        <w:rPr>
          <w:rFonts w:hint="eastAsia" w:ascii="仿宋" w:hAnsi="仿宋" w:eastAsia="仿宋" w:cs="仿宋"/>
          <w:sz w:val="32"/>
          <w:szCs w:val="32"/>
          <w:vertAlign w:val="subscript"/>
        </w:rPr>
        <w:t>2</w:t>
      </w:r>
      <w:r>
        <w:rPr>
          <w:rFonts w:hint="eastAsia" w:ascii="仿宋" w:hAnsi="仿宋" w:eastAsia="仿宋" w:cs="仿宋"/>
          <w:sz w:val="32"/>
          <w:szCs w:val="32"/>
        </w:rPr>
        <w:t xml:space="preserve"> 和NOx 减排比例可互为调整，二者比例之和不低于</w:t>
      </w:r>
      <w:bookmarkStart w:id="1" w:name="_Hlk20575511"/>
      <w:r>
        <w:rPr>
          <w:rFonts w:hint="eastAsia" w:ascii="仿宋" w:hAnsi="仿宋" w:eastAsia="仿宋" w:cs="仿宋"/>
          <w:sz w:val="32"/>
          <w:szCs w:val="32"/>
        </w:rPr>
        <w:t>上述总体要求</w:t>
      </w:r>
      <w:bookmarkEnd w:id="1"/>
      <w:r>
        <w:rPr>
          <w:rFonts w:hint="eastAsia" w:ascii="仿宋" w:hAnsi="仿宋" w:eastAsia="仿宋" w:cs="仿宋"/>
          <w:sz w:val="30"/>
          <w:szCs w:val="30"/>
          <w:shd w:val="clear" w:color="auto" w:fill="FFFFFF"/>
        </w:rPr>
        <w:t>（具体工业企业减排措施见附件1）。</w:t>
      </w:r>
    </w:p>
    <w:p>
      <w:pPr>
        <w:pStyle w:val="18"/>
        <w:keepNext w:val="0"/>
        <w:keepLines w:val="0"/>
        <w:pageBreakBefore w:val="0"/>
        <w:kinsoku/>
        <w:wordWrap/>
        <w:overflowPunct/>
        <w:topLinePunct w:val="0"/>
        <w:autoSpaceDE/>
        <w:autoSpaceDN/>
        <w:bidi w:val="0"/>
        <w:spacing w:before="0" w:beforeAutospacing="0" w:after="0" w:afterAutospacing="0" w:line="500" w:lineRule="exact"/>
        <w:ind w:firstLine="640"/>
        <w:jc w:val="both"/>
        <w:textAlignment w:val="auto"/>
        <w:rPr>
          <w:rFonts w:hint="eastAsia" w:ascii="仿宋" w:hAnsi="仿宋" w:eastAsia="仿宋" w:cs="仿宋"/>
          <w:sz w:val="32"/>
          <w:szCs w:val="32"/>
        </w:rPr>
      </w:pPr>
      <w:r>
        <w:rPr>
          <w:rFonts w:hint="eastAsia" w:ascii="仿宋" w:hAnsi="仿宋" w:eastAsia="仿宋" w:cs="仿宋"/>
          <w:sz w:val="32"/>
          <w:szCs w:val="32"/>
        </w:rPr>
        <w:t>②移动源管控措施。除城区运行保障车辆和执行任务特种车辆外，县城城区内禁止三轮汽车、低速载货汽车、拖拉机和未办理通行证的货车驶入；</w:t>
      </w:r>
      <w:r>
        <w:rPr>
          <w:rFonts w:hint="eastAsia" w:ascii="仿宋" w:hAnsi="仿宋" w:eastAsia="仿宋" w:cs="仿宋"/>
          <w:sz w:val="30"/>
          <w:szCs w:val="30"/>
        </w:rPr>
        <w:t>施工工地、厂区和工业园区内禁止使用不达标的非道路移动机械。</w:t>
      </w:r>
    </w:p>
    <w:p>
      <w:pPr>
        <w:pStyle w:val="18"/>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0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③扬尘控制措施。除应急抢险外，建城区停止所有施工工地的土石方作业（包括：停止土石方开挖、回填、场内倒运、掺拌石灰、混凝土剔凿等作业，停止建筑工程配套道路和管沟开挖作业），对塔吊或地下施工等不采取停工措施；建筑垃圾和渣土运输车、砂石运输车辆禁止上路行驶。所有企业露天堆放的散装物料全部苫盖，增加洒水降尘频次。</w:t>
      </w:r>
    </w:p>
    <w:p>
      <w:pPr>
        <w:pStyle w:val="5"/>
        <w:keepNext w:val="0"/>
        <w:keepLines w:val="0"/>
        <w:pageBreakBefore w:val="0"/>
        <w:kinsoku/>
        <w:wordWrap/>
        <w:overflowPunct/>
        <w:topLinePunct w:val="0"/>
        <w:autoSpaceDE/>
        <w:autoSpaceDN/>
        <w:bidi w:val="0"/>
        <w:spacing w:after="0"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④综合性措施。矿山开采、矿石破碎企业（设施）、水泥粉磨站、混凝土搅拌站和砂浆搅拌站停止生产，</w:t>
      </w:r>
      <w:r>
        <w:rPr>
          <w:rFonts w:hint="eastAsia" w:ascii="仿宋" w:hAnsi="仿宋" w:eastAsia="仿宋" w:cs="仿宋"/>
          <w:kern w:val="0"/>
          <w:sz w:val="32"/>
          <w:szCs w:val="32"/>
        </w:rPr>
        <w:t>禁止使用国四及以下重型载货汽车（含燃气）进行运输</w:t>
      </w:r>
      <w:r>
        <w:rPr>
          <w:rFonts w:hint="eastAsia" w:ascii="仿宋" w:hAnsi="仿宋" w:eastAsia="仿宋" w:cs="仿宋"/>
          <w:sz w:val="32"/>
          <w:szCs w:val="32"/>
        </w:rPr>
        <w:t>;停止室外喷涂、粉刷、切割、护坡喷浆作业;在常规作业基础上，对城区主要干道增加机扫、吸扫等清洁频次</w:t>
      </w:r>
      <w:r>
        <w:rPr>
          <w:rFonts w:hint="eastAsia" w:ascii="仿宋" w:hAnsi="仿宋" w:eastAsia="仿宋" w:cs="仿宋"/>
          <w:kern w:val="0"/>
          <w:sz w:val="32"/>
          <w:szCs w:val="32"/>
        </w:rPr>
        <w:t>（冰冻期除外）</w:t>
      </w:r>
      <w:r>
        <w:rPr>
          <w:rFonts w:hint="eastAsia" w:ascii="仿宋" w:hAnsi="仿宋" w:eastAsia="仿宋" w:cs="仿宋"/>
          <w:sz w:val="32"/>
          <w:szCs w:val="32"/>
        </w:rPr>
        <w:t>。</w:t>
      </w:r>
    </w:p>
    <w:p>
      <w:pPr>
        <w:pStyle w:val="18"/>
        <w:keepNext w:val="0"/>
        <w:keepLines w:val="0"/>
        <w:pageBreakBefore w:val="0"/>
        <w:widowControl w:val="0"/>
        <w:numPr>
          <w:ilvl w:val="0"/>
          <w:numId w:val="0"/>
        </w:numPr>
        <w:kinsoku/>
        <w:wordWrap/>
        <w:overflowPunct/>
        <w:topLinePunct w:val="0"/>
        <w:autoSpaceDE/>
        <w:autoSpaceDN/>
        <w:bidi w:val="0"/>
        <w:adjustRightInd w:val="0"/>
        <w:snapToGrid w:val="0"/>
        <w:spacing w:before="0" w:beforeAutospacing="0" w:after="0" w:afterAutospacing="0" w:line="500" w:lineRule="exact"/>
        <w:ind w:firstLine="643" w:firstLineChars="200"/>
        <w:jc w:val="both"/>
        <w:textAlignment w:val="auto"/>
        <w:rPr>
          <w:rFonts w:hint="eastAsia" w:ascii="仿宋" w:hAnsi="仿宋" w:eastAsia="仿宋" w:cs="仿宋"/>
          <w:b/>
          <w:bCs/>
          <w:sz w:val="32"/>
          <w:szCs w:val="32"/>
        </w:rPr>
      </w:pPr>
      <w:r>
        <w:rPr>
          <w:rFonts w:hint="eastAsia" w:ascii="仿宋" w:hAnsi="仿宋" w:eastAsia="仿宋" w:cs="仿宋"/>
          <w:b/>
          <w:bCs/>
          <w:sz w:val="32"/>
          <w:szCs w:val="32"/>
          <w:lang w:val="en-US" w:eastAsia="zh-CN"/>
        </w:rPr>
        <w:t>2.</w:t>
      </w:r>
      <w:r>
        <w:rPr>
          <w:rFonts w:hint="eastAsia" w:ascii="仿宋" w:hAnsi="仿宋" w:eastAsia="仿宋" w:cs="仿宋"/>
          <w:b/>
          <w:bCs/>
          <w:sz w:val="32"/>
          <w:szCs w:val="32"/>
        </w:rPr>
        <w:t>Ⅱ级应急响应措施</w:t>
      </w:r>
    </w:p>
    <w:p>
      <w:pPr>
        <w:pStyle w:val="18"/>
        <w:keepNext w:val="0"/>
        <w:keepLines w:val="0"/>
        <w:pageBreakBefore w:val="0"/>
        <w:widowControl w:val="0"/>
        <w:numPr>
          <w:ilvl w:val="0"/>
          <w:numId w:val="1"/>
        </w:numPr>
        <w:kinsoku/>
        <w:wordWrap/>
        <w:overflowPunct/>
        <w:topLinePunct w:val="0"/>
        <w:autoSpaceDE/>
        <w:autoSpaceDN/>
        <w:bidi w:val="0"/>
        <w:adjustRightInd w:val="0"/>
        <w:snapToGrid w:val="0"/>
        <w:spacing w:before="0" w:beforeAutospacing="0" w:after="0" w:afterAutospacing="0" w:line="500" w:lineRule="exact"/>
        <w:ind w:firstLine="640" w:firstLineChars="200"/>
        <w:jc w:val="both"/>
        <w:textAlignment w:val="auto"/>
        <w:rPr>
          <w:rFonts w:hint="eastAsia" w:ascii="仿宋" w:hAnsi="仿宋" w:eastAsia="仿宋" w:cs="仿宋"/>
          <w:sz w:val="32"/>
          <w:szCs w:val="32"/>
          <w:u w:val="single"/>
        </w:rPr>
      </w:pPr>
      <w:r>
        <w:rPr>
          <w:rFonts w:hint="eastAsia" w:ascii="仿宋" w:hAnsi="仿宋" w:eastAsia="仿宋" w:cs="仿宋"/>
          <w:sz w:val="32"/>
          <w:szCs w:val="32"/>
        </w:rPr>
        <w:t>公众防护措施</w:t>
      </w:r>
    </w:p>
    <w:p>
      <w:pPr>
        <w:pStyle w:val="18"/>
        <w:keepNext w:val="0"/>
        <w:keepLines w:val="0"/>
        <w:pageBreakBefore w:val="0"/>
        <w:kinsoku/>
        <w:wordWrap/>
        <w:overflowPunct/>
        <w:topLinePunct w:val="0"/>
        <w:autoSpaceDE/>
        <w:autoSpaceDN/>
        <w:bidi w:val="0"/>
        <w:spacing w:before="0" w:beforeAutospacing="0" w:after="0" w:afterAutospacing="0" w:line="500" w:lineRule="exact"/>
        <w:ind w:firstLine="640"/>
        <w:jc w:val="both"/>
        <w:textAlignment w:val="auto"/>
        <w:rPr>
          <w:rFonts w:hint="eastAsia" w:ascii="仿宋" w:hAnsi="仿宋" w:eastAsia="仿宋" w:cs="仿宋"/>
          <w:sz w:val="32"/>
          <w:szCs w:val="32"/>
        </w:rPr>
      </w:pPr>
      <w:r>
        <w:rPr>
          <w:rFonts w:hint="eastAsia" w:ascii="仿宋" w:hAnsi="仿宋" w:eastAsia="仿宋" w:cs="仿宋"/>
          <w:sz w:val="32"/>
          <w:szCs w:val="32"/>
        </w:rPr>
        <w:t>①儿童、老年人和呼吸道、心脑血管病及其他慢性疾病患者尽量留在室内，避免户外活动，尽量减少开窗通风时间；医疗卫生机构加强对呼吸类疾病患者的就医指导和诊疗保障。</w:t>
      </w:r>
    </w:p>
    <w:p>
      <w:pPr>
        <w:pStyle w:val="18"/>
        <w:keepNext w:val="0"/>
        <w:keepLines w:val="0"/>
        <w:pageBreakBefore w:val="0"/>
        <w:kinsoku/>
        <w:wordWrap/>
        <w:overflowPunct/>
        <w:topLinePunct w:val="0"/>
        <w:autoSpaceDE/>
        <w:autoSpaceDN/>
        <w:bidi w:val="0"/>
        <w:spacing w:before="0" w:beforeAutospacing="0" w:after="0" w:afterAutospacing="0" w:line="500" w:lineRule="exact"/>
        <w:ind w:firstLine="640"/>
        <w:jc w:val="both"/>
        <w:textAlignment w:val="auto"/>
        <w:rPr>
          <w:rFonts w:hint="eastAsia" w:ascii="仿宋" w:hAnsi="仿宋" w:eastAsia="仿宋" w:cs="仿宋"/>
          <w:sz w:val="32"/>
          <w:szCs w:val="32"/>
        </w:rPr>
      </w:pPr>
      <w:r>
        <w:rPr>
          <w:rFonts w:hint="eastAsia" w:ascii="仿宋" w:hAnsi="仿宋" w:eastAsia="仿宋" w:cs="仿宋"/>
          <w:sz w:val="32"/>
          <w:szCs w:val="32"/>
        </w:rPr>
        <w:t>②一般人群减少或避免户外活动；室外工作、执勤、作业、活动等人员可以采取佩戴口罩、缩短户外工作时间等必要的防护措施。</w:t>
      </w:r>
    </w:p>
    <w:p>
      <w:pPr>
        <w:keepNext w:val="0"/>
        <w:keepLines w:val="0"/>
        <w:pageBreakBefore w:val="0"/>
        <w:kinsoku/>
        <w:wordWrap/>
        <w:overflowPunct/>
        <w:topLinePunct w:val="0"/>
        <w:autoSpaceDE/>
        <w:autoSpaceDN/>
        <w:bidi w:val="0"/>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kern w:val="0"/>
          <w:sz w:val="32"/>
          <w:szCs w:val="32"/>
        </w:rPr>
        <w:t>③</w:t>
      </w:r>
      <w:r>
        <w:rPr>
          <w:rFonts w:hint="eastAsia" w:ascii="仿宋" w:hAnsi="仿宋" w:eastAsia="仿宋" w:cs="仿宋"/>
          <w:sz w:val="32"/>
          <w:szCs w:val="32"/>
        </w:rPr>
        <w:t>根据重污染程度，教育和体育局指导中小学、幼儿园可采取弹性教学，停止室外课程及活动。停止举办大型群众性户外活动。</w:t>
      </w:r>
    </w:p>
    <w:p>
      <w:pPr>
        <w:pStyle w:val="18"/>
        <w:keepNext w:val="0"/>
        <w:keepLines w:val="0"/>
        <w:pageBreakBefore w:val="0"/>
        <w:kinsoku/>
        <w:wordWrap/>
        <w:overflowPunct/>
        <w:topLinePunct w:val="0"/>
        <w:autoSpaceDE/>
        <w:autoSpaceDN/>
        <w:bidi w:val="0"/>
        <w:spacing w:before="0" w:beforeAutospacing="0" w:after="0" w:afterAutospacing="0" w:line="500" w:lineRule="exact"/>
        <w:ind w:firstLine="640"/>
        <w:jc w:val="both"/>
        <w:textAlignment w:val="auto"/>
        <w:rPr>
          <w:rFonts w:hint="eastAsia" w:ascii="仿宋" w:hAnsi="仿宋" w:eastAsia="仿宋" w:cs="仿宋"/>
          <w:sz w:val="32"/>
          <w:szCs w:val="32"/>
        </w:rPr>
      </w:pPr>
      <w:r>
        <w:rPr>
          <w:rFonts w:hint="eastAsia" w:ascii="仿宋" w:hAnsi="仿宋" w:eastAsia="仿宋" w:cs="仿宋"/>
          <w:sz w:val="32"/>
          <w:szCs w:val="32"/>
        </w:rPr>
        <w:t>（2）倡议性污染减排措施</w:t>
      </w:r>
    </w:p>
    <w:p>
      <w:pPr>
        <w:keepNext w:val="0"/>
        <w:keepLines w:val="0"/>
        <w:pageBreakBefore w:val="0"/>
        <w:kinsoku/>
        <w:wordWrap/>
        <w:overflowPunct/>
        <w:topLinePunct w:val="0"/>
        <w:autoSpaceDE/>
        <w:autoSpaceDN/>
        <w:bidi w:val="0"/>
        <w:spacing w:line="500" w:lineRule="exact"/>
        <w:ind w:firstLine="640" w:firstLineChars="200"/>
        <w:textAlignment w:val="auto"/>
        <w:rPr>
          <w:rFonts w:hint="eastAsia" w:ascii="仿宋" w:hAnsi="仿宋" w:eastAsia="仿宋" w:cs="仿宋"/>
          <w:kern w:val="0"/>
          <w:sz w:val="32"/>
          <w:szCs w:val="32"/>
        </w:rPr>
      </w:pPr>
      <w:r>
        <w:rPr>
          <w:rFonts w:hint="eastAsia" w:ascii="仿宋" w:hAnsi="仿宋" w:eastAsia="仿宋" w:cs="仿宋"/>
          <w:kern w:val="0"/>
          <w:sz w:val="32"/>
          <w:szCs w:val="32"/>
        </w:rPr>
        <w:t>①倡导公众绿色生活，节能减排，夏天可适当将空调调高1-2℃，冬天可适当将空调调低1-2℃。</w:t>
      </w:r>
    </w:p>
    <w:p>
      <w:pPr>
        <w:keepNext w:val="0"/>
        <w:keepLines w:val="0"/>
        <w:pageBreakBefore w:val="0"/>
        <w:kinsoku/>
        <w:wordWrap/>
        <w:overflowPunct/>
        <w:topLinePunct w:val="0"/>
        <w:autoSpaceDE/>
        <w:autoSpaceDN/>
        <w:bidi w:val="0"/>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②倡导公众绿色出行，尽量乘坐公共交通工具或电动汽车等方式出行；驻车及时熄火，减少车辆原地怠速运行时间；自觉停驶国四及以下燃油机动车。</w:t>
      </w:r>
    </w:p>
    <w:p>
      <w:pPr>
        <w:pStyle w:val="18"/>
        <w:keepNext w:val="0"/>
        <w:keepLines w:val="0"/>
        <w:pageBreakBefore w:val="0"/>
        <w:kinsoku/>
        <w:wordWrap/>
        <w:overflowPunct/>
        <w:topLinePunct w:val="0"/>
        <w:autoSpaceDE/>
        <w:autoSpaceDN/>
        <w:bidi w:val="0"/>
        <w:spacing w:before="0" w:beforeAutospacing="0" w:after="0" w:afterAutospacing="0" w:line="500" w:lineRule="exact"/>
        <w:ind w:firstLine="640"/>
        <w:jc w:val="both"/>
        <w:textAlignment w:val="auto"/>
        <w:rPr>
          <w:rFonts w:hint="eastAsia" w:ascii="仿宋" w:hAnsi="仿宋" w:eastAsia="仿宋" w:cs="仿宋"/>
          <w:sz w:val="32"/>
          <w:szCs w:val="32"/>
        </w:rPr>
      </w:pPr>
      <w:r>
        <w:rPr>
          <w:rFonts w:hint="eastAsia" w:ascii="仿宋" w:hAnsi="仿宋" w:eastAsia="仿宋" w:cs="仿宋"/>
          <w:sz w:val="32"/>
          <w:szCs w:val="32"/>
        </w:rPr>
        <w:t>③倡导公众绿色消费，单位和公众尽量减少含挥发性有机物的涂料、油漆、溶剂等原材料及产品的使用。</w:t>
      </w:r>
    </w:p>
    <w:p>
      <w:pPr>
        <w:pStyle w:val="18"/>
        <w:keepNext w:val="0"/>
        <w:keepLines w:val="0"/>
        <w:pageBreakBefore w:val="0"/>
        <w:kinsoku/>
        <w:wordWrap/>
        <w:overflowPunct/>
        <w:topLinePunct w:val="0"/>
        <w:autoSpaceDE/>
        <w:autoSpaceDN/>
        <w:bidi w:val="0"/>
        <w:spacing w:before="0" w:beforeAutospacing="0" w:after="0" w:afterAutospacing="0" w:line="500" w:lineRule="exact"/>
        <w:ind w:firstLine="640"/>
        <w:jc w:val="both"/>
        <w:textAlignment w:val="auto"/>
        <w:rPr>
          <w:rFonts w:hint="eastAsia" w:ascii="仿宋" w:hAnsi="仿宋" w:eastAsia="仿宋" w:cs="仿宋"/>
          <w:sz w:val="32"/>
          <w:szCs w:val="32"/>
        </w:rPr>
      </w:pPr>
      <w:r>
        <w:rPr>
          <w:rFonts w:hint="eastAsia" w:ascii="仿宋" w:hAnsi="仿宋" w:eastAsia="仿宋" w:cs="仿宋"/>
          <w:sz w:val="32"/>
          <w:szCs w:val="32"/>
        </w:rPr>
        <w:t>④倡导企事业单位可根据重污染天气实际、应急强制响应措施，采取调休、错峰上下班、远程办公等弹性工作制。</w:t>
      </w:r>
    </w:p>
    <w:p>
      <w:pPr>
        <w:pStyle w:val="18"/>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0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（3）强制性污染减排措施</w:t>
      </w:r>
    </w:p>
    <w:p>
      <w:pPr>
        <w:pStyle w:val="18"/>
        <w:keepNext w:val="0"/>
        <w:keepLines w:val="0"/>
        <w:pageBreakBefore w:val="0"/>
        <w:kinsoku/>
        <w:wordWrap/>
        <w:overflowPunct/>
        <w:topLinePunct w:val="0"/>
        <w:autoSpaceDE/>
        <w:autoSpaceDN/>
        <w:bidi w:val="0"/>
        <w:spacing w:before="0" w:beforeAutospacing="0" w:after="0" w:afterAutospacing="0" w:line="500" w:lineRule="exact"/>
        <w:ind w:firstLine="640"/>
        <w:jc w:val="both"/>
        <w:textAlignment w:val="auto"/>
        <w:rPr>
          <w:rFonts w:hint="eastAsia" w:ascii="仿宋" w:hAnsi="仿宋" w:eastAsia="仿宋" w:cs="仿宋"/>
          <w:sz w:val="32"/>
          <w:szCs w:val="32"/>
        </w:rPr>
      </w:pPr>
      <w:r>
        <w:rPr>
          <w:rFonts w:hint="eastAsia" w:ascii="仿宋" w:hAnsi="仿宋" w:eastAsia="仿宋" w:cs="仿宋"/>
          <w:sz w:val="32"/>
          <w:szCs w:val="32"/>
        </w:rPr>
        <w:t>①工业企业管控措施。按照《涞水县重污染天气应急预案》要求，依据工业企业</w:t>
      </w:r>
      <w:r>
        <w:rPr>
          <w:rFonts w:hint="eastAsia" w:ascii="仿宋" w:hAnsi="仿宋" w:eastAsia="仿宋" w:cs="仿宋"/>
          <w:sz w:val="32"/>
          <w:szCs w:val="32"/>
          <w:lang w:eastAsia="zh-CN"/>
        </w:rPr>
        <w:t>重污染天气</w:t>
      </w:r>
      <w:r>
        <w:rPr>
          <w:rFonts w:hint="eastAsia" w:ascii="仿宋" w:hAnsi="仿宋" w:eastAsia="仿宋" w:cs="仿宋"/>
          <w:sz w:val="32"/>
          <w:szCs w:val="32"/>
        </w:rPr>
        <w:t>应急减排清单，严格落实各项应急减排措施。二氧化硫（SO</w:t>
      </w:r>
      <w:r>
        <w:rPr>
          <w:rFonts w:hint="eastAsia" w:ascii="仿宋" w:hAnsi="仿宋" w:eastAsia="仿宋" w:cs="仿宋"/>
          <w:sz w:val="32"/>
          <w:szCs w:val="32"/>
          <w:vertAlign w:val="subscript"/>
        </w:rPr>
        <w:t>2</w:t>
      </w:r>
      <w:r>
        <w:rPr>
          <w:rFonts w:hint="eastAsia" w:ascii="仿宋" w:hAnsi="仿宋" w:eastAsia="仿宋" w:cs="仿宋"/>
          <w:sz w:val="32"/>
          <w:szCs w:val="32"/>
        </w:rPr>
        <w:t>）、氮氧化物（NOx）、颗粒物（PM）、挥发性有机物（VOCs），减排比例应分别达到全社会占比的20%以上。SO</w:t>
      </w:r>
      <w:r>
        <w:rPr>
          <w:rFonts w:hint="eastAsia" w:ascii="仿宋" w:hAnsi="仿宋" w:eastAsia="仿宋" w:cs="仿宋"/>
          <w:sz w:val="32"/>
          <w:szCs w:val="32"/>
          <w:vertAlign w:val="subscript"/>
        </w:rPr>
        <w:t>2</w:t>
      </w:r>
      <w:r>
        <w:rPr>
          <w:rFonts w:hint="eastAsia" w:ascii="仿宋" w:hAnsi="仿宋" w:eastAsia="仿宋" w:cs="仿宋"/>
          <w:sz w:val="32"/>
          <w:szCs w:val="32"/>
        </w:rPr>
        <w:t xml:space="preserve"> 和NOx 减排比例可互为调整，二者比例之和不低于上述总体要求（工业企业减排措施见附件1）。</w:t>
      </w:r>
    </w:p>
    <w:p>
      <w:pPr>
        <w:pStyle w:val="5"/>
        <w:keepNext w:val="0"/>
        <w:keepLines w:val="0"/>
        <w:pageBreakBefore w:val="0"/>
        <w:widowControl w:val="0"/>
        <w:kinsoku/>
        <w:wordWrap/>
        <w:overflowPunct/>
        <w:topLinePunct w:val="0"/>
        <w:autoSpaceDE/>
        <w:autoSpaceDN/>
        <w:bidi w:val="0"/>
        <w:adjustRightInd/>
        <w:snapToGrid/>
        <w:spacing w:after="0" w:line="500" w:lineRule="exact"/>
        <w:ind w:firstLine="640" w:firstLineChars="200"/>
        <w:textAlignment w:val="auto"/>
        <w:rPr>
          <w:rFonts w:hint="eastAsia" w:ascii="仿宋" w:hAnsi="仿宋" w:eastAsia="仿宋" w:cs="仿宋"/>
          <w:kern w:val="0"/>
          <w:sz w:val="32"/>
          <w:szCs w:val="32"/>
        </w:rPr>
      </w:pPr>
      <w:r>
        <w:rPr>
          <w:rFonts w:hint="eastAsia" w:ascii="仿宋" w:hAnsi="仿宋" w:eastAsia="仿宋" w:cs="仿宋"/>
          <w:sz w:val="32"/>
          <w:szCs w:val="32"/>
        </w:rPr>
        <w:t>②移动源管控措施。</w:t>
      </w:r>
      <w:r>
        <w:rPr>
          <w:rFonts w:hint="eastAsia" w:ascii="仿宋" w:hAnsi="仿宋" w:eastAsia="仿宋" w:cs="仿宋"/>
          <w:kern w:val="0"/>
          <w:sz w:val="32"/>
          <w:szCs w:val="32"/>
        </w:rPr>
        <w:t>除城</w:t>
      </w:r>
      <w:r>
        <w:rPr>
          <w:rFonts w:hint="eastAsia" w:ascii="仿宋" w:hAnsi="仿宋" w:eastAsia="仿宋" w:cs="仿宋"/>
          <w:kern w:val="0"/>
          <w:sz w:val="32"/>
          <w:szCs w:val="32"/>
          <w:lang w:eastAsia="zh-CN"/>
        </w:rPr>
        <w:t>区</w:t>
      </w:r>
      <w:r>
        <w:rPr>
          <w:rFonts w:hint="eastAsia" w:ascii="仿宋" w:hAnsi="仿宋" w:eastAsia="仿宋" w:cs="仿宋"/>
          <w:kern w:val="0"/>
          <w:sz w:val="32"/>
          <w:szCs w:val="32"/>
        </w:rPr>
        <w:t>运行保障车辆和执行任务特种车辆外，县城城区对机动车采取2个车牌尾号一组轮换限行，限行尾号与北京保持一致，法定节假日和公休日不限行；</w:t>
      </w:r>
      <w:r>
        <w:rPr>
          <w:rFonts w:hint="eastAsia" w:ascii="仿宋" w:hAnsi="仿宋" w:eastAsia="仿宋" w:cs="仿宋"/>
          <w:sz w:val="32"/>
          <w:szCs w:val="32"/>
        </w:rPr>
        <w:t>施工工地、工业企业厂区和工业园区内应停止使用国二及以下非道路移动机械（清洁能源和紧急</w:t>
      </w:r>
      <w:r>
        <w:rPr>
          <w:rFonts w:hint="eastAsia" w:ascii="仿宋" w:hAnsi="仿宋" w:eastAsia="仿宋" w:cs="仿宋"/>
          <w:kern w:val="0"/>
          <w:sz w:val="32"/>
          <w:szCs w:val="32"/>
        </w:rPr>
        <w:t>检修作业机械除外））；矿山、洗煤厂、物流（除民生保障类）等涉及大宗原料和产品运输（日常车辆进出量超过10辆）的单位应禁止使用国四及以下重型载货汽车（含燃气）进行运输。</w:t>
      </w:r>
    </w:p>
    <w:p>
      <w:pPr>
        <w:pStyle w:val="18"/>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0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③扬尘控制措施。除应急抢险外，建城区停止所有施工工地的土石方作业（包括：停止土石方开挖、回填、场内倒运、掺拌石灰、混凝土剔凿、混凝土浇筑等作业，停止建筑工程配套道路和管沟开挖作业），对塔吊或地下施工等不采取停工措施；建筑垃圾和渣土运输车、砂石运输车辆禁止上路行驶。所有企业露天堆放的散装物料全部苫盖，增加洒水降尘频次。</w:t>
      </w:r>
    </w:p>
    <w:p>
      <w:pPr>
        <w:pStyle w:val="5"/>
        <w:keepNext w:val="0"/>
        <w:keepLines w:val="0"/>
        <w:pageBreakBefore w:val="0"/>
        <w:kinsoku/>
        <w:wordWrap/>
        <w:overflowPunct/>
        <w:topLinePunct w:val="0"/>
        <w:autoSpaceDE/>
        <w:autoSpaceDN/>
        <w:bidi w:val="0"/>
        <w:spacing w:after="0" w:line="500" w:lineRule="exact"/>
        <w:ind w:firstLine="640" w:firstLineChars="200"/>
        <w:textAlignment w:val="auto"/>
        <w:rPr>
          <w:rFonts w:hint="eastAsia" w:ascii="仿宋" w:hAnsi="仿宋" w:eastAsia="仿宋" w:cs="仿宋"/>
          <w:kern w:val="0"/>
          <w:sz w:val="32"/>
          <w:szCs w:val="32"/>
        </w:rPr>
      </w:pPr>
      <w:r>
        <w:rPr>
          <w:rFonts w:hint="eastAsia" w:ascii="仿宋" w:hAnsi="仿宋" w:eastAsia="仿宋" w:cs="仿宋"/>
          <w:kern w:val="0"/>
          <w:sz w:val="32"/>
          <w:szCs w:val="32"/>
        </w:rPr>
        <w:t>④</w:t>
      </w:r>
      <w:r>
        <w:rPr>
          <w:rFonts w:hint="eastAsia" w:ascii="仿宋" w:hAnsi="仿宋" w:eastAsia="仿宋" w:cs="仿宋"/>
          <w:sz w:val="32"/>
          <w:szCs w:val="32"/>
        </w:rPr>
        <w:t>综合性措施。矿山开采、矿石破碎企业（设施）、水泥粉磨站、混凝土搅拌站和砂浆搅拌站停止生产，</w:t>
      </w:r>
      <w:r>
        <w:rPr>
          <w:rFonts w:hint="eastAsia" w:ascii="仿宋" w:hAnsi="仿宋" w:eastAsia="仿宋" w:cs="仿宋"/>
          <w:kern w:val="0"/>
          <w:sz w:val="32"/>
          <w:szCs w:val="32"/>
        </w:rPr>
        <w:t>禁止使用国四及以下重型载货汽车（含燃气）进行运输</w:t>
      </w:r>
      <w:r>
        <w:rPr>
          <w:rFonts w:hint="eastAsia" w:ascii="仿宋" w:hAnsi="仿宋" w:eastAsia="仿宋" w:cs="仿宋"/>
          <w:sz w:val="32"/>
          <w:szCs w:val="32"/>
        </w:rPr>
        <w:t>；停止室外喷涂、粉刷、切割、护坡喷浆作业;在常规作业基础上，对城区主要干道增加机扫、吸扫等清洁频次</w:t>
      </w:r>
      <w:r>
        <w:rPr>
          <w:rFonts w:hint="eastAsia" w:ascii="仿宋" w:hAnsi="仿宋" w:eastAsia="仿宋" w:cs="仿宋"/>
          <w:kern w:val="0"/>
          <w:sz w:val="32"/>
          <w:szCs w:val="32"/>
        </w:rPr>
        <w:t>（冰冻期除外）</w:t>
      </w:r>
      <w:r>
        <w:rPr>
          <w:rFonts w:hint="eastAsia" w:ascii="仿宋" w:hAnsi="仿宋" w:eastAsia="仿宋" w:cs="仿宋"/>
          <w:sz w:val="32"/>
          <w:szCs w:val="32"/>
        </w:rPr>
        <w:t>。</w:t>
      </w:r>
    </w:p>
    <w:p>
      <w:pPr>
        <w:pStyle w:val="18"/>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00" w:lineRule="exact"/>
        <w:ind w:firstLine="643" w:firstLineChars="200"/>
        <w:jc w:val="both"/>
        <w:textAlignment w:val="auto"/>
        <w:rPr>
          <w:rFonts w:hint="eastAsia" w:ascii="仿宋" w:hAnsi="仿宋" w:eastAsia="仿宋" w:cs="仿宋"/>
          <w:b/>
          <w:bCs/>
          <w:sz w:val="32"/>
          <w:szCs w:val="32"/>
        </w:rPr>
      </w:pPr>
      <w:r>
        <w:rPr>
          <w:rFonts w:hint="eastAsia" w:ascii="仿宋" w:hAnsi="仿宋" w:eastAsia="仿宋" w:cs="仿宋"/>
          <w:b/>
          <w:bCs/>
          <w:kern w:val="2"/>
          <w:sz w:val="32"/>
          <w:szCs w:val="32"/>
        </w:rPr>
        <w:t>3.Ⅰ</w:t>
      </w:r>
      <w:r>
        <w:rPr>
          <w:rFonts w:hint="eastAsia" w:ascii="仿宋" w:hAnsi="仿宋" w:eastAsia="仿宋" w:cs="仿宋"/>
          <w:b/>
          <w:bCs/>
          <w:sz w:val="32"/>
          <w:szCs w:val="32"/>
        </w:rPr>
        <w:t>级应急响应措施</w:t>
      </w:r>
    </w:p>
    <w:p>
      <w:pPr>
        <w:pStyle w:val="18"/>
        <w:keepNext w:val="0"/>
        <w:keepLines w:val="0"/>
        <w:pageBreakBefore w:val="0"/>
        <w:widowControl w:val="0"/>
        <w:numPr>
          <w:ilvl w:val="0"/>
          <w:numId w:val="2"/>
        </w:numPr>
        <w:kinsoku/>
        <w:wordWrap/>
        <w:overflowPunct/>
        <w:topLinePunct w:val="0"/>
        <w:autoSpaceDE/>
        <w:autoSpaceDN/>
        <w:bidi w:val="0"/>
        <w:adjustRightInd w:val="0"/>
        <w:snapToGrid w:val="0"/>
        <w:spacing w:before="0" w:beforeAutospacing="0" w:after="0" w:afterAutospacing="0" w:line="50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公众防护措施</w:t>
      </w:r>
    </w:p>
    <w:p>
      <w:pPr>
        <w:pStyle w:val="18"/>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0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①儿童、老年人和呼吸道、心脑血管病及其他慢性疾病患者尽量留在室内，避免户外活动，尽量减少开窗通风时间；医疗卫生机构加强对呼吸类疾病患者的就医指导和诊疗保障。</w:t>
      </w:r>
    </w:p>
    <w:p>
      <w:pPr>
        <w:pStyle w:val="18"/>
        <w:keepNext w:val="0"/>
        <w:keepLines w:val="0"/>
        <w:pageBreakBefore w:val="0"/>
        <w:kinsoku/>
        <w:wordWrap/>
        <w:overflowPunct/>
        <w:topLinePunct w:val="0"/>
        <w:autoSpaceDE/>
        <w:autoSpaceDN/>
        <w:bidi w:val="0"/>
        <w:spacing w:before="0" w:beforeAutospacing="0" w:after="0" w:afterAutospacing="0" w:line="500" w:lineRule="exact"/>
        <w:ind w:firstLine="640"/>
        <w:jc w:val="both"/>
        <w:textAlignment w:val="auto"/>
        <w:rPr>
          <w:rFonts w:hint="eastAsia" w:ascii="仿宋" w:hAnsi="仿宋" w:eastAsia="仿宋" w:cs="仿宋"/>
          <w:sz w:val="32"/>
          <w:szCs w:val="32"/>
        </w:rPr>
      </w:pPr>
      <w:r>
        <w:rPr>
          <w:rFonts w:hint="eastAsia" w:ascii="仿宋" w:hAnsi="仿宋" w:eastAsia="仿宋" w:cs="仿宋"/>
          <w:sz w:val="32"/>
          <w:szCs w:val="32"/>
        </w:rPr>
        <w:t>②一般人群减少或避免户外活动；室外工作、执勤、作业、活动等人员可以采取佩戴口罩、缩短户外工作时间等必要的防护措施。</w:t>
      </w:r>
    </w:p>
    <w:p>
      <w:pPr>
        <w:pStyle w:val="18"/>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0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③根据重污染程度，教育和体育局指导中小学、幼儿园可采取弹性教学，停止室外课程及活动；当接到红色预警且AQI日均值达到500时，在市教育局指导下，对有条件的学校可采取停课措施。对于已经到校的学生，学校可安排学生自习；对于未到校的学生，学校可通过远程教育等方式，安排学生在家学习。停止举办大型群众性户外活动。</w:t>
      </w:r>
    </w:p>
    <w:p>
      <w:pPr>
        <w:pStyle w:val="18"/>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0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（2）倡议性污染减排措施</w:t>
      </w:r>
    </w:p>
    <w:p>
      <w:pPr>
        <w:keepNext w:val="0"/>
        <w:keepLines w:val="0"/>
        <w:pageBreakBefore w:val="0"/>
        <w:kinsoku/>
        <w:wordWrap/>
        <w:overflowPunct/>
        <w:topLinePunct w:val="0"/>
        <w:autoSpaceDE/>
        <w:autoSpaceDN/>
        <w:bidi w:val="0"/>
        <w:spacing w:line="500" w:lineRule="exact"/>
        <w:ind w:firstLine="640" w:firstLineChars="200"/>
        <w:textAlignment w:val="auto"/>
        <w:rPr>
          <w:rFonts w:hint="eastAsia" w:ascii="仿宋" w:hAnsi="仿宋" w:eastAsia="仿宋" w:cs="仿宋"/>
          <w:kern w:val="0"/>
          <w:sz w:val="32"/>
          <w:szCs w:val="32"/>
        </w:rPr>
      </w:pPr>
      <w:r>
        <w:rPr>
          <w:rFonts w:hint="eastAsia" w:ascii="仿宋" w:hAnsi="仿宋" w:eastAsia="仿宋" w:cs="仿宋"/>
          <w:kern w:val="0"/>
          <w:sz w:val="32"/>
          <w:szCs w:val="32"/>
        </w:rPr>
        <w:t>①倡导公众绿色生活，节能减排，夏天可适当将空调调高1-2℃，冬天可适当将空调调低1-2℃。</w:t>
      </w:r>
    </w:p>
    <w:p>
      <w:pPr>
        <w:keepNext w:val="0"/>
        <w:keepLines w:val="0"/>
        <w:pageBreakBefore w:val="0"/>
        <w:kinsoku/>
        <w:wordWrap/>
        <w:overflowPunct/>
        <w:topLinePunct w:val="0"/>
        <w:autoSpaceDE/>
        <w:autoSpaceDN/>
        <w:bidi w:val="0"/>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②倡导公众绿色出行，尽量乘坐公共交通工具或电动汽车等方式出行；驻车及时熄火，减少车辆原地怠速运行时间；自觉停驶国四及以下燃油机动车。</w:t>
      </w:r>
    </w:p>
    <w:p>
      <w:pPr>
        <w:pStyle w:val="18"/>
        <w:keepNext w:val="0"/>
        <w:keepLines w:val="0"/>
        <w:pageBreakBefore w:val="0"/>
        <w:kinsoku/>
        <w:wordWrap/>
        <w:overflowPunct/>
        <w:topLinePunct w:val="0"/>
        <w:autoSpaceDE/>
        <w:autoSpaceDN/>
        <w:bidi w:val="0"/>
        <w:spacing w:before="0" w:beforeAutospacing="0" w:after="0" w:afterAutospacing="0" w:line="500" w:lineRule="exact"/>
        <w:ind w:firstLine="640"/>
        <w:jc w:val="both"/>
        <w:textAlignment w:val="auto"/>
        <w:rPr>
          <w:rFonts w:hint="eastAsia" w:ascii="仿宋" w:hAnsi="仿宋" w:eastAsia="仿宋" w:cs="仿宋"/>
          <w:sz w:val="32"/>
          <w:szCs w:val="32"/>
        </w:rPr>
      </w:pPr>
      <w:r>
        <w:rPr>
          <w:rFonts w:hint="eastAsia" w:ascii="仿宋" w:hAnsi="仿宋" w:eastAsia="仿宋" w:cs="仿宋"/>
          <w:sz w:val="32"/>
          <w:szCs w:val="32"/>
        </w:rPr>
        <w:t>③倡导公众绿色消费，单位和公众尽量减少含挥发性有机物的涂料、油漆、溶剂等原材料及产品的使用。</w:t>
      </w:r>
    </w:p>
    <w:p>
      <w:pPr>
        <w:pStyle w:val="18"/>
        <w:keepNext w:val="0"/>
        <w:keepLines w:val="0"/>
        <w:pageBreakBefore w:val="0"/>
        <w:kinsoku/>
        <w:wordWrap/>
        <w:overflowPunct/>
        <w:topLinePunct w:val="0"/>
        <w:autoSpaceDE/>
        <w:autoSpaceDN/>
        <w:bidi w:val="0"/>
        <w:spacing w:before="0" w:beforeAutospacing="0" w:after="0" w:afterAutospacing="0" w:line="500" w:lineRule="exact"/>
        <w:ind w:firstLine="640"/>
        <w:jc w:val="both"/>
        <w:textAlignment w:val="auto"/>
        <w:rPr>
          <w:rFonts w:hint="eastAsia" w:ascii="仿宋" w:hAnsi="仿宋" w:eastAsia="仿宋" w:cs="仿宋"/>
          <w:sz w:val="32"/>
          <w:szCs w:val="32"/>
        </w:rPr>
      </w:pPr>
      <w:r>
        <w:rPr>
          <w:rFonts w:hint="eastAsia" w:ascii="仿宋" w:hAnsi="仿宋" w:eastAsia="仿宋" w:cs="仿宋"/>
          <w:sz w:val="32"/>
          <w:szCs w:val="32"/>
        </w:rPr>
        <w:t>④倡导企事业单位可根据重污染天气实际、应急强制响应措施，采取调休、错峰上下班、远程办公等弹性工作制。</w:t>
      </w:r>
    </w:p>
    <w:p>
      <w:pPr>
        <w:pStyle w:val="18"/>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0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（3）强制性减排措施</w:t>
      </w:r>
    </w:p>
    <w:p>
      <w:pPr>
        <w:pStyle w:val="18"/>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0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①工业企业管控措施。按照《涞水县重污染天气应急预案》要求，依据工业企业</w:t>
      </w:r>
      <w:r>
        <w:rPr>
          <w:rFonts w:hint="eastAsia" w:ascii="仿宋" w:hAnsi="仿宋" w:eastAsia="仿宋" w:cs="仿宋"/>
          <w:sz w:val="32"/>
          <w:szCs w:val="32"/>
          <w:lang w:eastAsia="zh-CN"/>
        </w:rPr>
        <w:t>重污染天气</w:t>
      </w:r>
      <w:r>
        <w:rPr>
          <w:rFonts w:hint="eastAsia" w:ascii="仿宋" w:hAnsi="仿宋" w:eastAsia="仿宋" w:cs="仿宋"/>
          <w:sz w:val="32"/>
          <w:szCs w:val="32"/>
        </w:rPr>
        <w:t>应急减排清单，严格落实各项应急减排措施。二氧化硫（SO</w:t>
      </w:r>
      <w:r>
        <w:rPr>
          <w:rFonts w:hint="eastAsia" w:ascii="仿宋" w:hAnsi="仿宋" w:eastAsia="仿宋" w:cs="仿宋"/>
          <w:sz w:val="32"/>
          <w:szCs w:val="32"/>
          <w:vertAlign w:val="subscript"/>
        </w:rPr>
        <w:t>2</w:t>
      </w:r>
      <w:r>
        <w:rPr>
          <w:rFonts w:hint="eastAsia" w:ascii="仿宋" w:hAnsi="仿宋" w:eastAsia="仿宋" w:cs="仿宋"/>
          <w:sz w:val="32"/>
          <w:szCs w:val="32"/>
        </w:rPr>
        <w:t>）、氮氧化物（NOx）、颗粒物（PM）、挥发性有机物（VOCs），减排比例应分别达到全社会占比的30%以上。SO</w:t>
      </w:r>
      <w:r>
        <w:rPr>
          <w:rFonts w:hint="eastAsia" w:ascii="仿宋" w:hAnsi="仿宋" w:eastAsia="仿宋" w:cs="仿宋"/>
          <w:sz w:val="32"/>
          <w:szCs w:val="32"/>
          <w:vertAlign w:val="subscript"/>
        </w:rPr>
        <w:t>2</w:t>
      </w:r>
      <w:r>
        <w:rPr>
          <w:rFonts w:hint="eastAsia" w:ascii="仿宋" w:hAnsi="仿宋" w:eastAsia="仿宋" w:cs="仿宋"/>
          <w:sz w:val="32"/>
          <w:szCs w:val="32"/>
        </w:rPr>
        <w:t xml:space="preserve"> 和NOx 减排比例可互为调整，二者比例之和不低于上述总体要求（工业企业减排措施见附件1）。</w:t>
      </w:r>
    </w:p>
    <w:p>
      <w:pPr>
        <w:pStyle w:val="5"/>
        <w:keepNext w:val="0"/>
        <w:keepLines w:val="0"/>
        <w:pageBreakBefore w:val="0"/>
        <w:kinsoku/>
        <w:wordWrap/>
        <w:overflowPunct/>
        <w:topLinePunct w:val="0"/>
        <w:autoSpaceDE/>
        <w:autoSpaceDN/>
        <w:bidi w:val="0"/>
        <w:spacing w:after="0"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②移动源管控措施。</w:t>
      </w:r>
      <w:r>
        <w:rPr>
          <w:rFonts w:hint="eastAsia" w:ascii="仿宋" w:hAnsi="仿宋" w:eastAsia="仿宋" w:cs="仿宋"/>
          <w:kern w:val="0"/>
          <w:sz w:val="32"/>
          <w:szCs w:val="32"/>
        </w:rPr>
        <w:t>除城</w:t>
      </w:r>
      <w:r>
        <w:rPr>
          <w:rFonts w:hint="eastAsia" w:ascii="仿宋" w:hAnsi="仿宋" w:eastAsia="仿宋" w:cs="仿宋"/>
          <w:kern w:val="0"/>
          <w:sz w:val="32"/>
          <w:szCs w:val="32"/>
          <w:lang w:eastAsia="zh-CN"/>
        </w:rPr>
        <w:t>区</w:t>
      </w:r>
      <w:r>
        <w:rPr>
          <w:rFonts w:hint="eastAsia" w:ascii="仿宋" w:hAnsi="仿宋" w:eastAsia="仿宋" w:cs="仿宋"/>
          <w:kern w:val="0"/>
          <w:sz w:val="32"/>
          <w:szCs w:val="32"/>
        </w:rPr>
        <w:t>运行保障车辆和执行任务特种车辆外，县城城区对机动车采取2个车牌尾号一组轮换限行，限行尾号与北京保持一致，法定节假日和公休日不限行；</w:t>
      </w:r>
      <w:r>
        <w:rPr>
          <w:rFonts w:hint="eastAsia" w:ascii="仿宋" w:hAnsi="仿宋" w:eastAsia="仿宋" w:cs="仿宋"/>
          <w:sz w:val="32"/>
          <w:szCs w:val="32"/>
        </w:rPr>
        <w:t>施工工地、工业企业厂区和工业园区内应停止使用国二及以下非道路移动机械（清洁能源和紧急</w:t>
      </w:r>
      <w:r>
        <w:rPr>
          <w:rFonts w:hint="eastAsia" w:ascii="仿宋" w:hAnsi="仿宋" w:eastAsia="仿宋" w:cs="仿宋"/>
          <w:kern w:val="0"/>
          <w:sz w:val="32"/>
          <w:szCs w:val="32"/>
        </w:rPr>
        <w:t>检修作业机械除外））；矿山、洗煤厂、物流（除民生保障类）等涉及大宗原料和产品运输（日常车辆进出量超过10辆）的单位应禁止使用国四及以下重型载货汽车（含燃气）进行运输。</w:t>
      </w:r>
    </w:p>
    <w:p>
      <w:pPr>
        <w:pStyle w:val="18"/>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0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③扬尘控制措施。除应急抢险外，停止所有施工工地和建筑工地作业（电器、门窗安装等不产生大气污染物的工序除外）。</w:t>
      </w:r>
    </w:p>
    <w:p>
      <w:pPr>
        <w:pStyle w:val="5"/>
        <w:keepNext w:val="0"/>
        <w:keepLines w:val="0"/>
        <w:pageBreakBefore w:val="0"/>
        <w:kinsoku/>
        <w:wordWrap/>
        <w:overflowPunct/>
        <w:topLinePunct w:val="0"/>
        <w:autoSpaceDE/>
        <w:autoSpaceDN/>
        <w:bidi w:val="0"/>
        <w:spacing w:after="0"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④综合性措施。矿山开采、矿石破碎企业（设施）、水泥粉磨站、混凝土搅拌站和砂浆搅拌站停止生产，</w:t>
      </w:r>
      <w:r>
        <w:rPr>
          <w:rFonts w:hint="eastAsia" w:ascii="仿宋" w:hAnsi="仿宋" w:eastAsia="仿宋" w:cs="仿宋"/>
          <w:kern w:val="0"/>
          <w:sz w:val="32"/>
          <w:szCs w:val="32"/>
        </w:rPr>
        <w:t>禁止使用国四及以下重型载货汽车（含燃气）进行运输</w:t>
      </w:r>
      <w:r>
        <w:rPr>
          <w:rFonts w:hint="eastAsia" w:ascii="仿宋" w:hAnsi="仿宋" w:eastAsia="仿宋" w:cs="仿宋"/>
          <w:sz w:val="32"/>
          <w:szCs w:val="32"/>
        </w:rPr>
        <w:t>;停止室外喷涂、粉刷、切割、护坡喷浆作业;在常规作业基础上，对城市主要干道增加机扫、吸扫等清洁频次</w:t>
      </w:r>
      <w:r>
        <w:rPr>
          <w:rFonts w:hint="eastAsia" w:ascii="仿宋" w:hAnsi="仿宋" w:eastAsia="仿宋" w:cs="仿宋"/>
          <w:kern w:val="0"/>
          <w:sz w:val="32"/>
          <w:szCs w:val="32"/>
        </w:rPr>
        <w:t>（冰冻期除外）</w:t>
      </w:r>
      <w:r>
        <w:rPr>
          <w:rFonts w:hint="eastAsia" w:ascii="仿宋" w:hAnsi="仿宋" w:eastAsia="仿宋" w:cs="仿宋"/>
          <w:sz w:val="32"/>
          <w:szCs w:val="32"/>
        </w:rPr>
        <w:t>。</w:t>
      </w:r>
    </w:p>
    <w:p>
      <w:pPr>
        <w:keepNext w:val="0"/>
        <w:keepLines w:val="0"/>
        <w:pageBreakBefore w:val="0"/>
        <w:widowControl/>
        <w:shd w:val="clear" w:color="auto" w:fill="FFFFFF"/>
        <w:kinsoku/>
        <w:wordWrap/>
        <w:overflowPunct/>
        <w:topLinePunct w:val="0"/>
        <w:autoSpaceDE/>
        <w:autoSpaceDN/>
        <w:bidi w:val="0"/>
        <w:spacing w:line="500" w:lineRule="exact"/>
        <w:ind w:firstLine="640"/>
        <w:textAlignment w:val="auto"/>
        <w:rPr>
          <w:rFonts w:ascii="黑体" w:hAnsi="黑体" w:eastAsia="黑体" w:cs="黑体"/>
          <w:kern w:val="0"/>
          <w:sz w:val="32"/>
          <w:szCs w:val="32"/>
        </w:rPr>
      </w:pPr>
      <w:r>
        <w:rPr>
          <w:rFonts w:hint="eastAsia" w:ascii="黑体" w:hAnsi="黑体" w:eastAsia="黑体" w:cs="黑体"/>
          <w:kern w:val="0"/>
          <w:sz w:val="32"/>
          <w:szCs w:val="32"/>
        </w:rPr>
        <w:t>七、应急保障</w:t>
      </w:r>
    </w:p>
    <w:p>
      <w:pPr>
        <w:keepNext w:val="0"/>
        <w:keepLines w:val="0"/>
        <w:pageBreakBefore w:val="0"/>
        <w:widowControl/>
        <w:shd w:val="clear" w:color="auto" w:fill="FFFFFF"/>
        <w:kinsoku/>
        <w:wordWrap/>
        <w:overflowPunct/>
        <w:topLinePunct w:val="0"/>
        <w:autoSpaceDE/>
        <w:autoSpaceDN/>
        <w:bidi w:val="0"/>
        <w:spacing w:line="500" w:lineRule="exact"/>
        <w:ind w:firstLine="640"/>
        <w:textAlignment w:val="auto"/>
        <w:rPr>
          <w:rFonts w:ascii="楷体" w:hAnsi="楷体" w:eastAsia="楷体" w:cs="楷体"/>
          <w:b/>
          <w:bCs/>
          <w:kern w:val="0"/>
          <w:sz w:val="32"/>
          <w:szCs w:val="32"/>
        </w:rPr>
      </w:pPr>
      <w:r>
        <w:rPr>
          <w:rFonts w:hint="eastAsia" w:ascii="楷体" w:hAnsi="楷体" w:eastAsia="楷体" w:cs="楷体"/>
          <w:b/>
          <w:bCs/>
          <w:kern w:val="0"/>
          <w:sz w:val="32"/>
          <w:szCs w:val="32"/>
        </w:rPr>
        <w:t>（一）组织保障</w:t>
      </w:r>
    </w:p>
    <w:p>
      <w:pPr>
        <w:keepNext w:val="0"/>
        <w:keepLines w:val="0"/>
        <w:pageBreakBefore w:val="0"/>
        <w:widowControl/>
        <w:shd w:val="clear" w:color="auto" w:fill="FFFFFF"/>
        <w:kinsoku/>
        <w:wordWrap/>
        <w:overflowPunct/>
        <w:topLinePunct w:val="0"/>
        <w:autoSpaceDE/>
        <w:autoSpaceDN/>
        <w:bidi w:val="0"/>
        <w:spacing w:line="500" w:lineRule="exact"/>
        <w:ind w:firstLine="640"/>
        <w:textAlignment w:val="auto"/>
        <w:rPr>
          <w:rFonts w:ascii="仿宋" w:hAnsi="仿宋" w:eastAsia="仿宋" w:cs="仿宋"/>
          <w:kern w:val="0"/>
          <w:sz w:val="32"/>
          <w:szCs w:val="32"/>
        </w:rPr>
      </w:pPr>
      <w:bookmarkStart w:id="2" w:name="_Toc18798"/>
      <w:bookmarkEnd w:id="2"/>
      <w:bookmarkStart w:id="3" w:name="_Toc6016"/>
      <w:bookmarkEnd w:id="3"/>
      <w:bookmarkStart w:id="4" w:name="_Toc15439"/>
      <w:r>
        <w:rPr>
          <w:rFonts w:hint="eastAsia" w:ascii="仿宋" w:hAnsi="仿宋" w:eastAsia="仿宋" w:cs="仿宋"/>
          <w:sz w:val="32"/>
          <w:szCs w:val="32"/>
        </w:rPr>
        <w:t>重污染天气应急响应办公室组织发布或解除重污染天气预警信息，核准并向社会发布纳入正面清单的工业企业和建设工程项目信息。</w:t>
      </w:r>
      <w:r>
        <w:rPr>
          <w:rFonts w:hint="eastAsia" w:ascii="仿宋" w:hAnsi="仿宋" w:eastAsia="仿宋" w:cs="仿宋"/>
          <w:kern w:val="0"/>
          <w:sz w:val="32"/>
          <w:szCs w:val="32"/>
        </w:rPr>
        <w:t>重污染天气应急响应办公室确保督导检查组人员配备齐全，及时到位。各成员单位和企业分别成立应急响应工作组，安排专人负责重污染天气应急工作。</w:t>
      </w:r>
      <w:bookmarkEnd w:id="4"/>
    </w:p>
    <w:p>
      <w:pPr>
        <w:keepNext w:val="0"/>
        <w:keepLines w:val="0"/>
        <w:pageBreakBefore w:val="0"/>
        <w:numPr>
          <w:ilvl w:val="0"/>
          <w:numId w:val="0"/>
        </w:numPr>
        <w:kinsoku/>
        <w:wordWrap/>
        <w:overflowPunct/>
        <w:topLinePunct w:val="0"/>
        <w:autoSpaceDE/>
        <w:autoSpaceDN/>
        <w:bidi w:val="0"/>
        <w:adjustRightInd w:val="0"/>
        <w:snapToGrid w:val="0"/>
        <w:spacing w:line="500" w:lineRule="exact"/>
        <w:ind w:firstLine="675" w:firstLineChars="200"/>
        <w:textAlignment w:val="auto"/>
        <w:rPr>
          <w:rFonts w:hint="eastAsia" w:ascii="楷体" w:hAnsi="楷体" w:eastAsia="楷体" w:cs="楷体"/>
          <w:b/>
          <w:bCs/>
          <w:spacing w:val="8"/>
          <w:sz w:val="32"/>
          <w:szCs w:val="32"/>
        </w:rPr>
      </w:pPr>
      <w:r>
        <w:rPr>
          <w:rFonts w:hint="eastAsia" w:ascii="楷体" w:hAnsi="楷体" w:eastAsia="楷体" w:cs="楷体"/>
          <w:b/>
          <w:bCs/>
          <w:spacing w:val="8"/>
          <w:sz w:val="32"/>
          <w:szCs w:val="32"/>
          <w:lang w:eastAsia="zh-CN"/>
        </w:rPr>
        <w:t>（二）</w:t>
      </w:r>
      <w:r>
        <w:rPr>
          <w:rFonts w:hint="eastAsia" w:ascii="楷体" w:hAnsi="楷体" w:eastAsia="楷体" w:cs="楷体"/>
          <w:b/>
          <w:bCs/>
          <w:spacing w:val="8"/>
          <w:sz w:val="32"/>
          <w:szCs w:val="32"/>
        </w:rPr>
        <w:t>财力保障</w:t>
      </w:r>
    </w:p>
    <w:p>
      <w:pPr>
        <w:pStyle w:val="18"/>
        <w:keepNext w:val="0"/>
        <w:keepLines w:val="0"/>
        <w:pageBreakBefore w:val="0"/>
        <w:kinsoku/>
        <w:wordWrap/>
        <w:overflowPunct/>
        <w:topLinePunct w:val="0"/>
        <w:autoSpaceDE/>
        <w:autoSpaceDN/>
        <w:bidi w:val="0"/>
        <w:spacing w:before="0" w:beforeAutospacing="0" w:after="0" w:afterAutospacing="0" w:line="50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逐步加大重污染天气资金投入力度，为重污染天气预警、应急处置与救援、监督检查，以及基础设施建设、运行和维护，应急技术支持和应急演练等各项工作提供资金保障。</w:t>
      </w:r>
    </w:p>
    <w:p>
      <w:pPr>
        <w:keepNext w:val="0"/>
        <w:keepLines w:val="0"/>
        <w:pageBreakBefore w:val="0"/>
        <w:kinsoku/>
        <w:wordWrap/>
        <w:overflowPunct/>
        <w:topLinePunct w:val="0"/>
        <w:autoSpaceDE/>
        <w:autoSpaceDN/>
        <w:bidi w:val="0"/>
        <w:adjustRightInd w:val="0"/>
        <w:snapToGrid w:val="0"/>
        <w:spacing w:line="500" w:lineRule="exact"/>
        <w:ind w:firstLine="675" w:firstLineChars="200"/>
        <w:textAlignment w:val="auto"/>
        <w:rPr>
          <w:rFonts w:hint="eastAsia" w:ascii="楷体" w:hAnsi="楷体" w:eastAsia="楷体" w:cs="楷体"/>
          <w:b/>
          <w:bCs/>
          <w:spacing w:val="8"/>
          <w:sz w:val="32"/>
          <w:szCs w:val="32"/>
        </w:rPr>
      </w:pPr>
      <w:r>
        <w:rPr>
          <w:rFonts w:hint="eastAsia" w:ascii="楷体" w:hAnsi="楷体" w:eastAsia="楷体" w:cs="楷体"/>
          <w:b/>
          <w:bCs/>
          <w:spacing w:val="8"/>
          <w:sz w:val="32"/>
          <w:szCs w:val="32"/>
        </w:rPr>
        <w:t>（三）物资保障</w:t>
      </w:r>
    </w:p>
    <w:p>
      <w:pPr>
        <w:pStyle w:val="18"/>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0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制定应急期间应急仪器、车辆、人员防护装备调配计划，明确各项应急物资的储备维护主体、种类与数量。各</w:t>
      </w:r>
      <w:r>
        <w:rPr>
          <w:rFonts w:hint="eastAsia" w:ascii="仿宋" w:hAnsi="仿宋" w:eastAsia="仿宋" w:cs="仿宋"/>
          <w:sz w:val="32"/>
          <w:szCs w:val="32"/>
          <w:lang w:eastAsia="zh-CN"/>
        </w:rPr>
        <w:t>相关</w:t>
      </w:r>
      <w:r>
        <w:rPr>
          <w:rFonts w:hint="eastAsia" w:ascii="仿宋" w:hAnsi="仿宋" w:eastAsia="仿宋" w:cs="仿宋"/>
          <w:sz w:val="32"/>
          <w:szCs w:val="32"/>
        </w:rPr>
        <w:t>部门应根据各自职能分工，配备种类齐全、数量充足的应急仪器、车辆和防护器材等硬件装备，进行日常管理和维护保养，确保重污染天气应对工作顺利开展。</w:t>
      </w:r>
    </w:p>
    <w:p>
      <w:pPr>
        <w:pStyle w:val="18"/>
        <w:keepNext w:val="0"/>
        <w:keepLines w:val="0"/>
        <w:pageBreakBefore w:val="0"/>
        <w:kinsoku/>
        <w:wordWrap/>
        <w:overflowPunct/>
        <w:topLinePunct w:val="0"/>
        <w:autoSpaceDE/>
        <w:autoSpaceDN/>
        <w:bidi w:val="0"/>
        <w:spacing w:before="0" w:beforeAutospacing="0" w:after="0" w:afterAutospacing="0" w:line="500" w:lineRule="exact"/>
        <w:ind w:left="640"/>
        <w:jc w:val="both"/>
        <w:textAlignment w:val="auto"/>
        <w:rPr>
          <w:rFonts w:ascii="楷体" w:hAnsi="楷体" w:eastAsia="楷体" w:cs="楷体"/>
          <w:b/>
          <w:bCs/>
          <w:sz w:val="32"/>
          <w:szCs w:val="32"/>
        </w:rPr>
      </w:pPr>
      <w:bookmarkStart w:id="5" w:name="_Toc7593"/>
      <w:bookmarkStart w:id="6" w:name="_Toc11139"/>
      <w:bookmarkStart w:id="7" w:name="_Toc367628408"/>
      <w:bookmarkStart w:id="8" w:name="_Toc19428"/>
      <w:bookmarkStart w:id="9" w:name="_Toc4393"/>
      <w:bookmarkStart w:id="10" w:name="_Toc363062445"/>
      <w:bookmarkStart w:id="11" w:name="_Toc367628551"/>
      <w:bookmarkStart w:id="12" w:name="_Toc366168099"/>
      <w:bookmarkStart w:id="13" w:name="_Toc20841"/>
      <w:r>
        <w:rPr>
          <w:rFonts w:hint="eastAsia" w:ascii="楷体" w:hAnsi="楷体" w:eastAsia="楷体" w:cs="楷体"/>
          <w:b/>
          <w:bCs/>
          <w:sz w:val="32"/>
          <w:szCs w:val="32"/>
        </w:rPr>
        <w:t>（四）制度保障</w:t>
      </w:r>
    </w:p>
    <w:p>
      <w:pPr>
        <w:pStyle w:val="18"/>
        <w:keepNext w:val="0"/>
        <w:keepLines w:val="0"/>
        <w:pageBreakBefore w:val="0"/>
        <w:kinsoku/>
        <w:wordWrap/>
        <w:overflowPunct/>
        <w:topLinePunct w:val="0"/>
        <w:autoSpaceDE/>
        <w:autoSpaceDN/>
        <w:bidi w:val="0"/>
        <w:spacing w:before="0" w:beforeAutospacing="0" w:after="0" w:afterAutospacing="0" w:line="500" w:lineRule="exact"/>
        <w:ind w:firstLine="640" w:firstLineChars="200"/>
        <w:jc w:val="both"/>
        <w:textAlignment w:val="auto"/>
        <w:rPr>
          <w:rFonts w:hint="eastAsia" w:ascii="仿宋" w:hAnsi="仿宋" w:eastAsia="仿宋" w:cs="仿宋"/>
          <w:spacing w:val="8"/>
          <w:sz w:val="32"/>
          <w:szCs w:val="32"/>
        </w:rPr>
      </w:pPr>
      <w:r>
        <w:rPr>
          <w:rFonts w:hint="eastAsia" w:ascii="仿宋" w:hAnsi="仿宋" w:eastAsia="仿宋" w:cs="仿宋"/>
          <w:sz w:val="32"/>
          <w:szCs w:val="32"/>
        </w:rPr>
        <w:t>各</w:t>
      </w:r>
      <w:r>
        <w:rPr>
          <w:rFonts w:hint="eastAsia" w:ascii="仿宋" w:hAnsi="仿宋" w:eastAsia="仿宋" w:cs="仿宋"/>
          <w:sz w:val="32"/>
          <w:szCs w:val="32"/>
          <w:lang w:eastAsia="zh-CN"/>
        </w:rPr>
        <w:t>相关</w:t>
      </w:r>
      <w:r>
        <w:rPr>
          <w:rFonts w:hint="eastAsia" w:ascii="仿宋" w:hAnsi="仿宋" w:eastAsia="仿宋" w:cs="仿宋"/>
          <w:sz w:val="32"/>
          <w:szCs w:val="32"/>
        </w:rPr>
        <w:t>部门要进一步加强重污染天气工作制度建设，按照职责分工制定相应的应急预案或方案，重点建立健全工业大气污染源减排、机动车限行、道路和施工工地扬尘管理、社会动员以及监督检查等工作机制。</w:t>
      </w:r>
    </w:p>
    <w:p>
      <w:pPr>
        <w:pStyle w:val="22"/>
        <w:keepNext w:val="0"/>
        <w:keepLines w:val="0"/>
        <w:pageBreakBefore w:val="0"/>
        <w:kinsoku/>
        <w:wordWrap/>
        <w:overflowPunct/>
        <w:topLinePunct w:val="0"/>
        <w:autoSpaceDE/>
        <w:autoSpaceDN/>
        <w:bidi w:val="0"/>
        <w:spacing w:before="0" w:after="0" w:line="500" w:lineRule="exact"/>
        <w:ind w:firstLine="643" w:firstLineChars="200"/>
        <w:jc w:val="both"/>
        <w:textAlignment w:val="auto"/>
        <w:rPr>
          <w:rFonts w:ascii="楷体" w:hAnsi="楷体" w:eastAsia="楷体" w:cs="楷体"/>
          <w:b/>
          <w:bCs/>
          <w:color w:val="auto"/>
          <w:sz w:val="32"/>
          <w:szCs w:val="32"/>
        </w:rPr>
      </w:pPr>
      <w:r>
        <w:rPr>
          <w:rFonts w:hint="eastAsia" w:ascii="楷体" w:hAnsi="楷体" w:eastAsia="楷体" w:cs="楷体"/>
          <w:b/>
          <w:bCs/>
          <w:color w:val="auto"/>
          <w:sz w:val="32"/>
          <w:szCs w:val="32"/>
        </w:rPr>
        <w:t>（六）落实保障</w:t>
      </w:r>
    </w:p>
    <w:p>
      <w:pPr>
        <w:keepNext w:val="0"/>
        <w:keepLines w:val="0"/>
        <w:pageBreakBefore w:val="0"/>
        <w:kinsoku/>
        <w:wordWrap/>
        <w:overflowPunct/>
        <w:topLinePunct w:val="0"/>
        <w:autoSpaceDE/>
        <w:autoSpaceDN/>
        <w:bidi w:val="0"/>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建立健全监督检查工作体系。重污染天气应急响应期间，县政府及各</w:t>
      </w:r>
      <w:r>
        <w:rPr>
          <w:rFonts w:hint="eastAsia" w:ascii="仿宋" w:hAnsi="仿宋" w:eastAsia="仿宋" w:cs="仿宋"/>
          <w:sz w:val="32"/>
          <w:szCs w:val="32"/>
          <w:lang w:eastAsia="zh-CN"/>
        </w:rPr>
        <w:t>相关</w:t>
      </w:r>
      <w:r>
        <w:rPr>
          <w:rFonts w:hint="eastAsia" w:ascii="仿宋" w:hAnsi="仿宋" w:eastAsia="仿宋" w:cs="仿宋"/>
          <w:sz w:val="32"/>
          <w:szCs w:val="32"/>
        </w:rPr>
        <w:t>部门制定非重污染天气期间的和重污染天气期间的监督检查工作方案，以及重点时段的空区质量保障监督检查工作方案等。特别是防止散煤复燃，建立县、乡、村监督检查的包联机制。同时，积极组织开展强化监督检查，保障应急减排措施有效落实。</w:t>
      </w:r>
    </w:p>
    <w:p>
      <w:pPr>
        <w:keepNext w:val="0"/>
        <w:keepLines w:val="0"/>
        <w:pageBreakBefore w:val="0"/>
        <w:kinsoku/>
        <w:wordWrap/>
        <w:overflowPunct/>
        <w:topLinePunct w:val="0"/>
        <w:autoSpaceDE/>
        <w:autoSpaceDN/>
        <w:bidi w:val="0"/>
        <w:spacing w:line="500" w:lineRule="exact"/>
        <w:ind w:firstLine="640" w:firstLineChars="200"/>
        <w:textAlignment w:val="auto"/>
        <w:rPr>
          <w:rFonts w:hint="eastAsia" w:ascii="仿宋" w:hAnsi="仿宋" w:eastAsia="仿宋" w:cs="仿宋"/>
          <w:spacing w:val="8"/>
          <w:sz w:val="32"/>
          <w:szCs w:val="32"/>
        </w:rPr>
      </w:pPr>
      <w:r>
        <w:rPr>
          <w:rFonts w:hint="eastAsia" w:ascii="仿宋" w:hAnsi="仿宋" w:eastAsia="仿宋" w:cs="仿宋"/>
          <w:sz w:val="32"/>
          <w:szCs w:val="32"/>
        </w:rPr>
        <w:t>进一步加大追责问责力度。对工作中慢作为、不作为、乱作为的，对问题久拖不办、整改不力的，对虚报瞒报、弄虚作假的，该约谈的约谈、该曝光的曝光，该处理的依法依纪严肃处理。要突出“稳、准、狠、快”，有力推动相关部门环境保护主体责任落地落实。</w:t>
      </w:r>
    </w:p>
    <w:p>
      <w:pPr>
        <w:keepNext w:val="0"/>
        <w:keepLines w:val="0"/>
        <w:pageBreakBefore w:val="0"/>
        <w:kinsoku/>
        <w:wordWrap/>
        <w:overflowPunct/>
        <w:topLinePunct w:val="0"/>
        <w:autoSpaceDE/>
        <w:autoSpaceDN/>
        <w:bidi w:val="0"/>
        <w:adjustRightInd w:val="0"/>
        <w:snapToGrid w:val="0"/>
        <w:spacing w:line="500" w:lineRule="exact"/>
        <w:ind w:firstLine="675" w:firstLineChars="200"/>
        <w:textAlignment w:val="auto"/>
        <w:rPr>
          <w:rFonts w:hint="eastAsia" w:ascii="楷体" w:hAnsi="楷体" w:eastAsia="楷体" w:cs="楷体"/>
          <w:b/>
          <w:bCs/>
          <w:spacing w:val="8"/>
          <w:sz w:val="32"/>
          <w:szCs w:val="32"/>
        </w:rPr>
      </w:pPr>
      <w:r>
        <w:rPr>
          <w:rFonts w:hint="eastAsia" w:ascii="楷体" w:hAnsi="楷体" w:eastAsia="楷体" w:cs="楷体"/>
          <w:b/>
          <w:bCs/>
          <w:spacing w:val="8"/>
          <w:sz w:val="32"/>
          <w:szCs w:val="32"/>
        </w:rPr>
        <w:t>（七）通信与信息保障</w:t>
      </w:r>
      <w:bookmarkEnd w:id="5"/>
      <w:bookmarkEnd w:id="6"/>
      <w:bookmarkEnd w:id="7"/>
      <w:bookmarkEnd w:id="8"/>
      <w:bookmarkEnd w:id="9"/>
      <w:bookmarkEnd w:id="10"/>
      <w:bookmarkEnd w:id="11"/>
      <w:bookmarkEnd w:id="12"/>
      <w:bookmarkEnd w:id="13"/>
    </w:p>
    <w:p>
      <w:pPr>
        <w:keepNext w:val="0"/>
        <w:keepLines w:val="0"/>
        <w:pageBreakBefore w:val="0"/>
        <w:kinsoku/>
        <w:wordWrap/>
        <w:overflowPunct/>
        <w:topLinePunct w:val="0"/>
        <w:autoSpaceDE/>
        <w:autoSpaceDN/>
        <w:bidi w:val="0"/>
        <w:adjustRightInd w:val="0"/>
        <w:snapToGrid w:val="0"/>
        <w:spacing w:line="500" w:lineRule="exact"/>
        <w:ind w:firstLine="640" w:firstLineChars="200"/>
        <w:textAlignment w:val="auto"/>
        <w:rPr>
          <w:rFonts w:ascii="仿宋_GB2312" w:hAnsi="楷体_GB2312" w:eastAsia="仿宋_GB2312" w:cs="仿宋_GB2312"/>
          <w:sz w:val="32"/>
          <w:szCs w:val="32"/>
        </w:rPr>
      </w:pPr>
      <w:r>
        <w:rPr>
          <w:rFonts w:hint="eastAsia" w:ascii="仿宋" w:hAnsi="仿宋" w:eastAsia="仿宋" w:cs="仿宋"/>
          <w:sz w:val="32"/>
          <w:szCs w:val="32"/>
        </w:rPr>
        <w:t>各</w:t>
      </w:r>
      <w:r>
        <w:rPr>
          <w:rFonts w:hint="eastAsia" w:ascii="仿宋" w:hAnsi="仿宋" w:eastAsia="仿宋" w:cs="仿宋"/>
          <w:sz w:val="32"/>
          <w:szCs w:val="32"/>
          <w:lang w:eastAsia="zh-CN"/>
        </w:rPr>
        <w:t>相关</w:t>
      </w:r>
      <w:r>
        <w:rPr>
          <w:rFonts w:hint="eastAsia" w:ascii="仿宋" w:hAnsi="仿宋" w:eastAsia="仿宋" w:cs="仿宋"/>
          <w:sz w:val="32"/>
          <w:szCs w:val="32"/>
        </w:rPr>
        <w:t>部门要建立重污染天气应急值守制度，健全应急人员通信信息库，明确重污染天气应急负责人和联络员，并制定应急信息通信系统及维护方案，保持24小时通信畅通，保证应急信息和指令的及时有效传达。</w:t>
      </w:r>
    </w:p>
    <w:p>
      <w:pPr>
        <w:keepNext w:val="0"/>
        <w:keepLines w:val="0"/>
        <w:pageBreakBefore w:val="0"/>
        <w:kinsoku/>
        <w:wordWrap/>
        <w:overflowPunct/>
        <w:topLinePunct w:val="0"/>
        <w:autoSpaceDE/>
        <w:autoSpaceDN/>
        <w:bidi w:val="0"/>
        <w:adjustRightInd w:val="0"/>
        <w:snapToGrid w:val="0"/>
        <w:spacing w:line="500" w:lineRule="exact"/>
        <w:ind w:firstLine="675" w:firstLineChars="200"/>
        <w:textAlignment w:val="auto"/>
        <w:rPr>
          <w:rFonts w:hint="eastAsia" w:ascii="楷体" w:hAnsi="楷体" w:eastAsia="楷体" w:cs="楷体"/>
          <w:b/>
          <w:bCs/>
          <w:spacing w:val="8"/>
          <w:sz w:val="32"/>
          <w:szCs w:val="32"/>
        </w:rPr>
      </w:pPr>
      <w:r>
        <w:rPr>
          <w:rFonts w:hint="eastAsia" w:ascii="楷体" w:hAnsi="楷体" w:eastAsia="楷体" w:cs="楷体"/>
          <w:b/>
          <w:bCs/>
          <w:spacing w:val="8"/>
          <w:sz w:val="32"/>
          <w:szCs w:val="32"/>
        </w:rPr>
        <w:t>（八）医疗卫生保障</w:t>
      </w:r>
    </w:p>
    <w:p>
      <w:pPr>
        <w:keepNext w:val="0"/>
        <w:keepLines w:val="0"/>
        <w:pageBreakBefore w:val="0"/>
        <w:kinsoku/>
        <w:wordWrap/>
        <w:overflowPunct/>
        <w:topLinePunct w:val="0"/>
        <w:autoSpaceDE/>
        <w:autoSpaceDN/>
        <w:bidi w:val="0"/>
        <w:adjustRightInd w:val="0"/>
        <w:snapToGrid w:val="0"/>
        <w:spacing w:line="500" w:lineRule="exact"/>
        <w:ind w:firstLine="640" w:firstLineChars="200"/>
        <w:textAlignment w:val="auto"/>
        <w:outlineLvl w:val="1"/>
        <w:rPr>
          <w:rFonts w:hint="eastAsia" w:ascii="仿宋" w:hAnsi="仿宋" w:eastAsia="仿宋" w:cs="仿宋"/>
          <w:sz w:val="32"/>
          <w:szCs w:val="32"/>
        </w:rPr>
      </w:pPr>
      <w:r>
        <w:rPr>
          <w:rFonts w:hint="eastAsia" w:ascii="仿宋" w:hAnsi="仿宋" w:eastAsia="仿宋" w:cs="仿宋"/>
          <w:sz w:val="32"/>
          <w:szCs w:val="32"/>
        </w:rPr>
        <w:t>建立健全重污染天气所致疾病突发事件卫生应急专家库，并按照预案做好患者诊治工作，确保应急状态下相关医务人员及时到位。加强相关医疗物资储备与应急调配机制建设。以易感人群为重点，加强重污染天气健康防护常识宣传教育。</w:t>
      </w:r>
    </w:p>
    <w:p>
      <w:pPr>
        <w:keepNext w:val="0"/>
        <w:keepLines w:val="0"/>
        <w:pageBreakBefore w:val="0"/>
        <w:kinsoku/>
        <w:wordWrap/>
        <w:overflowPunct/>
        <w:topLinePunct w:val="0"/>
        <w:autoSpaceDE/>
        <w:autoSpaceDN/>
        <w:bidi w:val="0"/>
        <w:adjustRightInd w:val="0"/>
        <w:snapToGrid w:val="0"/>
        <w:spacing w:line="500" w:lineRule="exact"/>
        <w:ind w:firstLine="640" w:firstLineChars="200"/>
        <w:textAlignment w:val="auto"/>
        <w:outlineLvl w:val="1"/>
        <w:rPr>
          <w:rFonts w:ascii="黑体" w:hAnsi="黑体" w:eastAsia="黑体" w:cs="黑体"/>
          <w:sz w:val="32"/>
          <w:szCs w:val="32"/>
        </w:rPr>
      </w:pPr>
      <w:r>
        <w:rPr>
          <w:rFonts w:hint="eastAsia" w:ascii="黑体" w:hAnsi="黑体" w:eastAsia="黑体" w:cs="黑体"/>
          <w:sz w:val="32"/>
          <w:szCs w:val="32"/>
        </w:rPr>
        <w:t>九、信息报告和总结评估</w:t>
      </w:r>
    </w:p>
    <w:p>
      <w:pPr>
        <w:keepNext w:val="0"/>
        <w:keepLines w:val="0"/>
        <w:pageBreakBefore w:val="0"/>
        <w:kinsoku/>
        <w:wordWrap/>
        <w:overflowPunct/>
        <w:topLinePunct w:val="0"/>
        <w:autoSpaceDE/>
        <w:autoSpaceDN/>
        <w:bidi w:val="0"/>
        <w:adjustRightInd w:val="0"/>
        <w:snapToGrid w:val="0"/>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重污染天气应急响应办公室成员单位按职责要求，在启动重污染天气Ⅲ级及以上应急响应次日上午10:00前，向县大气办报送前一日应急响应措施落实情况，内容包括预警发布情况、企业停限产名单及减排量、每日出动检查人员、车辆、检查企业数量及检查存在的问题。应急响应终止后的次日下午16：00前上报应急响应措施总结。</w:t>
      </w:r>
    </w:p>
    <w:p>
      <w:pPr>
        <w:pStyle w:val="18"/>
        <w:keepNext w:val="0"/>
        <w:keepLines w:val="0"/>
        <w:pageBreakBefore w:val="0"/>
        <w:kinsoku/>
        <w:wordWrap/>
        <w:overflowPunct/>
        <w:topLinePunct w:val="0"/>
        <w:autoSpaceDE/>
        <w:autoSpaceDN/>
        <w:bidi w:val="0"/>
        <w:spacing w:before="0" w:beforeAutospacing="0" w:after="0" w:afterAutospacing="0" w:line="500" w:lineRule="exact"/>
        <w:ind w:firstLine="640"/>
        <w:jc w:val="both"/>
        <w:textAlignment w:val="auto"/>
        <w:rPr>
          <w:rFonts w:hint="eastAsia" w:ascii="仿宋" w:hAnsi="仿宋" w:eastAsia="仿宋" w:cs="仿宋"/>
          <w:sz w:val="32"/>
          <w:szCs w:val="32"/>
        </w:rPr>
      </w:pPr>
      <w:r>
        <w:rPr>
          <w:rFonts w:hint="eastAsia" w:ascii="仿宋" w:hAnsi="仿宋" w:eastAsia="仿宋" w:cs="仿宋"/>
          <w:sz w:val="32"/>
          <w:szCs w:val="32"/>
        </w:rPr>
        <w:t>县大气办在启动重污染天气Ⅲ级及以上应急响应次日，向市大气办报送前一日应急响应情况。</w:t>
      </w:r>
    </w:p>
    <w:p>
      <w:pPr>
        <w:pStyle w:val="18"/>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0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县大气办对每次重污染天气应急过程进行评估，内容包括：重污染天气发生及预警发布情况，各部门响应情况，企业措施落实情况。县大气办于每年5月前组织</w:t>
      </w:r>
      <w:r>
        <w:rPr>
          <w:rFonts w:hint="eastAsia" w:ascii="仿宋" w:hAnsi="仿宋" w:eastAsia="仿宋" w:cs="仿宋"/>
          <w:sz w:val="32"/>
          <w:szCs w:val="32"/>
          <w:lang w:eastAsia="zh-CN"/>
        </w:rPr>
        <w:t>相关</w:t>
      </w:r>
      <w:r>
        <w:rPr>
          <w:rFonts w:hint="eastAsia" w:ascii="仿宋" w:hAnsi="仿宋" w:eastAsia="仿宋" w:cs="仿宋"/>
          <w:sz w:val="32"/>
          <w:szCs w:val="32"/>
        </w:rPr>
        <w:t>部门和专家开展前12个月的重污染天气应急工作评估，重点评估应急预案实施情况、应急措施环境效益和经济成本，以及预案内容的完整性、预警规定的详实性、响应措施的针对性和可操作性、专项实施方案完备性。</w:t>
      </w:r>
    </w:p>
    <w:p>
      <w:pPr>
        <w:pStyle w:val="18"/>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00" w:lineRule="exact"/>
        <w:ind w:firstLine="640" w:firstLineChars="200"/>
        <w:jc w:val="both"/>
        <w:textAlignment w:val="auto"/>
        <w:rPr>
          <w:rFonts w:hint="eastAsia" w:ascii="仿宋" w:hAnsi="仿宋" w:eastAsia="仿宋" w:cs="仿宋"/>
          <w:sz w:val="44"/>
          <w:szCs w:val="44"/>
        </w:rPr>
      </w:pPr>
      <w:r>
        <w:rPr>
          <w:rFonts w:hint="eastAsia" w:ascii="仿宋" w:hAnsi="仿宋" w:eastAsia="仿宋" w:cs="仿宋"/>
          <w:sz w:val="32"/>
          <w:szCs w:val="32"/>
        </w:rPr>
        <w:t>根据总结评估结果，应急预案、实施方案需进行重大调整的，应在当年10月底前完成修订和报备工作。</w:t>
      </w:r>
    </w:p>
    <w:p>
      <w:pPr>
        <w:keepNext w:val="0"/>
        <w:keepLines w:val="0"/>
        <w:pageBreakBefore w:val="0"/>
        <w:kinsoku/>
        <w:wordWrap/>
        <w:overflowPunct/>
        <w:topLinePunct w:val="0"/>
        <w:autoSpaceDE/>
        <w:autoSpaceDN/>
        <w:bidi w:val="0"/>
        <w:adjustRightInd w:val="0"/>
        <w:snapToGrid w:val="0"/>
        <w:spacing w:line="500" w:lineRule="exact"/>
        <w:ind w:firstLine="640" w:firstLineChars="200"/>
        <w:textAlignment w:val="auto"/>
        <w:rPr>
          <w:rFonts w:hint="eastAsia" w:ascii="仿宋" w:hAnsi="仿宋" w:eastAsia="仿宋" w:cs="仿宋"/>
          <w:kern w:val="0"/>
          <w:sz w:val="32"/>
          <w:szCs w:val="32"/>
        </w:rPr>
      </w:pPr>
      <w:r>
        <w:rPr>
          <w:rFonts w:hint="eastAsia" w:ascii="仿宋" w:hAnsi="仿宋" w:eastAsia="仿宋" w:cs="仿宋"/>
          <w:sz w:val="32"/>
          <w:szCs w:val="32"/>
        </w:rPr>
        <w:t>重污染天气应急响应办公室</w:t>
      </w:r>
      <w:r>
        <w:rPr>
          <w:rFonts w:hint="eastAsia" w:ascii="仿宋" w:hAnsi="仿宋" w:eastAsia="仿宋" w:cs="仿宋"/>
          <w:kern w:val="0"/>
          <w:sz w:val="32"/>
          <w:szCs w:val="32"/>
        </w:rPr>
        <w:t>成员单位和有关企业应做好重污染天气应急过程记录，建立档案制度。</w:t>
      </w:r>
    </w:p>
    <w:p>
      <w:pPr>
        <w:keepNext w:val="0"/>
        <w:keepLines w:val="0"/>
        <w:pageBreakBefore w:val="0"/>
        <w:kinsoku/>
        <w:wordWrap/>
        <w:overflowPunct/>
        <w:topLinePunct w:val="0"/>
        <w:autoSpaceDE/>
        <w:autoSpaceDN/>
        <w:bidi w:val="0"/>
        <w:adjustRightInd w:val="0"/>
        <w:snapToGrid w:val="0"/>
        <w:spacing w:line="500" w:lineRule="exact"/>
        <w:ind w:firstLine="640" w:firstLineChars="200"/>
        <w:textAlignment w:val="auto"/>
        <w:rPr>
          <w:rFonts w:ascii="黑体" w:hAnsi="黑体" w:eastAsia="黑体" w:cs="黑体"/>
          <w:kern w:val="0"/>
          <w:sz w:val="32"/>
          <w:szCs w:val="32"/>
        </w:rPr>
      </w:pPr>
      <w:r>
        <w:rPr>
          <w:rFonts w:hint="eastAsia" w:ascii="黑体" w:hAnsi="黑体" w:eastAsia="黑体" w:cs="黑体"/>
          <w:kern w:val="0"/>
          <w:sz w:val="32"/>
          <w:szCs w:val="32"/>
        </w:rPr>
        <w:t>十、预案管理</w:t>
      </w:r>
    </w:p>
    <w:p>
      <w:pPr>
        <w:keepNext w:val="0"/>
        <w:keepLines w:val="0"/>
        <w:pageBreakBefore w:val="0"/>
        <w:kinsoku/>
        <w:wordWrap/>
        <w:overflowPunct/>
        <w:topLinePunct w:val="0"/>
        <w:autoSpaceDE/>
        <w:autoSpaceDN/>
        <w:bidi w:val="0"/>
        <w:adjustRightInd w:val="0"/>
        <w:snapToGrid w:val="0"/>
        <w:spacing w:line="500" w:lineRule="exact"/>
        <w:ind w:firstLine="675" w:firstLineChars="200"/>
        <w:textAlignment w:val="auto"/>
        <w:rPr>
          <w:rFonts w:hint="eastAsia" w:ascii="楷体" w:hAnsi="楷体" w:eastAsia="楷体" w:cs="楷体"/>
          <w:b/>
          <w:bCs/>
          <w:spacing w:val="8"/>
          <w:sz w:val="32"/>
          <w:szCs w:val="32"/>
        </w:rPr>
      </w:pPr>
      <w:r>
        <w:rPr>
          <w:rFonts w:hint="eastAsia" w:ascii="楷体" w:hAnsi="楷体" w:eastAsia="楷体" w:cs="楷体"/>
          <w:b/>
          <w:bCs/>
          <w:spacing w:val="8"/>
          <w:sz w:val="32"/>
          <w:szCs w:val="32"/>
        </w:rPr>
        <w:t>（一）预案宣传</w:t>
      </w:r>
    </w:p>
    <w:p>
      <w:pPr>
        <w:pStyle w:val="18"/>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0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充分利用互联网、电视、广播、报刊等新闻媒体及信息网络，加强预案以及重污染天气应急法律、法规和预防、避险、自救、互救常识的宣传，及时、准确发布重污染天气有关信息，正确引导舆论。</w:t>
      </w:r>
    </w:p>
    <w:p>
      <w:pPr>
        <w:keepNext w:val="0"/>
        <w:keepLines w:val="0"/>
        <w:pageBreakBefore w:val="0"/>
        <w:kinsoku/>
        <w:wordWrap/>
        <w:overflowPunct/>
        <w:topLinePunct w:val="0"/>
        <w:autoSpaceDE/>
        <w:autoSpaceDN/>
        <w:bidi w:val="0"/>
        <w:adjustRightInd w:val="0"/>
        <w:snapToGrid w:val="0"/>
        <w:spacing w:line="500" w:lineRule="exact"/>
        <w:ind w:firstLine="675" w:firstLineChars="200"/>
        <w:textAlignment w:val="auto"/>
        <w:rPr>
          <w:rFonts w:hint="eastAsia" w:ascii="楷体" w:hAnsi="楷体" w:eastAsia="楷体" w:cs="楷体"/>
          <w:b/>
          <w:bCs/>
          <w:spacing w:val="8"/>
          <w:sz w:val="32"/>
          <w:szCs w:val="32"/>
        </w:rPr>
      </w:pPr>
      <w:r>
        <w:rPr>
          <w:rFonts w:hint="eastAsia" w:ascii="楷体" w:hAnsi="楷体" w:eastAsia="楷体" w:cs="楷体"/>
          <w:b/>
          <w:bCs/>
          <w:spacing w:val="8"/>
          <w:sz w:val="32"/>
          <w:szCs w:val="32"/>
        </w:rPr>
        <w:t>（二）预案培训</w:t>
      </w:r>
    </w:p>
    <w:p>
      <w:pPr>
        <w:pStyle w:val="18"/>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0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建立健全重污染天气应急预案培训制度，根据应急预案职责分工，制定培训计划，明确培训内容与时间，并对培训效果进行考核，确保培训规范有序进行。</w:t>
      </w:r>
    </w:p>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ind w:firstLine="675" w:firstLineChars="200"/>
        <w:textAlignment w:val="auto"/>
        <w:rPr>
          <w:rFonts w:hint="eastAsia" w:ascii="楷体" w:hAnsi="楷体" w:eastAsia="楷体" w:cs="楷体"/>
          <w:b/>
          <w:bCs/>
          <w:sz w:val="32"/>
          <w:szCs w:val="32"/>
        </w:rPr>
      </w:pPr>
      <w:r>
        <w:rPr>
          <w:rFonts w:hint="eastAsia" w:ascii="楷体" w:hAnsi="楷体" w:eastAsia="楷体" w:cs="楷体"/>
          <w:b/>
          <w:bCs/>
          <w:spacing w:val="8"/>
          <w:sz w:val="32"/>
          <w:szCs w:val="32"/>
          <w:lang w:eastAsia="zh-CN"/>
        </w:rPr>
        <w:t>（三）</w:t>
      </w:r>
      <w:r>
        <w:rPr>
          <w:rFonts w:hint="eastAsia" w:ascii="楷体" w:hAnsi="楷体" w:eastAsia="楷体" w:cs="楷体"/>
          <w:b/>
          <w:bCs/>
          <w:spacing w:val="8"/>
          <w:sz w:val="32"/>
          <w:szCs w:val="32"/>
        </w:rPr>
        <w:t>预案备案</w:t>
      </w:r>
    </w:p>
    <w:p>
      <w:pPr>
        <w:pStyle w:val="18"/>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0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大气污染防治领导小组各成员单位要制定本</w:t>
      </w:r>
      <w:r>
        <w:rPr>
          <w:rFonts w:hint="eastAsia" w:ascii="仿宋" w:hAnsi="仿宋" w:eastAsia="仿宋" w:cs="仿宋"/>
          <w:sz w:val="32"/>
          <w:szCs w:val="32"/>
          <w:lang w:eastAsia="zh-CN"/>
        </w:rPr>
        <w:t>单位</w:t>
      </w:r>
      <w:r>
        <w:rPr>
          <w:rFonts w:hint="eastAsia" w:ascii="仿宋" w:hAnsi="仿宋" w:eastAsia="仿宋" w:cs="仿宋"/>
          <w:sz w:val="32"/>
          <w:szCs w:val="32"/>
        </w:rPr>
        <w:t>《重污染天气应急响应实施方案》，并应向县大气办备案。</w:t>
      </w:r>
    </w:p>
    <w:p>
      <w:pPr>
        <w:pStyle w:val="18"/>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0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工业企业“一厂一策”和重点建设项目的“一场一策”，应分别向生态环境分局和住建局备案。</w:t>
      </w:r>
    </w:p>
    <w:p>
      <w:pPr>
        <w:pStyle w:val="18"/>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0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县《重污染天气应急预案》修编完成后应向市大气办备案并向社会公布。</w:t>
      </w:r>
    </w:p>
    <w:p>
      <w:pPr>
        <w:pStyle w:val="18"/>
        <w:keepNext w:val="0"/>
        <w:keepLines w:val="0"/>
        <w:pageBreakBefore w:val="0"/>
        <w:kinsoku/>
        <w:wordWrap/>
        <w:overflowPunct/>
        <w:topLinePunct w:val="0"/>
        <w:autoSpaceDE/>
        <w:autoSpaceDN/>
        <w:bidi w:val="0"/>
        <w:spacing w:before="0" w:beforeAutospacing="0" w:after="0" w:afterAutospacing="0" w:line="500" w:lineRule="exact"/>
        <w:ind w:firstLine="640" w:firstLineChars="200"/>
        <w:jc w:val="both"/>
        <w:textAlignment w:val="auto"/>
        <w:rPr>
          <w:rFonts w:ascii="黑体" w:hAnsi="黑体" w:eastAsia="黑体" w:cs="黑体"/>
          <w:sz w:val="32"/>
          <w:szCs w:val="32"/>
        </w:rPr>
      </w:pPr>
      <w:r>
        <w:rPr>
          <w:rFonts w:hint="eastAsia" w:ascii="黑体" w:hAnsi="黑体" w:eastAsia="黑体" w:cs="黑体"/>
          <w:sz w:val="32"/>
          <w:szCs w:val="32"/>
        </w:rPr>
        <w:t>十一、附则</w:t>
      </w:r>
    </w:p>
    <w:p>
      <w:pPr>
        <w:keepNext w:val="0"/>
        <w:keepLines w:val="0"/>
        <w:pageBreakBefore w:val="0"/>
        <w:kinsoku/>
        <w:wordWrap/>
        <w:overflowPunct/>
        <w:topLinePunct w:val="0"/>
        <w:autoSpaceDE/>
        <w:autoSpaceDN/>
        <w:bidi w:val="0"/>
        <w:adjustRightInd w:val="0"/>
        <w:snapToGrid w:val="0"/>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本预案自公布之日起施行。凡我县以前有关规定与本预案规定不一致的，以本预案规定为准。</w:t>
      </w:r>
    </w:p>
    <w:p>
      <w:pPr>
        <w:pStyle w:val="2"/>
        <w:keepNext w:val="0"/>
        <w:keepLines w:val="0"/>
        <w:pageBreakBefore w:val="0"/>
        <w:kinsoku/>
        <w:wordWrap/>
        <w:overflowPunct/>
        <w:topLinePunct w:val="0"/>
        <w:bidi w:val="0"/>
        <w:spacing w:line="500" w:lineRule="exact"/>
        <w:textAlignment w:val="auto"/>
        <w:rPr>
          <w:rFonts w:hint="eastAsia"/>
        </w:rPr>
      </w:pPr>
    </w:p>
    <w:p>
      <w:pPr>
        <w:keepNext w:val="0"/>
        <w:keepLines w:val="0"/>
        <w:pageBreakBefore w:val="0"/>
        <w:kinsoku/>
        <w:wordWrap/>
        <w:overflowPunct/>
        <w:topLinePunct w:val="0"/>
        <w:autoSpaceDE/>
        <w:autoSpaceDN/>
        <w:bidi w:val="0"/>
        <w:adjustRightInd w:val="0"/>
        <w:snapToGrid w:val="0"/>
        <w:spacing w:line="500" w:lineRule="exact"/>
        <w:ind w:firstLine="640" w:firstLineChars="200"/>
        <w:textAlignment w:val="auto"/>
        <w:rPr>
          <w:rFonts w:hint="eastAsia" w:ascii="仿宋" w:hAnsi="仿宋" w:eastAsia="仿宋" w:cs="仿宋"/>
          <w:spacing w:val="-11"/>
          <w:sz w:val="32"/>
          <w:szCs w:val="32"/>
        </w:rPr>
      </w:pPr>
      <w:r>
        <w:rPr>
          <w:rFonts w:hint="eastAsia" w:ascii="仿宋" w:hAnsi="仿宋" w:eastAsia="仿宋" w:cs="仿宋"/>
          <w:sz w:val="32"/>
          <w:szCs w:val="32"/>
        </w:rPr>
        <w:t>附件：1.</w:t>
      </w:r>
      <w:r>
        <w:rPr>
          <w:rFonts w:hint="eastAsia" w:ascii="仿宋" w:hAnsi="仿宋" w:eastAsia="仿宋" w:cs="仿宋"/>
          <w:spacing w:val="-11"/>
          <w:sz w:val="32"/>
          <w:szCs w:val="32"/>
          <w:lang w:val="en-US" w:eastAsia="zh-CN"/>
        </w:rPr>
        <w:t>2019年</w:t>
      </w:r>
      <w:r>
        <w:rPr>
          <w:rFonts w:hint="eastAsia" w:ascii="仿宋" w:hAnsi="仿宋" w:eastAsia="仿宋" w:cs="仿宋"/>
          <w:spacing w:val="-11"/>
          <w:sz w:val="32"/>
          <w:szCs w:val="32"/>
        </w:rPr>
        <w:t>涞水县重污染天气应急响应行业减排措施</w:t>
      </w:r>
    </w:p>
    <w:p>
      <w:pPr>
        <w:keepNext w:val="0"/>
        <w:keepLines w:val="0"/>
        <w:pageBreakBefore w:val="0"/>
        <w:kinsoku/>
        <w:wordWrap/>
        <w:overflowPunct/>
        <w:topLinePunct w:val="0"/>
        <w:autoSpaceDE/>
        <w:autoSpaceDN/>
        <w:bidi w:val="0"/>
        <w:adjustRightInd w:val="0"/>
        <w:snapToGrid w:val="0"/>
        <w:spacing w:line="500" w:lineRule="exact"/>
        <w:ind w:left="1916" w:leftChars="760" w:hanging="320" w:hangingChars="100"/>
        <w:textAlignment w:val="auto"/>
        <w:rPr>
          <w:rFonts w:hint="eastAsia" w:ascii="仿宋" w:hAnsi="仿宋" w:eastAsia="仿宋" w:cs="仿宋"/>
          <w:sz w:val="32"/>
          <w:szCs w:val="32"/>
        </w:rPr>
      </w:pPr>
      <w:r>
        <w:rPr>
          <w:rFonts w:hint="eastAsia" w:ascii="仿宋" w:hAnsi="仿宋" w:eastAsia="仿宋" w:cs="仿宋"/>
          <w:sz w:val="32"/>
          <w:szCs w:val="32"/>
        </w:rPr>
        <w:t>2.涞水县重污染天气应急响应办公室成员单位职责</w:t>
      </w:r>
    </w:p>
    <w:p>
      <w:pPr>
        <w:keepNext w:val="0"/>
        <w:keepLines w:val="0"/>
        <w:pageBreakBefore w:val="0"/>
        <w:kinsoku/>
        <w:wordWrap/>
        <w:overflowPunct/>
        <w:topLinePunct w:val="0"/>
        <w:bidi w:val="0"/>
        <w:adjustRightInd w:val="0"/>
        <w:snapToGrid w:val="0"/>
        <w:spacing w:line="500" w:lineRule="exact"/>
        <w:ind w:firstLine="640" w:firstLineChars="200"/>
        <w:textAlignment w:val="auto"/>
        <w:rPr>
          <w:rFonts w:hint="eastAsia" w:ascii="仿宋" w:hAnsi="仿宋" w:eastAsia="仿宋" w:cs="仿宋"/>
          <w:sz w:val="32"/>
          <w:szCs w:val="32"/>
        </w:rPr>
        <w:sectPr>
          <w:footerReference r:id="rId3" w:type="default"/>
          <w:pgSz w:w="11906" w:h="16838"/>
          <w:pgMar w:top="1440" w:right="1800" w:bottom="1440" w:left="1800" w:header="851" w:footer="992" w:gutter="0"/>
          <w:pgNumType w:fmt="decimal" w:start="2"/>
          <w:cols w:space="425" w:num="1"/>
          <w:docGrid w:type="lines" w:linePitch="312" w:charSpace="0"/>
        </w:sectPr>
      </w:pPr>
    </w:p>
    <w:p>
      <w:pPr>
        <w:rPr>
          <w:rFonts w:hint="eastAsia" w:ascii="仿宋" w:hAnsi="仿宋" w:eastAsia="仿宋" w:cs="仿宋"/>
          <w:sz w:val="32"/>
          <w:szCs w:val="32"/>
        </w:rPr>
      </w:pPr>
      <w:r>
        <w:rPr>
          <w:rFonts w:hint="eastAsia" w:ascii="仿宋" w:hAnsi="仿宋" w:eastAsia="仿宋" w:cs="仿宋"/>
          <w:bCs/>
          <w:sz w:val="32"/>
          <w:szCs w:val="32"/>
        </w:rPr>
        <w:t>附件1</w:t>
      </w:r>
    </w:p>
    <w:p>
      <w:pPr>
        <w:spacing w:afterLines="50"/>
        <w:jc w:val="center"/>
        <w:rPr>
          <w:rFonts w:ascii="方正小标宋简体" w:hAnsi="宋体" w:eastAsia="方正小标宋简体"/>
          <w:sz w:val="44"/>
          <w:szCs w:val="44"/>
        </w:rPr>
      </w:pPr>
      <w:r>
        <w:rPr>
          <w:rFonts w:hint="eastAsia" w:ascii="方正小标宋简体" w:hAnsi="宋体" w:eastAsia="方正小标宋简体"/>
          <w:sz w:val="44"/>
          <w:szCs w:val="44"/>
        </w:rPr>
        <w:t>2019年涞水县重污染天气应急响应行业减排措施</w:t>
      </w:r>
    </w:p>
    <w:tbl>
      <w:tblPr>
        <w:tblStyle w:val="10"/>
        <w:tblW w:w="1526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37"/>
        <w:gridCol w:w="974"/>
        <w:gridCol w:w="1955"/>
        <w:gridCol w:w="1738"/>
        <w:gridCol w:w="3315"/>
        <w:gridCol w:w="3221"/>
        <w:gridCol w:w="3389"/>
        <w:gridCol w:w="3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6" w:type="dxa"/>
          <w:trHeight w:val="146" w:hRule="atLeast"/>
          <w:tblHeader/>
          <w:jc w:val="center"/>
        </w:trPr>
        <w:tc>
          <w:tcPr>
            <w:tcW w:w="637" w:type="dxa"/>
            <w:vMerge w:val="restart"/>
            <w:noWrap/>
            <w:vAlign w:val="center"/>
          </w:tcPr>
          <w:p>
            <w:pPr>
              <w:adjustRightInd w:val="0"/>
              <w:snapToGrid w:val="0"/>
              <w:jc w:val="center"/>
              <w:rPr>
                <w:rFonts w:ascii="仿宋" w:hAnsi="仿宋" w:eastAsia="仿宋" w:cs="仿宋"/>
                <w:b/>
                <w:szCs w:val="21"/>
              </w:rPr>
            </w:pPr>
            <w:r>
              <w:rPr>
                <w:rFonts w:hint="eastAsia" w:ascii="仿宋" w:hAnsi="仿宋" w:eastAsia="仿宋" w:cs="仿宋"/>
                <w:b/>
                <w:szCs w:val="21"/>
              </w:rPr>
              <w:t>序号</w:t>
            </w:r>
          </w:p>
        </w:tc>
        <w:tc>
          <w:tcPr>
            <w:tcW w:w="974" w:type="dxa"/>
            <w:vMerge w:val="restart"/>
            <w:noWrap/>
            <w:vAlign w:val="center"/>
          </w:tcPr>
          <w:p>
            <w:pPr>
              <w:adjustRightInd w:val="0"/>
              <w:snapToGrid w:val="0"/>
              <w:jc w:val="center"/>
              <w:rPr>
                <w:rFonts w:ascii="仿宋" w:hAnsi="仿宋" w:eastAsia="仿宋" w:cs="仿宋"/>
                <w:b/>
                <w:szCs w:val="21"/>
              </w:rPr>
            </w:pPr>
            <w:r>
              <w:rPr>
                <w:rFonts w:hint="eastAsia" w:ascii="仿宋" w:hAnsi="仿宋" w:eastAsia="仿宋" w:cs="仿宋"/>
                <w:b/>
                <w:szCs w:val="21"/>
              </w:rPr>
              <w:t>行业</w:t>
            </w:r>
          </w:p>
          <w:p>
            <w:pPr>
              <w:adjustRightInd w:val="0"/>
              <w:snapToGrid w:val="0"/>
              <w:jc w:val="center"/>
              <w:rPr>
                <w:rFonts w:ascii="仿宋" w:hAnsi="仿宋" w:eastAsia="仿宋" w:cs="仿宋"/>
                <w:b/>
                <w:szCs w:val="21"/>
              </w:rPr>
            </w:pPr>
            <w:r>
              <w:rPr>
                <w:rFonts w:hint="eastAsia" w:ascii="仿宋" w:hAnsi="仿宋" w:eastAsia="仿宋" w:cs="仿宋"/>
                <w:b/>
                <w:szCs w:val="21"/>
              </w:rPr>
              <w:t>类别</w:t>
            </w:r>
          </w:p>
        </w:tc>
        <w:tc>
          <w:tcPr>
            <w:tcW w:w="1955" w:type="dxa"/>
            <w:vMerge w:val="restart"/>
            <w:tcBorders>
              <w:right w:val="single" w:color="auto" w:sz="4" w:space="0"/>
            </w:tcBorders>
            <w:noWrap/>
            <w:vAlign w:val="center"/>
          </w:tcPr>
          <w:p>
            <w:pPr>
              <w:adjustRightInd w:val="0"/>
              <w:snapToGrid w:val="0"/>
              <w:jc w:val="center"/>
              <w:rPr>
                <w:rFonts w:ascii="仿宋" w:hAnsi="仿宋" w:eastAsia="仿宋" w:cs="仿宋"/>
                <w:b/>
                <w:szCs w:val="21"/>
              </w:rPr>
            </w:pPr>
            <w:r>
              <w:rPr>
                <w:rFonts w:hint="eastAsia" w:ascii="仿宋" w:hAnsi="仿宋" w:eastAsia="仿宋" w:cs="仿宋"/>
                <w:b/>
                <w:szCs w:val="21"/>
              </w:rPr>
              <w:t>适用范围</w:t>
            </w:r>
          </w:p>
        </w:tc>
        <w:tc>
          <w:tcPr>
            <w:tcW w:w="1738" w:type="dxa"/>
            <w:vMerge w:val="restart"/>
            <w:tcBorders>
              <w:left w:val="single" w:color="auto" w:sz="4" w:space="0"/>
            </w:tcBorders>
            <w:noWrap/>
            <w:vAlign w:val="center"/>
          </w:tcPr>
          <w:p>
            <w:pPr>
              <w:adjustRightInd w:val="0"/>
              <w:snapToGrid w:val="0"/>
              <w:jc w:val="center"/>
              <w:rPr>
                <w:rFonts w:ascii="仿宋" w:hAnsi="仿宋" w:eastAsia="仿宋" w:cs="仿宋"/>
                <w:b/>
                <w:szCs w:val="21"/>
              </w:rPr>
            </w:pPr>
            <w:r>
              <w:rPr>
                <w:rFonts w:hint="eastAsia" w:ascii="仿宋" w:hAnsi="仿宋" w:eastAsia="仿宋" w:cs="仿宋"/>
                <w:b/>
                <w:szCs w:val="21"/>
              </w:rPr>
              <w:t>绩效分级</w:t>
            </w:r>
          </w:p>
        </w:tc>
        <w:tc>
          <w:tcPr>
            <w:tcW w:w="9925" w:type="dxa"/>
            <w:gridSpan w:val="3"/>
            <w:noWrap/>
            <w:vAlign w:val="center"/>
          </w:tcPr>
          <w:p>
            <w:pPr>
              <w:adjustRightInd w:val="0"/>
              <w:snapToGrid w:val="0"/>
              <w:jc w:val="center"/>
              <w:rPr>
                <w:rFonts w:ascii="仿宋" w:hAnsi="仿宋" w:eastAsia="仿宋" w:cs="仿宋"/>
                <w:b/>
                <w:szCs w:val="21"/>
              </w:rPr>
            </w:pPr>
            <w:r>
              <w:rPr>
                <w:rFonts w:hint="eastAsia" w:ascii="仿宋" w:hAnsi="仿宋" w:eastAsia="仿宋" w:cs="仿宋"/>
                <w:b/>
                <w:szCs w:val="21"/>
              </w:rPr>
              <w:t>重污染天气预警期间措施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6" w:type="dxa"/>
          <w:trHeight w:val="146" w:hRule="atLeast"/>
          <w:tblHeader/>
          <w:jc w:val="center"/>
        </w:trPr>
        <w:tc>
          <w:tcPr>
            <w:tcW w:w="637" w:type="dxa"/>
            <w:vMerge w:val="continue"/>
            <w:noWrap/>
            <w:vAlign w:val="center"/>
          </w:tcPr>
          <w:p>
            <w:pPr>
              <w:adjustRightInd w:val="0"/>
              <w:snapToGrid w:val="0"/>
              <w:jc w:val="center"/>
              <w:rPr>
                <w:rFonts w:ascii="仿宋" w:hAnsi="仿宋" w:eastAsia="仿宋" w:cs="仿宋"/>
                <w:b/>
                <w:szCs w:val="21"/>
              </w:rPr>
            </w:pPr>
          </w:p>
        </w:tc>
        <w:tc>
          <w:tcPr>
            <w:tcW w:w="974" w:type="dxa"/>
            <w:vMerge w:val="continue"/>
            <w:noWrap/>
            <w:vAlign w:val="center"/>
          </w:tcPr>
          <w:p>
            <w:pPr>
              <w:adjustRightInd w:val="0"/>
              <w:snapToGrid w:val="0"/>
              <w:jc w:val="center"/>
              <w:rPr>
                <w:rFonts w:ascii="仿宋" w:hAnsi="仿宋" w:eastAsia="仿宋" w:cs="仿宋"/>
                <w:b/>
                <w:szCs w:val="21"/>
              </w:rPr>
            </w:pPr>
          </w:p>
        </w:tc>
        <w:tc>
          <w:tcPr>
            <w:tcW w:w="1955" w:type="dxa"/>
            <w:vMerge w:val="continue"/>
            <w:tcBorders>
              <w:right w:val="single" w:color="auto" w:sz="4" w:space="0"/>
            </w:tcBorders>
            <w:noWrap/>
            <w:vAlign w:val="center"/>
          </w:tcPr>
          <w:p>
            <w:pPr>
              <w:adjustRightInd w:val="0"/>
              <w:snapToGrid w:val="0"/>
              <w:jc w:val="center"/>
              <w:rPr>
                <w:rFonts w:ascii="仿宋" w:hAnsi="仿宋" w:eastAsia="仿宋" w:cs="仿宋"/>
                <w:b/>
                <w:szCs w:val="21"/>
              </w:rPr>
            </w:pPr>
          </w:p>
        </w:tc>
        <w:tc>
          <w:tcPr>
            <w:tcW w:w="1738" w:type="dxa"/>
            <w:vMerge w:val="continue"/>
            <w:tcBorders>
              <w:left w:val="single" w:color="auto" w:sz="4" w:space="0"/>
            </w:tcBorders>
            <w:noWrap/>
            <w:vAlign w:val="center"/>
          </w:tcPr>
          <w:p>
            <w:pPr>
              <w:adjustRightInd w:val="0"/>
              <w:snapToGrid w:val="0"/>
              <w:jc w:val="center"/>
              <w:rPr>
                <w:rFonts w:ascii="仿宋" w:hAnsi="仿宋" w:eastAsia="仿宋" w:cs="仿宋"/>
                <w:b/>
                <w:szCs w:val="21"/>
              </w:rPr>
            </w:pPr>
          </w:p>
        </w:tc>
        <w:tc>
          <w:tcPr>
            <w:tcW w:w="3315" w:type="dxa"/>
            <w:noWrap/>
            <w:vAlign w:val="center"/>
          </w:tcPr>
          <w:p>
            <w:pPr>
              <w:adjustRightInd w:val="0"/>
              <w:snapToGrid w:val="0"/>
              <w:jc w:val="center"/>
              <w:rPr>
                <w:rFonts w:ascii="仿宋" w:hAnsi="仿宋" w:eastAsia="仿宋" w:cs="仿宋"/>
                <w:b/>
                <w:szCs w:val="21"/>
              </w:rPr>
            </w:pPr>
            <w:r>
              <w:rPr>
                <w:rFonts w:hint="eastAsia" w:ascii="仿宋" w:hAnsi="仿宋" w:eastAsia="仿宋" w:cs="仿宋"/>
                <w:b/>
                <w:szCs w:val="21"/>
              </w:rPr>
              <w:t>一级应急响应措施</w:t>
            </w:r>
          </w:p>
        </w:tc>
        <w:tc>
          <w:tcPr>
            <w:tcW w:w="3221" w:type="dxa"/>
            <w:noWrap/>
            <w:vAlign w:val="center"/>
          </w:tcPr>
          <w:p>
            <w:pPr>
              <w:adjustRightInd w:val="0"/>
              <w:snapToGrid w:val="0"/>
              <w:jc w:val="center"/>
              <w:rPr>
                <w:rFonts w:ascii="仿宋" w:hAnsi="仿宋" w:eastAsia="仿宋" w:cs="仿宋"/>
                <w:b/>
                <w:szCs w:val="21"/>
              </w:rPr>
            </w:pPr>
            <w:r>
              <w:rPr>
                <w:rFonts w:hint="eastAsia" w:ascii="仿宋" w:hAnsi="仿宋" w:eastAsia="仿宋" w:cs="仿宋"/>
                <w:b/>
                <w:szCs w:val="21"/>
              </w:rPr>
              <w:t>二级应急响应措施</w:t>
            </w:r>
          </w:p>
        </w:tc>
        <w:tc>
          <w:tcPr>
            <w:tcW w:w="3389" w:type="dxa"/>
            <w:noWrap/>
            <w:vAlign w:val="center"/>
          </w:tcPr>
          <w:p>
            <w:pPr>
              <w:adjustRightInd w:val="0"/>
              <w:snapToGrid w:val="0"/>
              <w:jc w:val="center"/>
              <w:rPr>
                <w:rFonts w:ascii="仿宋" w:hAnsi="仿宋" w:eastAsia="仿宋" w:cs="仿宋"/>
                <w:b/>
                <w:szCs w:val="21"/>
              </w:rPr>
            </w:pPr>
            <w:r>
              <w:rPr>
                <w:rFonts w:hint="eastAsia" w:ascii="仿宋" w:hAnsi="仿宋" w:eastAsia="仿宋" w:cs="仿宋"/>
                <w:b/>
                <w:szCs w:val="21"/>
              </w:rPr>
              <w:t>三级应急响应措施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6" w:type="dxa"/>
          <w:trHeight w:val="493" w:hRule="atLeast"/>
          <w:jc w:val="center"/>
        </w:trPr>
        <w:tc>
          <w:tcPr>
            <w:tcW w:w="637" w:type="dxa"/>
            <w:vMerge w:val="restart"/>
            <w:noWrap/>
            <w:vAlign w:val="center"/>
          </w:tcPr>
          <w:p>
            <w:pPr>
              <w:adjustRightInd w:val="0"/>
              <w:snapToGrid w:val="0"/>
              <w:jc w:val="center"/>
              <w:rPr>
                <w:rFonts w:ascii="仿宋" w:hAnsi="仿宋" w:eastAsia="仿宋" w:cs="仿宋"/>
                <w:bCs/>
                <w:szCs w:val="21"/>
              </w:rPr>
            </w:pPr>
            <w:r>
              <w:rPr>
                <w:rFonts w:hint="eastAsia" w:ascii="仿宋" w:hAnsi="仿宋" w:eastAsia="仿宋" w:cs="仿宋"/>
                <w:bCs/>
                <w:szCs w:val="21"/>
              </w:rPr>
              <w:t>1</w:t>
            </w:r>
          </w:p>
        </w:tc>
        <w:tc>
          <w:tcPr>
            <w:tcW w:w="974" w:type="dxa"/>
            <w:vMerge w:val="restart"/>
            <w:noWrap/>
            <w:vAlign w:val="center"/>
          </w:tcPr>
          <w:p>
            <w:pPr>
              <w:adjustRightInd w:val="0"/>
              <w:snapToGrid w:val="0"/>
              <w:jc w:val="center"/>
              <w:rPr>
                <w:rFonts w:ascii="仿宋" w:hAnsi="仿宋" w:eastAsia="仿宋" w:cs="仿宋"/>
                <w:bCs/>
                <w:szCs w:val="21"/>
              </w:rPr>
            </w:pPr>
            <w:r>
              <w:rPr>
                <w:rFonts w:hint="eastAsia" w:ascii="仿宋" w:hAnsi="仿宋" w:eastAsia="仿宋" w:cs="仿宋"/>
                <w:bCs/>
                <w:szCs w:val="21"/>
              </w:rPr>
              <w:t>铸造</w:t>
            </w:r>
          </w:p>
          <w:p>
            <w:pPr>
              <w:adjustRightInd w:val="0"/>
              <w:snapToGrid w:val="0"/>
              <w:jc w:val="center"/>
              <w:rPr>
                <w:rFonts w:ascii="仿宋" w:hAnsi="仿宋" w:eastAsia="仿宋" w:cs="仿宋"/>
                <w:bCs/>
                <w:szCs w:val="21"/>
              </w:rPr>
            </w:pPr>
            <w:r>
              <w:rPr>
                <w:rFonts w:hint="eastAsia" w:ascii="仿宋" w:hAnsi="仿宋" w:eastAsia="仿宋" w:cs="仿宋"/>
                <w:bCs/>
                <w:szCs w:val="21"/>
              </w:rPr>
              <w:t>行业</w:t>
            </w:r>
          </w:p>
        </w:tc>
        <w:tc>
          <w:tcPr>
            <w:tcW w:w="1955" w:type="dxa"/>
            <w:vMerge w:val="restart"/>
            <w:tcBorders>
              <w:right w:val="single" w:color="auto" w:sz="4" w:space="0"/>
            </w:tcBorders>
            <w:noWrap/>
            <w:vAlign w:val="center"/>
          </w:tcPr>
          <w:p>
            <w:pPr>
              <w:adjustRightInd w:val="0"/>
              <w:snapToGrid w:val="0"/>
              <w:jc w:val="both"/>
              <w:rPr>
                <w:rFonts w:hint="eastAsia" w:ascii="仿宋" w:hAnsi="仿宋" w:eastAsia="仿宋" w:cs="仿宋"/>
                <w:bCs/>
                <w:szCs w:val="21"/>
                <w:lang w:eastAsia="zh-CN"/>
              </w:rPr>
            </w:pPr>
            <w:r>
              <w:rPr>
                <w:rFonts w:hint="eastAsia" w:ascii="仿宋" w:hAnsi="仿宋" w:eastAsia="仿宋" w:cs="仿宋"/>
                <w:bCs/>
                <w:szCs w:val="21"/>
              </w:rPr>
              <w:t>含熔铸生产设施，生产铸件的企业</w:t>
            </w:r>
            <w:r>
              <w:rPr>
                <w:rFonts w:hint="eastAsia" w:ascii="仿宋" w:hAnsi="仿宋" w:eastAsia="仿宋" w:cs="仿宋"/>
                <w:bCs/>
                <w:szCs w:val="21"/>
                <w:lang w:eastAsia="zh-CN"/>
              </w:rPr>
              <w:t>。</w:t>
            </w:r>
          </w:p>
        </w:tc>
        <w:tc>
          <w:tcPr>
            <w:tcW w:w="1738" w:type="dxa"/>
            <w:tcBorders>
              <w:left w:val="single" w:color="auto" w:sz="4" w:space="0"/>
              <w:bottom w:val="single" w:color="auto" w:sz="4" w:space="0"/>
            </w:tcBorders>
            <w:noWrap/>
            <w:vAlign w:val="center"/>
          </w:tcPr>
          <w:p>
            <w:pPr>
              <w:adjustRightInd w:val="0"/>
              <w:snapToGrid w:val="0"/>
              <w:jc w:val="center"/>
              <w:rPr>
                <w:rFonts w:ascii="仿宋" w:hAnsi="仿宋" w:eastAsia="仿宋" w:cs="仿宋"/>
                <w:bCs/>
                <w:szCs w:val="21"/>
              </w:rPr>
            </w:pPr>
            <w:r>
              <w:rPr>
                <w:rFonts w:hint="eastAsia" w:ascii="仿宋" w:hAnsi="仿宋" w:eastAsia="仿宋" w:cs="仿宋"/>
                <w:bCs/>
                <w:szCs w:val="21"/>
              </w:rPr>
              <w:t>A级企业</w:t>
            </w:r>
          </w:p>
        </w:tc>
        <w:tc>
          <w:tcPr>
            <w:tcW w:w="3315" w:type="dxa"/>
            <w:tcBorders>
              <w:bottom w:val="single" w:color="auto" w:sz="4" w:space="0"/>
            </w:tcBorders>
            <w:noWrap/>
            <w:vAlign w:val="center"/>
          </w:tcPr>
          <w:p>
            <w:pPr>
              <w:adjustRightInd w:val="0"/>
              <w:snapToGrid w:val="0"/>
              <w:jc w:val="left"/>
              <w:rPr>
                <w:rFonts w:hint="eastAsia" w:ascii="仿宋" w:hAnsi="仿宋" w:eastAsia="仿宋" w:cs="仿宋"/>
                <w:bCs/>
                <w:szCs w:val="21"/>
                <w:lang w:eastAsia="zh-CN"/>
              </w:rPr>
            </w:pPr>
            <w:r>
              <w:rPr>
                <w:rFonts w:hint="eastAsia" w:ascii="仿宋" w:hAnsi="仿宋" w:eastAsia="仿宋" w:cs="仿宋"/>
                <w:bCs/>
                <w:szCs w:val="21"/>
              </w:rPr>
              <w:t>自主采取减排措施</w:t>
            </w:r>
            <w:r>
              <w:rPr>
                <w:rFonts w:hint="eastAsia" w:ascii="仿宋" w:hAnsi="仿宋" w:eastAsia="仿宋" w:cs="仿宋"/>
                <w:bCs/>
                <w:szCs w:val="21"/>
                <w:lang w:eastAsia="zh-CN"/>
              </w:rPr>
              <w:t>。</w:t>
            </w:r>
          </w:p>
        </w:tc>
        <w:tc>
          <w:tcPr>
            <w:tcW w:w="3221" w:type="dxa"/>
            <w:tcBorders>
              <w:bottom w:val="single" w:color="auto" w:sz="4" w:space="0"/>
            </w:tcBorders>
            <w:noWrap/>
            <w:vAlign w:val="center"/>
          </w:tcPr>
          <w:p>
            <w:pPr>
              <w:adjustRightInd w:val="0"/>
              <w:snapToGrid w:val="0"/>
              <w:jc w:val="left"/>
              <w:rPr>
                <w:rFonts w:hint="eastAsia" w:ascii="仿宋" w:hAnsi="仿宋" w:eastAsia="仿宋" w:cs="仿宋"/>
                <w:bCs/>
                <w:szCs w:val="21"/>
                <w:lang w:eastAsia="zh-CN"/>
              </w:rPr>
            </w:pPr>
            <w:r>
              <w:rPr>
                <w:rFonts w:hint="eastAsia" w:ascii="仿宋" w:hAnsi="仿宋" w:eastAsia="仿宋" w:cs="仿宋"/>
                <w:bCs/>
                <w:szCs w:val="21"/>
              </w:rPr>
              <w:t>自主采取减排措施</w:t>
            </w:r>
            <w:r>
              <w:rPr>
                <w:rFonts w:hint="eastAsia" w:ascii="仿宋" w:hAnsi="仿宋" w:eastAsia="仿宋" w:cs="仿宋"/>
                <w:bCs/>
                <w:szCs w:val="21"/>
                <w:lang w:eastAsia="zh-CN"/>
              </w:rPr>
              <w:t>。</w:t>
            </w:r>
          </w:p>
        </w:tc>
        <w:tc>
          <w:tcPr>
            <w:tcW w:w="3389" w:type="dxa"/>
            <w:tcBorders>
              <w:bottom w:val="single" w:color="auto" w:sz="4" w:space="0"/>
            </w:tcBorders>
            <w:noWrap/>
            <w:vAlign w:val="center"/>
          </w:tcPr>
          <w:p>
            <w:pPr>
              <w:adjustRightInd w:val="0"/>
              <w:snapToGrid w:val="0"/>
              <w:jc w:val="left"/>
              <w:rPr>
                <w:rFonts w:hint="eastAsia" w:ascii="仿宋" w:hAnsi="仿宋" w:eastAsia="仿宋" w:cs="仿宋"/>
                <w:bCs/>
                <w:szCs w:val="21"/>
                <w:lang w:eastAsia="zh-CN"/>
              </w:rPr>
            </w:pPr>
            <w:r>
              <w:rPr>
                <w:rFonts w:hint="eastAsia" w:ascii="仿宋" w:hAnsi="仿宋" w:eastAsia="仿宋" w:cs="仿宋"/>
                <w:bCs/>
                <w:szCs w:val="21"/>
              </w:rPr>
              <w:t>自主采取减排措施</w:t>
            </w:r>
            <w:r>
              <w:rPr>
                <w:rFonts w:hint="eastAsia" w:ascii="仿宋" w:hAnsi="仿宋" w:eastAsia="仿宋" w:cs="仿宋"/>
                <w:bCs/>
                <w:szCs w:val="21"/>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6" w:type="dxa"/>
          <w:trHeight w:val="485" w:hRule="atLeast"/>
          <w:jc w:val="center"/>
        </w:trPr>
        <w:tc>
          <w:tcPr>
            <w:tcW w:w="637" w:type="dxa"/>
            <w:vMerge w:val="continue"/>
            <w:noWrap/>
            <w:vAlign w:val="center"/>
          </w:tcPr>
          <w:p>
            <w:pPr>
              <w:adjustRightInd w:val="0"/>
              <w:snapToGrid w:val="0"/>
              <w:jc w:val="center"/>
              <w:rPr>
                <w:rFonts w:ascii="仿宋" w:hAnsi="仿宋" w:eastAsia="仿宋" w:cs="仿宋"/>
                <w:bCs/>
                <w:szCs w:val="21"/>
              </w:rPr>
            </w:pPr>
          </w:p>
        </w:tc>
        <w:tc>
          <w:tcPr>
            <w:tcW w:w="974" w:type="dxa"/>
            <w:vMerge w:val="continue"/>
            <w:noWrap/>
            <w:vAlign w:val="center"/>
          </w:tcPr>
          <w:p>
            <w:pPr>
              <w:adjustRightInd w:val="0"/>
              <w:snapToGrid w:val="0"/>
              <w:jc w:val="center"/>
              <w:rPr>
                <w:rFonts w:ascii="仿宋" w:hAnsi="仿宋" w:eastAsia="仿宋" w:cs="仿宋"/>
                <w:bCs/>
                <w:szCs w:val="21"/>
              </w:rPr>
            </w:pPr>
          </w:p>
        </w:tc>
        <w:tc>
          <w:tcPr>
            <w:tcW w:w="1955" w:type="dxa"/>
            <w:vMerge w:val="continue"/>
            <w:tcBorders>
              <w:right w:val="single" w:color="auto" w:sz="4" w:space="0"/>
            </w:tcBorders>
            <w:noWrap/>
            <w:vAlign w:val="center"/>
          </w:tcPr>
          <w:p>
            <w:pPr>
              <w:adjustRightInd w:val="0"/>
              <w:snapToGrid w:val="0"/>
              <w:jc w:val="both"/>
              <w:rPr>
                <w:rFonts w:ascii="仿宋" w:hAnsi="仿宋" w:eastAsia="仿宋" w:cs="仿宋"/>
                <w:bCs/>
                <w:szCs w:val="21"/>
              </w:rPr>
            </w:pPr>
          </w:p>
        </w:tc>
        <w:tc>
          <w:tcPr>
            <w:tcW w:w="1738" w:type="dxa"/>
            <w:tcBorders>
              <w:top w:val="single" w:color="auto" w:sz="4" w:space="0"/>
              <w:left w:val="single" w:color="auto" w:sz="4" w:space="0"/>
              <w:bottom w:val="single" w:color="auto" w:sz="4" w:space="0"/>
            </w:tcBorders>
            <w:noWrap/>
            <w:vAlign w:val="center"/>
          </w:tcPr>
          <w:p>
            <w:pPr>
              <w:adjustRightInd w:val="0"/>
              <w:snapToGrid w:val="0"/>
              <w:jc w:val="center"/>
              <w:rPr>
                <w:rFonts w:ascii="仿宋" w:hAnsi="仿宋" w:eastAsia="仿宋" w:cs="仿宋"/>
                <w:bCs/>
                <w:szCs w:val="21"/>
              </w:rPr>
            </w:pPr>
            <w:r>
              <w:rPr>
                <w:rFonts w:hint="eastAsia" w:ascii="仿宋" w:hAnsi="仿宋" w:eastAsia="仿宋" w:cs="仿宋"/>
                <w:bCs/>
                <w:szCs w:val="21"/>
              </w:rPr>
              <w:t>B级企业</w:t>
            </w:r>
          </w:p>
        </w:tc>
        <w:tc>
          <w:tcPr>
            <w:tcW w:w="3315" w:type="dxa"/>
            <w:tcBorders>
              <w:top w:val="single" w:color="auto" w:sz="4" w:space="0"/>
              <w:bottom w:val="single" w:color="auto" w:sz="4" w:space="0"/>
            </w:tcBorders>
            <w:noWrap/>
            <w:vAlign w:val="center"/>
          </w:tcPr>
          <w:p>
            <w:pPr>
              <w:adjustRightInd w:val="0"/>
              <w:snapToGrid w:val="0"/>
              <w:jc w:val="left"/>
              <w:rPr>
                <w:rFonts w:hint="eastAsia" w:ascii="仿宋" w:hAnsi="仿宋" w:eastAsia="仿宋" w:cs="仿宋"/>
                <w:bCs/>
                <w:szCs w:val="21"/>
                <w:lang w:eastAsia="zh-CN"/>
              </w:rPr>
            </w:pPr>
            <w:r>
              <w:rPr>
                <w:rFonts w:hint="eastAsia" w:ascii="仿宋" w:hAnsi="仿宋" w:eastAsia="仿宋" w:cs="仿宋"/>
                <w:bCs/>
                <w:szCs w:val="21"/>
              </w:rPr>
              <w:t>所有涉气工序停产，禁止使用国四及以下重型载货车辆（含燃气）进行物料运输</w:t>
            </w:r>
            <w:r>
              <w:rPr>
                <w:rFonts w:hint="eastAsia" w:ascii="仿宋" w:hAnsi="仿宋" w:eastAsia="仿宋" w:cs="仿宋"/>
                <w:bCs/>
                <w:szCs w:val="21"/>
                <w:lang w:eastAsia="zh-CN"/>
              </w:rPr>
              <w:t>。</w:t>
            </w:r>
          </w:p>
        </w:tc>
        <w:tc>
          <w:tcPr>
            <w:tcW w:w="3221" w:type="dxa"/>
            <w:tcBorders>
              <w:top w:val="single" w:color="auto" w:sz="4" w:space="0"/>
              <w:bottom w:val="single" w:color="auto" w:sz="4" w:space="0"/>
            </w:tcBorders>
            <w:noWrap/>
            <w:vAlign w:val="center"/>
          </w:tcPr>
          <w:p>
            <w:pPr>
              <w:adjustRightInd w:val="0"/>
              <w:snapToGrid w:val="0"/>
              <w:jc w:val="left"/>
              <w:rPr>
                <w:rFonts w:hint="eastAsia" w:ascii="仿宋" w:hAnsi="仿宋" w:eastAsia="仿宋" w:cs="仿宋"/>
                <w:bCs/>
                <w:szCs w:val="21"/>
                <w:lang w:eastAsia="zh-CN"/>
              </w:rPr>
            </w:pPr>
            <w:r>
              <w:rPr>
                <w:rFonts w:hint="eastAsia" w:ascii="仿宋" w:hAnsi="仿宋" w:eastAsia="仿宋" w:cs="仿宋"/>
                <w:bCs/>
                <w:szCs w:val="21"/>
              </w:rPr>
              <w:t>禁止使用国四及以下重型载货车辆（含燃气）进行物料运输</w:t>
            </w:r>
            <w:r>
              <w:rPr>
                <w:rFonts w:hint="eastAsia" w:ascii="仿宋" w:hAnsi="仿宋" w:eastAsia="仿宋" w:cs="仿宋"/>
                <w:bCs/>
                <w:szCs w:val="21"/>
                <w:lang w:eastAsia="zh-CN"/>
              </w:rPr>
              <w:t>。</w:t>
            </w:r>
          </w:p>
        </w:tc>
        <w:tc>
          <w:tcPr>
            <w:tcW w:w="3389" w:type="dxa"/>
            <w:tcBorders>
              <w:top w:val="single" w:color="auto" w:sz="4" w:space="0"/>
              <w:bottom w:val="single" w:color="auto" w:sz="4" w:space="0"/>
            </w:tcBorders>
            <w:noWrap/>
            <w:vAlign w:val="center"/>
          </w:tcPr>
          <w:p>
            <w:pPr>
              <w:adjustRightInd w:val="0"/>
              <w:snapToGrid w:val="0"/>
              <w:jc w:val="left"/>
              <w:rPr>
                <w:rFonts w:hint="eastAsia" w:ascii="仿宋" w:hAnsi="仿宋" w:eastAsia="仿宋" w:cs="仿宋"/>
                <w:bCs/>
                <w:szCs w:val="21"/>
                <w:lang w:eastAsia="zh-CN"/>
              </w:rPr>
            </w:pPr>
            <w:r>
              <w:rPr>
                <w:rFonts w:hint="eastAsia" w:ascii="仿宋" w:hAnsi="仿宋" w:eastAsia="仿宋" w:cs="仿宋"/>
                <w:bCs/>
                <w:szCs w:val="21"/>
              </w:rPr>
              <w:t>禁止使用国四及以下重型载货车辆（含燃气）进行物料运输</w:t>
            </w:r>
            <w:r>
              <w:rPr>
                <w:rFonts w:hint="eastAsia" w:ascii="仿宋" w:hAnsi="仿宋" w:eastAsia="仿宋" w:cs="仿宋"/>
                <w:bCs/>
                <w:szCs w:val="21"/>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6" w:type="dxa"/>
          <w:trHeight w:val="402" w:hRule="atLeast"/>
          <w:jc w:val="center"/>
        </w:trPr>
        <w:tc>
          <w:tcPr>
            <w:tcW w:w="637" w:type="dxa"/>
            <w:vMerge w:val="continue"/>
            <w:noWrap/>
            <w:vAlign w:val="center"/>
          </w:tcPr>
          <w:p>
            <w:pPr>
              <w:adjustRightInd w:val="0"/>
              <w:snapToGrid w:val="0"/>
              <w:jc w:val="center"/>
              <w:rPr>
                <w:rFonts w:ascii="仿宋" w:hAnsi="仿宋" w:eastAsia="仿宋" w:cs="仿宋"/>
                <w:bCs/>
                <w:szCs w:val="21"/>
              </w:rPr>
            </w:pPr>
          </w:p>
        </w:tc>
        <w:tc>
          <w:tcPr>
            <w:tcW w:w="974" w:type="dxa"/>
            <w:vMerge w:val="continue"/>
            <w:noWrap/>
            <w:vAlign w:val="center"/>
          </w:tcPr>
          <w:p>
            <w:pPr>
              <w:adjustRightInd w:val="0"/>
              <w:snapToGrid w:val="0"/>
              <w:jc w:val="center"/>
              <w:rPr>
                <w:rFonts w:ascii="仿宋" w:hAnsi="仿宋" w:eastAsia="仿宋" w:cs="仿宋"/>
                <w:bCs/>
                <w:szCs w:val="21"/>
              </w:rPr>
            </w:pPr>
          </w:p>
        </w:tc>
        <w:tc>
          <w:tcPr>
            <w:tcW w:w="1955" w:type="dxa"/>
            <w:vMerge w:val="continue"/>
            <w:tcBorders>
              <w:right w:val="single" w:color="auto" w:sz="4" w:space="0"/>
            </w:tcBorders>
            <w:noWrap/>
            <w:vAlign w:val="center"/>
          </w:tcPr>
          <w:p>
            <w:pPr>
              <w:adjustRightInd w:val="0"/>
              <w:snapToGrid w:val="0"/>
              <w:jc w:val="both"/>
              <w:rPr>
                <w:rFonts w:ascii="仿宋" w:hAnsi="仿宋" w:eastAsia="仿宋" w:cs="仿宋"/>
                <w:bCs/>
                <w:szCs w:val="21"/>
              </w:rPr>
            </w:pPr>
          </w:p>
        </w:tc>
        <w:tc>
          <w:tcPr>
            <w:tcW w:w="1738" w:type="dxa"/>
            <w:tcBorders>
              <w:top w:val="single" w:color="auto" w:sz="4" w:space="0"/>
              <w:left w:val="single" w:color="auto" w:sz="4" w:space="0"/>
            </w:tcBorders>
            <w:noWrap/>
            <w:vAlign w:val="center"/>
          </w:tcPr>
          <w:p>
            <w:pPr>
              <w:adjustRightInd w:val="0"/>
              <w:snapToGrid w:val="0"/>
              <w:jc w:val="center"/>
              <w:rPr>
                <w:rFonts w:ascii="仿宋" w:hAnsi="仿宋" w:eastAsia="仿宋" w:cs="仿宋"/>
                <w:bCs/>
                <w:szCs w:val="21"/>
              </w:rPr>
            </w:pPr>
            <w:r>
              <w:rPr>
                <w:rFonts w:hint="eastAsia" w:ascii="仿宋" w:hAnsi="仿宋" w:eastAsia="仿宋" w:cs="仿宋"/>
                <w:bCs/>
                <w:szCs w:val="21"/>
              </w:rPr>
              <w:t>C级企业</w:t>
            </w:r>
          </w:p>
        </w:tc>
        <w:tc>
          <w:tcPr>
            <w:tcW w:w="3315" w:type="dxa"/>
            <w:tcBorders>
              <w:top w:val="single" w:color="auto" w:sz="4" w:space="0"/>
            </w:tcBorders>
            <w:noWrap/>
            <w:vAlign w:val="center"/>
          </w:tcPr>
          <w:p>
            <w:pPr>
              <w:adjustRightInd w:val="0"/>
              <w:snapToGrid w:val="0"/>
              <w:jc w:val="left"/>
              <w:rPr>
                <w:rFonts w:hint="eastAsia" w:ascii="仿宋" w:hAnsi="仿宋" w:eastAsia="仿宋" w:cs="仿宋"/>
                <w:bCs/>
                <w:szCs w:val="21"/>
                <w:lang w:eastAsia="zh-CN"/>
              </w:rPr>
            </w:pPr>
            <w:r>
              <w:rPr>
                <w:rFonts w:hint="eastAsia" w:ascii="仿宋" w:hAnsi="仿宋" w:eastAsia="仿宋" w:cs="仿宋"/>
                <w:bCs/>
                <w:szCs w:val="21"/>
              </w:rPr>
              <w:t>所有涉气工序停产，禁止使用国四及以下重型载货车辆（含燃气）进行物料运输</w:t>
            </w:r>
            <w:r>
              <w:rPr>
                <w:rFonts w:hint="eastAsia" w:ascii="仿宋" w:hAnsi="仿宋" w:eastAsia="仿宋" w:cs="仿宋"/>
                <w:bCs/>
                <w:szCs w:val="21"/>
                <w:lang w:eastAsia="zh-CN"/>
              </w:rPr>
              <w:t>。</w:t>
            </w:r>
          </w:p>
        </w:tc>
        <w:tc>
          <w:tcPr>
            <w:tcW w:w="3221" w:type="dxa"/>
            <w:tcBorders>
              <w:top w:val="single" w:color="auto" w:sz="4" w:space="0"/>
            </w:tcBorders>
            <w:noWrap/>
            <w:vAlign w:val="center"/>
          </w:tcPr>
          <w:p>
            <w:pPr>
              <w:adjustRightInd w:val="0"/>
              <w:snapToGrid w:val="0"/>
              <w:jc w:val="left"/>
              <w:rPr>
                <w:rFonts w:hint="eastAsia" w:ascii="仿宋" w:hAnsi="仿宋" w:eastAsia="仿宋" w:cs="仿宋"/>
                <w:bCs/>
                <w:szCs w:val="21"/>
                <w:lang w:eastAsia="zh-CN"/>
              </w:rPr>
            </w:pPr>
            <w:r>
              <w:rPr>
                <w:rFonts w:hint="eastAsia" w:ascii="仿宋" w:hAnsi="仿宋" w:eastAsia="仿宋" w:cs="仿宋"/>
                <w:bCs/>
                <w:szCs w:val="21"/>
              </w:rPr>
              <w:t>所有涉气工序停产，禁止使用国四及以下重型载货车辆（含燃气）进行物料运输</w:t>
            </w:r>
            <w:r>
              <w:rPr>
                <w:rFonts w:hint="eastAsia" w:ascii="仿宋" w:hAnsi="仿宋" w:eastAsia="仿宋" w:cs="仿宋"/>
                <w:bCs/>
                <w:szCs w:val="21"/>
                <w:lang w:eastAsia="zh-CN"/>
              </w:rPr>
              <w:t>。</w:t>
            </w:r>
          </w:p>
        </w:tc>
        <w:tc>
          <w:tcPr>
            <w:tcW w:w="3389" w:type="dxa"/>
            <w:tcBorders>
              <w:top w:val="single" w:color="auto" w:sz="4" w:space="0"/>
            </w:tcBorders>
            <w:noWrap/>
            <w:vAlign w:val="center"/>
          </w:tcPr>
          <w:p>
            <w:pPr>
              <w:adjustRightInd w:val="0"/>
              <w:snapToGrid w:val="0"/>
              <w:jc w:val="left"/>
              <w:rPr>
                <w:rFonts w:hint="eastAsia" w:ascii="仿宋" w:hAnsi="仿宋" w:eastAsia="仿宋" w:cs="仿宋"/>
                <w:bCs/>
                <w:szCs w:val="21"/>
                <w:lang w:eastAsia="zh-CN"/>
              </w:rPr>
            </w:pPr>
            <w:r>
              <w:rPr>
                <w:rFonts w:hint="eastAsia" w:ascii="仿宋" w:hAnsi="仿宋" w:eastAsia="仿宋" w:cs="仿宋"/>
                <w:bCs/>
                <w:szCs w:val="21"/>
              </w:rPr>
              <w:t>所有涉气工序停产，禁止使用国四及以下重型载货车辆（含燃气）进行物料运输</w:t>
            </w:r>
            <w:r>
              <w:rPr>
                <w:rFonts w:hint="eastAsia" w:ascii="仿宋" w:hAnsi="仿宋" w:eastAsia="仿宋" w:cs="仿宋"/>
                <w:bCs/>
                <w:szCs w:val="21"/>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6" w:type="dxa"/>
          <w:trHeight w:val="477" w:hRule="atLeast"/>
          <w:jc w:val="center"/>
        </w:trPr>
        <w:tc>
          <w:tcPr>
            <w:tcW w:w="637" w:type="dxa"/>
            <w:vMerge w:val="restart"/>
            <w:noWrap/>
            <w:vAlign w:val="center"/>
          </w:tcPr>
          <w:p>
            <w:pPr>
              <w:adjustRightInd w:val="0"/>
              <w:snapToGrid w:val="0"/>
              <w:jc w:val="center"/>
              <w:rPr>
                <w:rFonts w:ascii="仿宋" w:hAnsi="仿宋" w:eastAsia="仿宋" w:cs="仿宋"/>
                <w:bCs/>
                <w:szCs w:val="21"/>
              </w:rPr>
            </w:pPr>
            <w:r>
              <w:rPr>
                <w:rFonts w:hint="eastAsia" w:ascii="仿宋" w:hAnsi="仿宋" w:eastAsia="仿宋" w:cs="仿宋"/>
                <w:bCs/>
                <w:szCs w:val="21"/>
              </w:rPr>
              <w:t>2</w:t>
            </w:r>
          </w:p>
        </w:tc>
        <w:tc>
          <w:tcPr>
            <w:tcW w:w="974" w:type="dxa"/>
            <w:vMerge w:val="restart"/>
            <w:noWrap/>
            <w:vAlign w:val="center"/>
          </w:tcPr>
          <w:p>
            <w:pPr>
              <w:adjustRightInd w:val="0"/>
              <w:snapToGrid w:val="0"/>
              <w:jc w:val="center"/>
              <w:rPr>
                <w:rFonts w:ascii="仿宋" w:hAnsi="仿宋" w:eastAsia="仿宋" w:cs="仿宋"/>
                <w:bCs/>
                <w:szCs w:val="21"/>
              </w:rPr>
            </w:pPr>
            <w:r>
              <w:rPr>
                <w:rFonts w:hint="eastAsia" w:ascii="仿宋" w:hAnsi="仿宋" w:eastAsia="仿宋" w:cs="仿宋"/>
                <w:bCs/>
                <w:szCs w:val="21"/>
              </w:rPr>
              <w:t>炭素</w:t>
            </w:r>
          </w:p>
          <w:p>
            <w:pPr>
              <w:adjustRightInd w:val="0"/>
              <w:snapToGrid w:val="0"/>
              <w:jc w:val="center"/>
              <w:rPr>
                <w:rFonts w:ascii="仿宋" w:hAnsi="仿宋" w:eastAsia="仿宋" w:cs="仿宋"/>
                <w:bCs/>
                <w:szCs w:val="21"/>
              </w:rPr>
            </w:pPr>
            <w:r>
              <w:rPr>
                <w:rFonts w:hint="eastAsia" w:ascii="仿宋" w:hAnsi="仿宋" w:eastAsia="仿宋" w:cs="仿宋"/>
                <w:bCs/>
                <w:szCs w:val="21"/>
              </w:rPr>
              <w:t>行业</w:t>
            </w:r>
          </w:p>
          <w:p>
            <w:pPr>
              <w:adjustRightInd w:val="0"/>
              <w:snapToGrid w:val="0"/>
              <w:jc w:val="center"/>
              <w:rPr>
                <w:rFonts w:ascii="仿宋" w:hAnsi="仿宋" w:eastAsia="仿宋" w:cs="仿宋"/>
                <w:bCs/>
                <w:szCs w:val="21"/>
              </w:rPr>
            </w:pPr>
          </w:p>
        </w:tc>
        <w:tc>
          <w:tcPr>
            <w:tcW w:w="1955" w:type="dxa"/>
            <w:vMerge w:val="restart"/>
            <w:tcBorders>
              <w:right w:val="single" w:color="auto" w:sz="4" w:space="0"/>
            </w:tcBorders>
            <w:noWrap/>
            <w:vAlign w:val="center"/>
          </w:tcPr>
          <w:p>
            <w:pPr>
              <w:adjustRightInd w:val="0"/>
              <w:snapToGrid w:val="0"/>
              <w:jc w:val="both"/>
              <w:rPr>
                <w:rFonts w:hint="eastAsia" w:ascii="仿宋" w:hAnsi="仿宋" w:eastAsia="仿宋" w:cs="仿宋"/>
                <w:bCs/>
                <w:szCs w:val="21"/>
                <w:lang w:eastAsia="zh-CN"/>
              </w:rPr>
            </w:pPr>
            <w:r>
              <w:rPr>
                <w:rFonts w:hint="eastAsia" w:ascii="仿宋" w:hAnsi="仿宋" w:eastAsia="仿宋" w:cs="仿宋"/>
                <w:bCs/>
                <w:szCs w:val="21"/>
              </w:rPr>
              <w:t>包括生产石墨（人造）及碳素制品的工业</w:t>
            </w:r>
            <w:r>
              <w:rPr>
                <w:rFonts w:hint="eastAsia" w:ascii="仿宋" w:hAnsi="仿宋" w:eastAsia="仿宋" w:cs="仿宋"/>
                <w:bCs/>
                <w:szCs w:val="21"/>
                <w:lang w:eastAsia="zh-CN"/>
              </w:rPr>
              <w:t>。</w:t>
            </w:r>
          </w:p>
          <w:p>
            <w:pPr>
              <w:adjustRightInd w:val="0"/>
              <w:snapToGrid w:val="0"/>
              <w:jc w:val="both"/>
              <w:rPr>
                <w:rFonts w:ascii="仿宋" w:hAnsi="仿宋" w:eastAsia="仿宋" w:cs="仿宋"/>
                <w:bCs/>
                <w:szCs w:val="21"/>
              </w:rPr>
            </w:pPr>
          </w:p>
        </w:tc>
        <w:tc>
          <w:tcPr>
            <w:tcW w:w="1738" w:type="dxa"/>
            <w:tcBorders>
              <w:left w:val="single" w:color="auto" w:sz="4" w:space="0"/>
              <w:bottom w:val="single" w:color="auto" w:sz="4" w:space="0"/>
            </w:tcBorders>
            <w:noWrap/>
            <w:vAlign w:val="center"/>
          </w:tcPr>
          <w:p>
            <w:pPr>
              <w:adjustRightInd w:val="0"/>
              <w:snapToGrid w:val="0"/>
              <w:jc w:val="center"/>
              <w:rPr>
                <w:rFonts w:ascii="仿宋" w:hAnsi="仿宋" w:eastAsia="仿宋" w:cs="仿宋"/>
                <w:bCs/>
                <w:szCs w:val="21"/>
              </w:rPr>
            </w:pPr>
            <w:r>
              <w:rPr>
                <w:rFonts w:hint="eastAsia" w:ascii="仿宋" w:hAnsi="仿宋" w:eastAsia="仿宋" w:cs="仿宋"/>
                <w:bCs/>
                <w:szCs w:val="21"/>
              </w:rPr>
              <w:t>A级企业</w:t>
            </w:r>
          </w:p>
        </w:tc>
        <w:tc>
          <w:tcPr>
            <w:tcW w:w="3315" w:type="dxa"/>
            <w:tcBorders>
              <w:bottom w:val="single" w:color="auto" w:sz="4" w:space="0"/>
            </w:tcBorders>
            <w:noWrap/>
            <w:vAlign w:val="center"/>
          </w:tcPr>
          <w:p>
            <w:pPr>
              <w:adjustRightInd w:val="0"/>
              <w:snapToGrid w:val="0"/>
              <w:jc w:val="left"/>
              <w:rPr>
                <w:rFonts w:hint="eastAsia" w:ascii="仿宋" w:hAnsi="仿宋" w:eastAsia="仿宋" w:cs="仿宋"/>
                <w:bCs/>
                <w:szCs w:val="21"/>
                <w:lang w:eastAsia="zh-CN"/>
              </w:rPr>
            </w:pPr>
            <w:r>
              <w:rPr>
                <w:rFonts w:hint="eastAsia" w:ascii="仿宋" w:hAnsi="仿宋" w:eastAsia="仿宋" w:cs="仿宋"/>
                <w:bCs/>
                <w:szCs w:val="21"/>
              </w:rPr>
              <w:t>自主采取减排措施</w:t>
            </w:r>
            <w:r>
              <w:rPr>
                <w:rFonts w:hint="eastAsia" w:ascii="仿宋" w:hAnsi="仿宋" w:eastAsia="仿宋" w:cs="仿宋"/>
                <w:bCs/>
                <w:szCs w:val="21"/>
                <w:lang w:eastAsia="zh-CN"/>
              </w:rPr>
              <w:t>。</w:t>
            </w:r>
          </w:p>
        </w:tc>
        <w:tc>
          <w:tcPr>
            <w:tcW w:w="3221" w:type="dxa"/>
            <w:tcBorders>
              <w:bottom w:val="single" w:color="auto" w:sz="4" w:space="0"/>
            </w:tcBorders>
            <w:noWrap/>
            <w:vAlign w:val="center"/>
          </w:tcPr>
          <w:p>
            <w:pPr>
              <w:adjustRightInd w:val="0"/>
              <w:snapToGrid w:val="0"/>
              <w:jc w:val="left"/>
              <w:rPr>
                <w:rFonts w:hint="eastAsia" w:ascii="仿宋" w:hAnsi="仿宋" w:eastAsia="仿宋" w:cs="仿宋"/>
                <w:bCs/>
                <w:szCs w:val="21"/>
                <w:lang w:eastAsia="zh-CN"/>
              </w:rPr>
            </w:pPr>
            <w:r>
              <w:rPr>
                <w:rFonts w:hint="eastAsia" w:ascii="仿宋" w:hAnsi="仿宋" w:eastAsia="仿宋" w:cs="仿宋"/>
                <w:bCs/>
                <w:szCs w:val="21"/>
              </w:rPr>
              <w:t>自主采取减排措施</w:t>
            </w:r>
            <w:r>
              <w:rPr>
                <w:rFonts w:hint="eastAsia" w:ascii="仿宋" w:hAnsi="仿宋" w:eastAsia="仿宋" w:cs="仿宋"/>
                <w:bCs/>
                <w:szCs w:val="21"/>
                <w:lang w:eastAsia="zh-CN"/>
              </w:rPr>
              <w:t>。</w:t>
            </w:r>
          </w:p>
        </w:tc>
        <w:tc>
          <w:tcPr>
            <w:tcW w:w="3389" w:type="dxa"/>
            <w:tcBorders>
              <w:bottom w:val="single" w:color="auto" w:sz="4" w:space="0"/>
            </w:tcBorders>
            <w:noWrap/>
            <w:vAlign w:val="center"/>
          </w:tcPr>
          <w:p>
            <w:pPr>
              <w:adjustRightInd w:val="0"/>
              <w:snapToGrid w:val="0"/>
              <w:jc w:val="left"/>
              <w:rPr>
                <w:rFonts w:hint="eastAsia" w:ascii="仿宋" w:hAnsi="仿宋" w:eastAsia="仿宋" w:cs="仿宋"/>
                <w:bCs/>
                <w:szCs w:val="21"/>
                <w:lang w:eastAsia="zh-CN"/>
              </w:rPr>
            </w:pPr>
            <w:r>
              <w:rPr>
                <w:rFonts w:hint="eastAsia" w:ascii="仿宋" w:hAnsi="仿宋" w:eastAsia="仿宋" w:cs="仿宋"/>
                <w:bCs/>
                <w:szCs w:val="21"/>
              </w:rPr>
              <w:t>自主采取减排措施</w:t>
            </w:r>
            <w:r>
              <w:rPr>
                <w:rFonts w:hint="eastAsia" w:ascii="仿宋" w:hAnsi="仿宋" w:eastAsia="仿宋" w:cs="仿宋"/>
                <w:bCs/>
                <w:szCs w:val="21"/>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6" w:type="dxa"/>
          <w:trHeight w:val="500" w:hRule="atLeast"/>
          <w:jc w:val="center"/>
        </w:trPr>
        <w:tc>
          <w:tcPr>
            <w:tcW w:w="637" w:type="dxa"/>
            <w:vMerge w:val="continue"/>
            <w:noWrap/>
            <w:vAlign w:val="center"/>
          </w:tcPr>
          <w:p>
            <w:pPr>
              <w:adjustRightInd w:val="0"/>
              <w:snapToGrid w:val="0"/>
              <w:jc w:val="center"/>
              <w:rPr>
                <w:rFonts w:ascii="仿宋" w:hAnsi="仿宋" w:eastAsia="仿宋" w:cs="仿宋"/>
                <w:bCs/>
                <w:szCs w:val="21"/>
              </w:rPr>
            </w:pPr>
          </w:p>
        </w:tc>
        <w:tc>
          <w:tcPr>
            <w:tcW w:w="974" w:type="dxa"/>
            <w:vMerge w:val="continue"/>
            <w:noWrap/>
            <w:vAlign w:val="center"/>
          </w:tcPr>
          <w:p>
            <w:pPr>
              <w:adjustRightInd w:val="0"/>
              <w:snapToGrid w:val="0"/>
              <w:jc w:val="center"/>
              <w:rPr>
                <w:rFonts w:ascii="仿宋" w:hAnsi="仿宋" w:eastAsia="仿宋" w:cs="仿宋"/>
                <w:bCs/>
                <w:szCs w:val="21"/>
              </w:rPr>
            </w:pPr>
          </w:p>
        </w:tc>
        <w:tc>
          <w:tcPr>
            <w:tcW w:w="1955" w:type="dxa"/>
            <w:vMerge w:val="continue"/>
            <w:tcBorders>
              <w:right w:val="single" w:color="auto" w:sz="4" w:space="0"/>
            </w:tcBorders>
            <w:noWrap/>
            <w:vAlign w:val="center"/>
          </w:tcPr>
          <w:p>
            <w:pPr>
              <w:adjustRightInd w:val="0"/>
              <w:snapToGrid w:val="0"/>
              <w:jc w:val="both"/>
              <w:rPr>
                <w:rFonts w:ascii="仿宋" w:hAnsi="仿宋" w:eastAsia="仿宋" w:cs="仿宋"/>
                <w:bCs/>
                <w:szCs w:val="21"/>
              </w:rPr>
            </w:pPr>
          </w:p>
        </w:tc>
        <w:tc>
          <w:tcPr>
            <w:tcW w:w="1738" w:type="dxa"/>
            <w:tcBorders>
              <w:top w:val="single" w:color="auto" w:sz="4" w:space="0"/>
              <w:left w:val="single" w:color="auto" w:sz="4" w:space="0"/>
              <w:bottom w:val="single" w:color="auto" w:sz="4" w:space="0"/>
            </w:tcBorders>
            <w:noWrap/>
            <w:vAlign w:val="center"/>
          </w:tcPr>
          <w:p>
            <w:pPr>
              <w:adjustRightInd w:val="0"/>
              <w:snapToGrid w:val="0"/>
              <w:jc w:val="center"/>
              <w:rPr>
                <w:rFonts w:ascii="仿宋" w:hAnsi="仿宋" w:eastAsia="仿宋" w:cs="仿宋"/>
                <w:bCs/>
                <w:szCs w:val="21"/>
              </w:rPr>
            </w:pPr>
            <w:r>
              <w:rPr>
                <w:rFonts w:hint="eastAsia" w:ascii="仿宋" w:hAnsi="仿宋" w:eastAsia="仿宋" w:cs="仿宋"/>
                <w:bCs/>
                <w:szCs w:val="21"/>
              </w:rPr>
              <w:t>B级企业</w:t>
            </w:r>
          </w:p>
        </w:tc>
        <w:tc>
          <w:tcPr>
            <w:tcW w:w="3315" w:type="dxa"/>
            <w:tcBorders>
              <w:top w:val="single" w:color="auto" w:sz="4" w:space="0"/>
              <w:bottom w:val="single" w:color="auto" w:sz="4" w:space="0"/>
            </w:tcBorders>
            <w:noWrap/>
            <w:vAlign w:val="center"/>
          </w:tcPr>
          <w:p>
            <w:pPr>
              <w:adjustRightInd w:val="0"/>
              <w:snapToGrid w:val="0"/>
              <w:jc w:val="left"/>
              <w:rPr>
                <w:rFonts w:ascii="仿宋" w:hAnsi="仿宋" w:eastAsia="仿宋" w:cs="仿宋"/>
                <w:bCs/>
                <w:szCs w:val="21"/>
              </w:rPr>
            </w:pPr>
            <w:r>
              <w:rPr>
                <w:rFonts w:hint="eastAsia" w:ascii="仿宋" w:hAnsi="仿宋" w:eastAsia="仿宋" w:cs="仿宋"/>
                <w:bCs/>
                <w:szCs w:val="21"/>
              </w:rPr>
              <w:t>减少50%车辆运输，焙烧工序停产50%以上，以火焰系统计。</w:t>
            </w:r>
          </w:p>
        </w:tc>
        <w:tc>
          <w:tcPr>
            <w:tcW w:w="3221" w:type="dxa"/>
            <w:tcBorders>
              <w:top w:val="single" w:color="auto" w:sz="4" w:space="0"/>
              <w:bottom w:val="single" w:color="auto" w:sz="4" w:space="0"/>
            </w:tcBorders>
            <w:noWrap/>
            <w:vAlign w:val="center"/>
          </w:tcPr>
          <w:p>
            <w:pPr>
              <w:adjustRightInd w:val="0"/>
              <w:snapToGrid w:val="0"/>
              <w:jc w:val="left"/>
              <w:rPr>
                <w:rFonts w:ascii="仿宋" w:hAnsi="仿宋" w:eastAsia="仿宋" w:cs="仿宋"/>
                <w:bCs/>
                <w:szCs w:val="21"/>
              </w:rPr>
            </w:pPr>
            <w:r>
              <w:rPr>
                <w:rFonts w:hint="eastAsia" w:ascii="仿宋" w:hAnsi="仿宋" w:eastAsia="仿宋" w:cs="仿宋"/>
                <w:bCs/>
                <w:szCs w:val="21"/>
              </w:rPr>
              <w:t>焙烧工序停产50%以上，以火焰系统计。</w:t>
            </w:r>
          </w:p>
        </w:tc>
        <w:tc>
          <w:tcPr>
            <w:tcW w:w="3389" w:type="dxa"/>
            <w:tcBorders>
              <w:top w:val="single" w:color="auto" w:sz="4" w:space="0"/>
              <w:bottom w:val="single" w:color="auto" w:sz="4" w:space="0"/>
            </w:tcBorders>
            <w:noWrap/>
            <w:vAlign w:val="center"/>
          </w:tcPr>
          <w:p>
            <w:pPr>
              <w:adjustRightInd w:val="0"/>
              <w:snapToGrid w:val="0"/>
              <w:jc w:val="left"/>
              <w:rPr>
                <w:rFonts w:hint="eastAsia" w:ascii="仿宋" w:hAnsi="仿宋" w:eastAsia="仿宋" w:cs="仿宋"/>
                <w:bCs/>
                <w:szCs w:val="21"/>
                <w:lang w:eastAsia="zh-CN"/>
              </w:rPr>
            </w:pPr>
            <w:r>
              <w:rPr>
                <w:rFonts w:hint="eastAsia" w:ascii="仿宋" w:hAnsi="仿宋" w:eastAsia="仿宋" w:cs="仿宋"/>
                <w:bCs/>
                <w:szCs w:val="21"/>
              </w:rPr>
              <w:t>焙烧工序停产50%以上，以火焰系统计</w:t>
            </w:r>
            <w:r>
              <w:rPr>
                <w:rFonts w:hint="eastAsia" w:ascii="仿宋" w:hAnsi="仿宋" w:eastAsia="仿宋" w:cs="仿宋"/>
                <w:bCs/>
                <w:szCs w:val="21"/>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6" w:type="dxa"/>
          <w:trHeight w:val="886" w:hRule="atLeast"/>
          <w:jc w:val="center"/>
        </w:trPr>
        <w:tc>
          <w:tcPr>
            <w:tcW w:w="637" w:type="dxa"/>
            <w:vMerge w:val="continue"/>
            <w:noWrap/>
            <w:vAlign w:val="center"/>
          </w:tcPr>
          <w:p>
            <w:pPr>
              <w:adjustRightInd w:val="0"/>
              <w:snapToGrid w:val="0"/>
              <w:jc w:val="center"/>
              <w:rPr>
                <w:rFonts w:ascii="仿宋" w:hAnsi="仿宋" w:eastAsia="仿宋" w:cs="仿宋"/>
                <w:bCs/>
                <w:szCs w:val="21"/>
              </w:rPr>
            </w:pPr>
          </w:p>
        </w:tc>
        <w:tc>
          <w:tcPr>
            <w:tcW w:w="974" w:type="dxa"/>
            <w:vMerge w:val="continue"/>
            <w:noWrap/>
            <w:vAlign w:val="center"/>
          </w:tcPr>
          <w:p>
            <w:pPr>
              <w:adjustRightInd w:val="0"/>
              <w:snapToGrid w:val="0"/>
              <w:jc w:val="center"/>
              <w:rPr>
                <w:rFonts w:ascii="仿宋" w:hAnsi="仿宋" w:eastAsia="仿宋" w:cs="仿宋"/>
                <w:bCs/>
                <w:szCs w:val="21"/>
              </w:rPr>
            </w:pPr>
          </w:p>
        </w:tc>
        <w:tc>
          <w:tcPr>
            <w:tcW w:w="1955" w:type="dxa"/>
            <w:vMerge w:val="continue"/>
            <w:tcBorders>
              <w:right w:val="single" w:color="auto" w:sz="4" w:space="0"/>
            </w:tcBorders>
            <w:noWrap/>
            <w:vAlign w:val="center"/>
          </w:tcPr>
          <w:p>
            <w:pPr>
              <w:adjustRightInd w:val="0"/>
              <w:snapToGrid w:val="0"/>
              <w:jc w:val="both"/>
              <w:rPr>
                <w:rFonts w:ascii="仿宋" w:hAnsi="仿宋" w:eastAsia="仿宋" w:cs="仿宋"/>
                <w:bCs/>
                <w:szCs w:val="21"/>
              </w:rPr>
            </w:pPr>
          </w:p>
        </w:tc>
        <w:tc>
          <w:tcPr>
            <w:tcW w:w="1738" w:type="dxa"/>
            <w:tcBorders>
              <w:top w:val="single" w:color="auto" w:sz="4" w:space="0"/>
              <w:left w:val="single" w:color="auto" w:sz="4" w:space="0"/>
            </w:tcBorders>
            <w:noWrap/>
            <w:vAlign w:val="center"/>
          </w:tcPr>
          <w:p>
            <w:pPr>
              <w:adjustRightInd w:val="0"/>
              <w:snapToGrid w:val="0"/>
              <w:jc w:val="center"/>
              <w:rPr>
                <w:rFonts w:ascii="仿宋" w:hAnsi="仿宋" w:eastAsia="仿宋" w:cs="仿宋"/>
                <w:bCs/>
                <w:szCs w:val="21"/>
              </w:rPr>
            </w:pPr>
            <w:r>
              <w:rPr>
                <w:rFonts w:hint="eastAsia" w:ascii="仿宋" w:hAnsi="仿宋" w:eastAsia="仿宋" w:cs="仿宋"/>
                <w:bCs/>
                <w:szCs w:val="21"/>
              </w:rPr>
              <w:t>C级企业</w:t>
            </w:r>
          </w:p>
        </w:tc>
        <w:tc>
          <w:tcPr>
            <w:tcW w:w="3315" w:type="dxa"/>
            <w:tcBorders>
              <w:top w:val="single" w:color="auto" w:sz="4" w:space="0"/>
            </w:tcBorders>
            <w:noWrap/>
            <w:vAlign w:val="center"/>
          </w:tcPr>
          <w:p>
            <w:pPr>
              <w:adjustRightInd w:val="0"/>
              <w:snapToGrid w:val="0"/>
              <w:jc w:val="left"/>
              <w:rPr>
                <w:rFonts w:hint="eastAsia" w:ascii="仿宋" w:hAnsi="仿宋" w:eastAsia="仿宋" w:cs="仿宋"/>
                <w:bCs/>
                <w:szCs w:val="21"/>
                <w:lang w:eastAsia="zh-CN"/>
              </w:rPr>
            </w:pPr>
            <w:r>
              <w:rPr>
                <w:rFonts w:hint="eastAsia" w:ascii="仿宋" w:hAnsi="仿宋" w:eastAsia="仿宋" w:cs="仿宋"/>
                <w:bCs/>
                <w:szCs w:val="21"/>
              </w:rPr>
              <w:t>煅烧工序停产。禁止使用国四及以下重型载货车辆（含燃气）进行货料运输</w:t>
            </w:r>
            <w:r>
              <w:rPr>
                <w:rFonts w:hint="eastAsia" w:ascii="仿宋" w:hAnsi="仿宋" w:eastAsia="仿宋" w:cs="仿宋"/>
                <w:bCs/>
                <w:szCs w:val="21"/>
                <w:lang w:eastAsia="zh-CN"/>
              </w:rPr>
              <w:t>。</w:t>
            </w:r>
          </w:p>
        </w:tc>
        <w:tc>
          <w:tcPr>
            <w:tcW w:w="3221" w:type="dxa"/>
            <w:tcBorders>
              <w:top w:val="single" w:color="auto" w:sz="4" w:space="0"/>
            </w:tcBorders>
            <w:noWrap/>
            <w:vAlign w:val="center"/>
          </w:tcPr>
          <w:p>
            <w:pPr>
              <w:adjustRightInd w:val="0"/>
              <w:snapToGrid w:val="0"/>
              <w:jc w:val="left"/>
              <w:rPr>
                <w:rFonts w:hint="eastAsia" w:ascii="仿宋" w:hAnsi="仿宋" w:eastAsia="仿宋" w:cs="仿宋"/>
                <w:bCs/>
                <w:szCs w:val="21"/>
                <w:lang w:eastAsia="zh-CN"/>
              </w:rPr>
            </w:pPr>
            <w:r>
              <w:rPr>
                <w:rFonts w:hint="eastAsia" w:ascii="仿宋" w:hAnsi="仿宋" w:eastAsia="仿宋" w:cs="仿宋"/>
                <w:bCs/>
                <w:szCs w:val="21"/>
              </w:rPr>
              <w:t>煅烧工序停产。禁止使用国四及以下重型载货车辆（含燃气）进行货料运输</w:t>
            </w:r>
            <w:r>
              <w:rPr>
                <w:rFonts w:hint="eastAsia" w:ascii="仿宋" w:hAnsi="仿宋" w:eastAsia="仿宋" w:cs="仿宋"/>
                <w:bCs/>
                <w:szCs w:val="21"/>
                <w:lang w:eastAsia="zh-CN"/>
              </w:rPr>
              <w:t>。</w:t>
            </w:r>
          </w:p>
        </w:tc>
        <w:tc>
          <w:tcPr>
            <w:tcW w:w="3389" w:type="dxa"/>
            <w:tcBorders>
              <w:top w:val="single" w:color="auto" w:sz="4" w:space="0"/>
            </w:tcBorders>
            <w:noWrap/>
            <w:vAlign w:val="center"/>
          </w:tcPr>
          <w:p>
            <w:pPr>
              <w:adjustRightInd w:val="0"/>
              <w:snapToGrid w:val="0"/>
              <w:jc w:val="left"/>
              <w:rPr>
                <w:rFonts w:hint="eastAsia" w:ascii="仿宋" w:hAnsi="仿宋" w:eastAsia="仿宋" w:cs="仿宋"/>
                <w:bCs/>
                <w:szCs w:val="21"/>
                <w:lang w:eastAsia="zh-CN"/>
              </w:rPr>
            </w:pPr>
            <w:r>
              <w:rPr>
                <w:rFonts w:hint="eastAsia" w:ascii="仿宋" w:hAnsi="仿宋" w:eastAsia="仿宋" w:cs="仿宋"/>
                <w:bCs/>
                <w:szCs w:val="21"/>
              </w:rPr>
              <w:t>焙烧工序停产50%以上，以火焰系统计</w:t>
            </w:r>
            <w:r>
              <w:rPr>
                <w:rFonts w:hint="eastAsia" w:ascii="仿宋" w:hAnsi="仿宋" w:eastAsia="仿宋" w:cs="仿宋"/>
                <w:bCs/>
                <w:szCs w:val="21"/>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6" w:type="dxa"/>
          <w:trHeight w:val="487" w:hRule="atLeast"/>
          <w:jc w:val="center"/>
        </w:trPr>
        <w:tc>
          <w:tcPr>
            <w:tcW w:w="637" w:type="dxa"/>
            <w:vMerge w:val="restart"/>
            <w:noWrap/>
            <w:vAlign w:val="center"/>
          </w:tcPr>
          <w:p>
            <w:pPr>
              <w:adjustRightInd w:val="0"/>
              <w:snapToGrid w:val="0"/>
              <w:jc w:val="center"/>
              <w:rPr>
                <w:rFonts w:ascii="仿宋" w:hAnsi="仿宋" w:eastAsia="仿宋" w:cs="仿宋"/>
                <w:bCs/>
                <w:szCs w:val="21"/>
              </w:rPr>
            </w:pPr>
            <w:r>
              <w:rPr>
                <w:rFonts w:hint="eastAsia" w:ascii="仿宋" w:hAnsi="仿宋" w:eastAsia="仿宋" w:cs="仿宋"/>
                <w:bCs/>
                <w:szCs w:val="21"/>
              </w:rPr>
              <w:t>3</w:t>
            </w:r>
          </w:p>
        </w:tc>
        <w:tc>
          <w:tcPr>
            <w:tcW w:w="974" w:type="dxa"/>
            <w:vMerge w:val="restart"/>
            <w:noWrap/>
            <w:vAlign w:val="center"/>
          </w:tcPr>
          <w:p>
            <w:pPr>
              <w:adjustRightInd w:val="0"/>
              <w:snapToGrid w:val="0"/>
              <w:jc w:val="center"/>
              <w:rPr>
                <w:rFonts w:ascii="仿宋" w:hAnsi="仿宋" w:eastAsia="仿宋" w:cs="仿宋"/>
                <w:bCs/>
                <w:szCs w:val="21"/>
              </w:rPr>
            </w:pPr>
            <w:r>
              <w:rPr>
                <w:rFonts w:hint="eastAsia" w:ascii="仿宋" w:hAnsi="仿宋" w:eastAsia="仿宋" w:cs="仿宋"/>
                <w:bCs/>
                <w:szCs w:val="21"/>
              </w:rPr>
              <w:t>石灰窑行业</w:t>
            </w:r>
          </w:p>
        </w:tc>
        <w:tc>
          <w:tcPr>
            <w:tcW w:w="1955" w:type="dxa"/>
            <w:vMerge w:val="restart"/>
            <w:tcBorders>
              <w:right w:val="single" w:color="auto" w:sz="4" w:space="0"/>
            </w:tcBorders>
            <w:noWrap/>
            <w:vAlign w:val="center"/>
          </w:tcPr>
          <w:p>
            <w:pPr>
              <w:adjustRightInd w:val="0"/>
              <w:snapToGrid w:val="0"/>
              <w:jc w:val="both"/>
              <w:rPr>
                <w:rFonts w:hint="eastAsia" w:ascii="仿宋" w:hAnsi="仿宋" w:eastAsia="仿宋" w:cs="仿宋"/>
                <w:bCs/>
                <w:szCs w:val="21"/>
                <w:lang w:eastAsia="zh-CN"/>
              </w:rPr>
            </w:pPr>
            <w:r>
              <w:rPr>
                <w:rFonts w:hint="eastAsia" w:ascii="仿宋" w:hAnsi="仿宋" w:eastAsia="仿宋" w:cs="仿宋"/>
                <w:bCs/>
                <w:szCs w:val="21"/>
              </w:rPr>
              <w:t>石灰开采、煅（焙）烧及深加工的工业，不适用于无尾气排放的石灰窑</w:t>
            </w:r>
            <w:r>
              <w:rPr>
                <w:rFonts w:hint="eastAsia" w:ascii="仿宋" w:hAnsi="仿宋" w:eastAsia="仿宋" w:cs="仿宋"/>
                <w:bCs/>
                <w:szCs w:val="21"/>
                <w:lang w:eastAsia="zh-CN"/>
              </w:rPr>
              <w:t>。</w:t>
            </w:r>
          </w:p>
        </w:tc>
        <w:tc>
          <w:tcPr>
            <w:tcW w:w="1738" w:type="dxa"/>
            <w:tcBorders>
              <w:top w:val="single" w:color="auto" w:sz="4" w:space="0"/>
              <w:left w:val="single" w:color="auto" w:sz="4" w:space="0"/>
            </w:tcBorders>
            <w:noWrap/>
            <w:vAlign w:val="center"/>
          </w:tcPr>
          <w:p>
            <w:pPr>
              <w:adjustRightInd w:val="0"/>
              <w:snapToGrid w:val="0"/>
              <w:jc w:val="center"/>
              <w:rPr>
                <w:rFonts w:ascii="仿宋" w:hAnsi="仿宋" w:eastAsia="仿宋" w:cs="仿宋"/>
                <w:bCs/>
                <w:szCs w:val="21"/>
              </w:rPr>
            </w:pPr>
            <w:r>
              <w:rPr>
                <w:rFonts w:hint="eastAsia" w:ascii="仿宋" w:hAnsi="仿宋" w:eastAsia="仿宋" w:cs="仿宋"/>
                <w:bCs/>
                <w:szCs w:val="21"/>
              </w:rPr>
              <w:t>A级企业</w:t>
            </w:r>
          </w:p>
        </w:tc>
        <w:tc>
          <w:tcPr>
            <w:tcW w:w="3315" w:type="dxa"/>
            <w:tcBorders>
              <w:top w:val="single" w:color="auto" w:sz="4" w:space="0"/>
            </w:tcBorders>
            <w:noWrap/>
            <w:vAlign w:val="center"/>
          </w:tcPr>
          <w:p>
            <w:pPr>
              <w:adjustRightInd w:val="0"/>
              <w:snapToGrid w:val="0"/>
              <w:jc w:val="left"/>
              <w:rPr>
                <w:rFonts w:hint="eastAsia" w:ascii="仿宋" w:hAnsi="仿宋" w:eastAsia="仿宋" w:cs="仿宋"/>
                <w:bCs/>
                <w:szCs w:val="21"/>
                <w:lang w:eastAsia="zh-CN"/>
              </w:rPr>
            </w:pPr>
            <w:r>
              <w:rPr>
                <w:rFonts w:hint="eastAsia" w:ascii="仿宋" w:hAnsi="仿宋" w:eastAsia="仿宋" w:cs="仿宋"/>
                <w:bCs/>
                <w:szCs w:val="21"/>
              </w:rPr>
              <w:t>自主采取减排措施</w:t>
            </w:r>
            <w:r>
              <w:rPr>
                <w:rFonts w:hint="eastAsia" w:ascii="仿宋" w:hAnsi="仿宋" w:eastAsia="仿宋" w:cs="仿宋"/>
                <w:bCs/>
                <w:szCs w:val="21"/>
                <w:lang w:eastAsia="zh-CN"/>
              </w:rPr>
              <w:t>。</w:t>
            </w:r>
          </w:p>
        </w:tc>
        <w:tc>
          <w:tcPr>
            <w:tcW w:w="3221" w:type="dxa"/>
            <w:tcBorders>
              <w:top w:val="single" w:color="auto" w:sz="4" w:space="0"/>
            </w:tcBorders>
            <w:noWrap/>
            <w:vAlign w:val="center"/>
          </w:tcPr>
          <w:p>
            <w:pPr>
              <w:adjustRightInd w:val="0"/>
              <w:snapToGrid w:val="0"/>
              <w:jc w:val="left"/>
              <w:rPr>
                <w:rFonts w:ascii="仿宋" w:hAnsi="仿宋" w:eastAsia="仿宋" w:cs="仿宋"/>
                <w:bCs/>
                <w:szCs w:val="21"/>
              </w:rPr>
            </w:pPr>
            <w:r>
              <w:rPr>
                <w:rFonts w:hint="eastAsia" w:ascii="仿宋" w:hAnsi="仿宋" w:eastAsia="仿宋" w:cs="仿宋"/>
                <w:bCs/>
                <w:szCs w:val="21"/>
              </w:rPr>
              <w:t>自主采取减排措施。</w:t>
            </w:r>
          </w:p>
        </w:tc>
        <w:tc>
          <w:tcPr>
            <w:tcW w:w="3389" w:type="dxa"/>
            <w:tcBorders>
              <w:top w:val="single" w:color="auto" w:sz="4" w:space="0"/>
            </w:tcBorders>
            <w:noWrap/>
            <w:vAlign w:val="center"/>
          </w:tcPr>
          <w:p>
            <w:pPr>
              <w:adjustRightInd w:val="0"/>
              <w:snapToGrid w:val="0"/>
              <w:jc w:val="left"/>
              <w:rPr>
                <w:rFonts w:ascii="仿宋" w:hAnsi="仿宋" w:eastAsia="仿宋" w:cs="仿宋"/>
                <w:bCs/>
                <w:szCs w:val="21"/>
              </w:rPr>
            </w:pPr>
            <w:r>
              <w:rPr>
                <w:rFonts w:hint="eastAsia" w:ascii="仿宋" w:hAnsi="仿宋" w:eastAsia="仿宋" w:cs="仿宋"/>
                <w:bCs/>
                <w:szCs w:val="21"/>
              </w:rPr>
              <w:t>自主采取减排措施。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0" w:hRule="atLeast"/>
          <w:jc w:val="center"/>
        </w:trPr>
        <w:tc>
          <w:tcPr>
            <w:tcW w:w="637" w:type="dxa"/>
            <w:vMerge w:val="continue"/>
            <w:noWrap/>
            <w:vAlign w:val="center"/>
          </w:tcPr>
          <w:p>
            <w:pPr>
              <w:adjustRightInd w:val="0"/>
              <w:snapToGrid w:val="0"/>
              <w:jc w:val="center"/>
              <w:rPr>
                <w:rFonts w:ascii="仿宋" w:hAnsi="仿宋" w:eastAsia="仿宋" w:cs="仿宋"/>
                <w:bCs/>
                <w:szCs w:val="21"/>
              </w:rPr>
            </w:pPr>
          </w:p>
        </w:tc>
        <w:tc>
          <w:tcPr>
            <w:tcW w:w="974" w:type="dxa"/>
            <w:vMerge w:val="continue"/>
            <w:noWrap/>
            <w:vAlign w:val="center"/>
          </w:tcPr>
          <w:p>
            <w:pPr>
              <w:adjustRightInd w:val="0"/>
              <w:snapToGrid w:val="0"/>
              <w:jc w:val="center"/>
              <w:rPr>
                <w:rFonts w:ascii="仿宋" w:hAnsi="仿宋" w:eastAsia="仿宋" w:cs="仿宋"/>
                <w:bCs/>
                <w:szCs w:val="21"/>
              </w:rPr>
            </w:pPr>
          </w:p>
        </w:tc>
        <w:tc>
          <w:tcPr>
            <w:tcW w:w="1955" w:type="dxa"/>
            <w:vMerge w:val="continue"/>
            <w:tcBorders>
              <w:right w:val="single" w:color="auto" w:sz="4" w:space="0"/>
            </w:tcBorders>
            <w:noWrap/>
            <w:vAlign w:val="center"/>
          </w:tcPr>
          <w:p>
            <w:pPr>
              <w:adjustRightInd w:val="0"/>
              <w:snapToGrid w:val="0"/>
              <w:jc w:val="both"/>
              <w:rPr>
                <w:rFonts w:ascii="仿宋" w:hAnsi="仿宋" w:eastAsia="仿宋" w:cs="仿宋"/>
                <w:bCs/>
                <w:szCs w:val="21"/>
              </w:rPr>
            </w:pPr>
          </w:p>
        </w:tc>
        <w:tc>
          <w:tcPr>
            <w:tcW w:w="1738" w:type="dxa"/>
            <w:tcBorders>
              <w:top w:val="single" w:color="auto" w:sz="4" w:space="0"/>
              <w:left w:val="single" w:color="auto" w:sz="4" w:space="0"/>
            </w:tcBorders>
            <w:noWrap/>
            <w:vAlign w:val="center"/>
          </w:tcPr>
          <w:p>
            <w:pPr>
              <w:adjustRightInd w:val="0"/>
              <w:snapToGrid w:val="0"/>
              <w:jc w:val="center"/>
              <w:rPr>
                <w:rFonts w:ascii="仿宋" w:hAnsi="仿宋" w:eastAsia="仿宋" w:cs="仿宋"/>
                <w:bCs/>
                <w:szCs w:val="21"/>
              </w:rPr>
            </w:pPr>
            <w:r>
              <w:rPr>
                <w:rFonts w:hint="eastAsia" w:ascii="仿宋" w:hAnsi="仿宋" w:eastAsia="仿宋" w:cs="仿宋"/>
                <w:bCs/>
                <w:szCs w:val="21"/>
              </w:rPr>
              <w:t>B级企业</w:t>
            </w:r>
          </w:p>
        </w:tc>
        <w:tc>
          <w:tcPr>
            <w:tcW w:w="3315" w:type="dxa"/>
            <w:tcBorders>
              <w:top w:val="single" w:color="auto" w:sz="4" w:space="0"/>
            </w:tcBorders>
            <w:noWrap/>
            <w:vAlign w:val="center"/>
          </w:tcPr>
          <w:p>
            <w:pPr>
              <w:adjustRightInd w:val="0"/>
              <w:snapToGrid w:val="0"/>
              <w:jc w:val="left"/>
              <w:rPr>
                <w:rFonts w:hint="eastAsia" w:ascii="仿宋" w:hAnsi="仿宋" w:eastAsia="仿宋" w:cs="仿宋"/>
                <w:bCs/>
                <w:szCs w:val="21"/>
                <w:lang w:eastAsia="zh-CN"/>
              </w:rPr>
            </w:pPr>
            <w:r>
              <w:rPr>
                <w:rFonts w:hint="eastAsia" w:ascii="仿宋" w:hAnsi="仿宋" w:eastAsia="仿宋" w:cs="仿宋"/>
                <w:bCs/>
                <w:szCs w:val="21"/>
              </w:rPr>
              <w:t>停产保窑；减少50%车辆运输</w:t>
            </w:r>
            <w:r>
              <w:rPr>
                <w:rFonts w:hint="eastAsia" w:ascii="仿宋" w:hAnsi="仿宋" w:eastAsia="仿宋" w:cs="仿宋"/>
                <w:bCs/>
                <w:szCs w:val="21"/>
                <w:lang w:eastAsia="zh-CN"/>
              </w:rPr>
              <w:t>。</w:t>
            </w:r>
          </w:p>
        </w:tc>
        <w:tc>
          <w:tcPr>
            <w:tcW w:w="3221" w:type="dxa"/>
            <w:tcBorders>
              <w:top w:val="single" w:color="auto" w:sz="4" w:space="0"/>
            </w:tcBorders>
            <w:noWrap/>
            <w:vAlign w:val="center"/>
          </w:tcPr>
          <w:p>
            <w:pPr>
              <w:adjustRightInd w:val="0"/>
              <w:snapToGrid w:val="0"/>
              <w:jc w:val="left"/>
              <w:rPr>
                <w:rFonts w:hint="eastAsia" w:ascii="仿宋" w:hAnsi="仿宋" w:eastAsia="仿宋" w:cs="仿宋"/>
                <w:bCs/>
                <w:szCs w:val="21"/>
                <w:lang w:eastAsia="zh-CN"/>
              </w:rPr>
            </w:pPr>
            <w:r>
              <w:rPr>
                <w:rFonts w:hint="eastAsia" w:ascii="仿宋" w:hAnsi="仿宋" w:eastAsia="仿宋" w:cs="仿宋"/>
                <w:bCs/>
                <w:szCs w:val="21"/>
              </w:rPr>
              <w:t>停产保窑；减少50%车辆运输</w:t>
            </w:r>
            <w:r>
              <w:rPr>
                <w:rFonts w:hint="eastAsia" w:ascii="仿宋" w:hAnsi="仿宋" w:eastAsia="仿宋" w:cs="仿宋"/>
                <w:bCs/>
                <w:szCs w:val="21"/>
                <w:lang w:eastAsia="zh-CN"/>
              </w:rPr>
              <w:t>。</w:t>
            </w:r>
          </w:p>
        </w:tc>
        <w:tc>
          <w:tcPr>
            <w:tcW w:w="3425" w:type="dxa"/>
            <w:gridSpan w:val="2"/>
            <w:tcBorders>
              <w:top w:val="single" w:color="auto" w:sz="4" w:space="0"/>
            </w:tcBorders>
            <w:noWrap/>
            <w:vAlign w:val="center"/>
          </w:tcPr>
          <w:p>
            <w:pPr>
              <w:adjustRightInd w:val="0"/>
              <w:snapToGrid w:val="0"/>
              <w:jc w:val="left"/>
              <w:rPr>
                <w:rFonts w:ascii="仿宋" w:hAnsi="仿宋" w:eastAsia="仿宋" w:cs="仿宋"/>
                <w:bCs/>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6" w:type="dxa"/>
          <w:trHeight w:val="403" w:hRule="atLeast"/>
          <w:jc w:val="center"/>
        </w:trPr>
        <w:tc>
          <w:tcPr>
            <w:tcW w:w="637" w:type="dxa"/>
            <w:vMerge w:val="continue"/>
            <w:noWrap/>
            <w:vAlign w:val="center"/>
          </w:tcPr>
          <w:p>
            <w:pPr>
              <w:adjustRightInd w:val="0"/>
              <w:snapToGrid w:val="0"/>
              <w:jc w:val="center"/>
              <w:rPr>
                <w:rFonts w:ascii="仿宋" w:hAnsi="仿宋" w:eastAsia="仿宋" w:cs="仿宋"/>
                <w:bCs/>
                <w:szCs w:val="21"/>
              </w:rPr>
            </w:pPr>
          </w:p>
        </w:tc>
        <w:tc>
          <w:tcPr>
            <w:tcW w:w="974" w:type="dxa"/>
            <w:vMerge w:val="continue"/>
            <w:noWrap/>
            <w:vAlign w:val="center"/>
          </w:tcPr>
          <w:p>
            <w:pPr>
              <w:adjustRightInd w:val="0"/>
              <w:snapToGrid w:val="0"/>
              <w:jc w:val="center"/>
              <w:rPr>
                <w:rFonts w:ascii="仿宋" w:hAnsi="仿宋" w:eastAsia="仿宋" w:cs="仿宋"/>
                <w:bCs/>
                <w:szCs w:val="21"/>
              </w:rPr>
            </w:pPr>
          </w:p>
        </w:tc>
        <w:tc>
          <w:tcPr>
            <w:tcW w:w="1955" w:type="dxa"/>
            <w:vMerge w:val="continue"/>
            <w:tcBorders>
              <w:right w:val="single" w:color="auto" w:sz="4" w:space="0"/>
            </w:tcBorders>
            <w:noWrap/>
            <w:vAlign w:val="center"/>
          </w:tcPr>
          <w:p>
            <w:pPr>
              <w:adjustRightInd w:val="0"/>
              <w:snapToGrid w:val="0"/>
              <w:jc w:val="both"/>
              <w:rPr>
                <w:rFonts w:ascii="仿宋" w:hAnsi="仿宋" w:eastAsia="仿宋" w:cs="仿宋"/>
                <w:bCs/>
                <w:szCs w:val="21"/>
              </w:rPr>
            </w:pPr>
          </w:p>
        </w:tc>
        <w:tc>
          <w:tcPr>
            <w:tcW w:w="1738" w:type="dxa"/>
            <w:tcBorders>
              <w:top w:val="single" w:color="auto" w:sz="4" w:space="0"/>
              <w:left w:val="single" w:color="auto" w:sz="4" w:space="0"/>
            </w:tcBorders>
            <w:noWrap/>
            <w:vAlign w:val="center"/>
          </w:tcPr>
          <w:p>
            <w:pPr>
              <w:adjustRightInd w:val="0"/>
              <w:snapToGrid w:val="0"/>
              <w:jc w:val="center"/>
              <w:rPr>
                <w:rFonts w:ascii="仿宋" w:hAnsi="仿宋" w:eastAsia="仿宋" w:cs="仿宋"/>
                <w:bCs/>
                <w:szCs w:val="21"/>
              </w:rPr>
            </w:pPr>
            <w:r>
              <w:rPr>
                <w:rFonts w:hint="eastAsia" w:ascii="仿宋" w:hAnsi="仿宋" w:eastAsia="仿宋" w:cs="仿宋"/>
                <w:bCs/>
                <w:szCs w:val="21"/>
              </w:rPr>
              <w:t>C级企业</w:t>
            </w:r>
          </w:p>
        </w:tc>
        <w:tc>
          <w:tcPr>
            <w:tcW w:w="3315" w:type="dxa"/>
            <w:tcBorders>
              <w:top w:val="single" w:color="auto" w:sz="4" w:space="0"/>
            </w:tcBorders>
            <w:noWrap/>
            <w:vAlign w:val="center"/>
          </w:tcPr>
          <w:p>
            <w:pPr>
              <w:adjustRightInd w:val="0"/>
              <w:snapToGrid w:val="0"/>
              <w:jc w:val="left"/>
              <w:rPr>
                <w:rFonts w:hint="eastAsia" w:ascii="仿宋" w:hAnsi="仿宋" w:eastAsia="仿宋" w:cs="仿宋"/>
                <w:bCs/>
                <w:szCs w:val="21"/>
                <w:lang w:eastAsia="zh-CN"/>
              </w:rPr>
            </w:pPr>
            <w:r>
              <w:rPr>
                <w:rFonts w:hint="eastAsia" w:ascii="仿宋" w:hAnsi="仿宋" w:eastAsia="仿宋" w:cs="仿宋"/>
                <w:bCs/>
                <w:szCs w:val="21"/>
              </w:rPr>
              <w:t>停产；禁止使用国四及以下重型载货车辆（含燃气）进行物料运输</w:t>
            </w:r>
            <w:r>
              <w:rPr>
                <w:rFonts w:hint="eastAsia" w:ascii="仿宋" w:hAnsi="仿宋" w:eastAsia="仿宋" w:cs="仿宋"/>
                <w:bCs/>
                <w:szCs w:val="21"/>
                <w:lang w:eastAsia="zh-CN"/>
              </w:rPr>
              <w:t>。</w:t>
            </w:r>
          </w:p>
        </w:tc>
        <w:tc>
          <w:tcPr>
            <w:tcW w:w="3221" w:type="dxa"/>
            <w:tcBorders>
              <w:top w:val="single" w:color="auto" w:sz="4" w:space="0"/>
            </w:tcBorders>
            <w:noWrap/>
            <w:vAlign w:val="center"/>
          </w:tcPr>
          <w:p>
            <w:pPr>
              <w:adjustRightInd w:val="0"/>
              <w:snapToGrid w:val="0"/>
              <w:jc w:val="left"/>
              <w:rPr>
                <w:rFonts w:hint="eastAsia" w:ascii="仿宋" w:hAnsi="仿宋" w:eastAsia="仿宋" w:cs="仿宋"/>
                <w:bCs/>
                <w:szCs w:val="21"/>
                <w:lang w:eastAsia="zh-CN"/>
              </w:rPr>
            </w:pPr>
            <w:r>
              <w:rPr>
                <w:rFonts w:hint="eastAsia" w:ascii="仿宋" w:hAnsi="仿宋" w:eastAsia="仿宋" w:cs="仿宋"/>
                <w:bCs/>
                <w:szCs w:val="21"/>
              </w:rPr>
              <w:t>停产；禁止使用国四及以下重型载货车辆（含燃气）进行物料运输</w:t>
            </w:r>
            <w:r>
              <w:rPr>
                <w:rFonts w:hint="eastAsia" w:ascii="仿宋" w:hAnsi="仿宋" w:eastAsia="仿宋" w:cs="仿宋"/>
                <w:bCs/>
                <w:szCs w:val="21"/>
                <w:lang w:eastAsia="zh-CN"/>
              </w:rPr>
              <w:t>。</w:t>
            </w:r>
          </w:p>
        </w:tc>
        <w:tc>
          <w:tcPr>
            <w:tcW w:w="3389" w:type="dxa"/>
            <w:tcBorders>
              <w:top w:val="single" w:color="auto" w:sz="4" w:space="0"/>
            </w:tcBorders>
            <w:noWrap/>
            <w:vAlign w:val="center"/>
          </w:tcPr>
          <w:p>
            <w:pPr>
              <w:adjustRightInd w:val="0"/>
              <w:snapToGrid w:val="0"/>
              <w:jc w:val="left"/>
              <w:rPr>
                <w:rFonts w:hint="eastAsia" w:ascii="仿宋" w:hAnsi="仿宋" w:eastAsia="仿宋" w:cs="仿宋"/>
                <w:bCs/>
                <w:szCs w:val="21"/>
                <w:lang w:eastAsia="zh-CN"/>
              </w:rPr>
            </w:pPr>
            <w:r>
              <w:rPr>
                <w:rFonts w:hint="eastAsia" w:ascii="仿宋" w:hAnsi="仿宋" w:eastAsia="仿宋" w:cs="仿宋"/>
                <w:bCs/>
                <w:szCs w:val="21"/>
              </w:rPr>
              <w:t>停产；禁止使用国四及以下重型载货车辆（含燃气）进行物料运输</w:t>
            </w:r>
            <w:r>
              <w:rPr>
                <w:rFonts w:hint="eastAsia" w:ascii="仿宋" w:hAnsi="仿宋" w:eastAsia="仿宋" w:cs="仿宋"/>
                <w:bCs/>
                <w:szCs w:val="21"/>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6" w:type="dxa"/>
          <w:trHeight w:val="146" w:hRule="atLeast"/>
          <w:jc w:val="center"/>
        </w:trPr>
        <w:tc>
          <w:tcPr>
            <w:tcW w:w="637" w:type="dxa"/>
            <w:vMerge w:val="restart"/>
            <w:noWrap/>
            <w:vAlign w:val="center"/>
          </w:tcPr>
          <w:p>
            <w:pPr>
              <w:adjustRightInd w:val="0"/>
              <w:snapToGrid w:val="0"/>
              <w:jc w:val="center"/>
              <w:rPr>
                <w:rFonts w:ascii="仿宋" w:hAnsi="仿宋" w:eastAsia="仿宋" w:cs="仿宋"/>
                <w:bCs/>
                <w:szCs w:val="21"/>
              </w:rPr>
            </w:pPr>
            <w:r>
              <w:rPr>
                <w:rFonts w:hint="eastAsia" w:ascii="仿宋" w:hAnsi="仿宋" w:eastAsia="仿宋" w:cs="仿宋"/>
                <w:bCs/>
                <w:szCs w:val="21"/>
              </w:rPr>
              <w:t>4</w:t>
            </w:r>
          </w:p>
        </w:tc>
        <w:tc>
          <w:tcPr>
            <w:tcW w:w="974" w:type="dxa"/>
            <w:vMerge w:val="restart"/>
            <w:noWrap/>
            <w:vAlign w:val="center"/>
          </w:tcPr>
          <w:p>
            <w:pPr>
              <w:adjustRightInd w:val="0"/>
              <w:snapToGrid w:val="0"/>
              <w:jc w:val="center"/>
              <w:rPr>
                <w:rFonts w:ascii="仿宋" w:hAnsi="仿宋" w:eastAsia="仿宋" w:cs="仿宋"/>
                <w:bCs/>
                <w:szCs w:val="21"/>
              </w:rPr>
            </w:pPr>
            <w:r>
              <w:rPr>
                <w:rFonts w:hint="eastAsia" w:ascii="仿宋" w:hAnsi="仿宋" w:eastAsia="仿宋" w:cs="仿宋"/>
                <w:bCs/>
                <w:szCs w:val="21"/>
              </w:rPr>
              <w:t>玻璃</w:t>
            </w:r>
          </w:p>
          <w:p>
            <w:pPr>
              <w:adjustRightInd w:val="0"/>
              <w:snapToGrid w:val="0"/>
              <w:jc w:val="center"/>
              <w:rPr>
                <w:rFonts w:ascii="仿宋" w:hAnsi="仿宋" w:eastAsia="仿宋" w:cs="仿宋"/>
                <w:bCs/>
                <w:szCs w:val="21"/>
              </w:rPr>
            </w:pPr>
            <w:r>
              <w:rPr>
                <w:rFonts w:hint="eastAsia" w:ascii="仿宋" w:hAnsi="仿宋" w:eastAsia="仿宋" w:cs="仿宋"/>
                <w:bCs/>
                <w:szCs w:val="21"/>
              </w:rPr>
              <w:t>行业</w:t>
            </w:r>
          </w:p>
        </w:tc>
        <w:tc>
          <w:tcPr>
            <w:tcW w:w="1955" w:type="dxa"/>
            <w:vMerge w:val="restart"/>
            <w:tcBorders>
              <w:right w:val="single" w:color="auto" w:sz="4" w:space="0"/>
            </w:tcBorders>
            <w:noWrap/>
            <w:vAlign w:val="center"/>
          </w:tcPr>
          <w:p>
            <w:pPr>
              <w:adjustRightInd w:val="0"/>
              <w:snapToGrid w:val="0"/>
              <w:jc w:val="both"/>
              <w:rPr>
                <w:rFonts w:hint="eastAsia" w:ascii="仿宋" w:hAnsi="仿宋" w:eastAsia="仿宋" w:cs="仿宋"/>
                <w:bCs/>
                <w:szCs w:val="21"/>
                <w:lang w:eastAsia="zh-CN"/>
              </w:rPr>
            </w:pPr>
            <w:r>
              <w:rPr>
                <w:rFonts w:hint="eastAsia" w:ascii="仿宋" w:hAnsi="仿宋" w:eastAsia="仿宋" w:cs="仿宋"/>
                <w:bCs/>
                <w:szCs w:val="21"/>
              </w:rPr>
              <w:t>包括平版玻璃、日用玻璃和玻璃纤维及制品（不含玻璃球为原料）、玻璃棉制造、玻璃球窑、玻璃纤维坩埚法拉丝炉的工业企业</w:t>
            </w:r>
            <w:r>
              <w:rPr>
                <w:rFonts w:hint="eastAsia" w:ascii="仿宋" w:hAnsi="仿宋" w:eastAsia="仿宋" w:cs="仿宋"/>
                <w:bCs/>
                <w:szCs w:val="21"/>
                <w:lang w:eastAsia="zh-CN"/>
              </w:rPr>
              <w:t>。</w:t>
            </w:r>
          </w:p>
        </w:tc>
        <w:tc>
          <w:tcPr>
            <w:tcW w:w="1738" w:type="dxa"/>
            <w:tcBorders>
              <w:left w:val="single" w:color="auto" w:sz="4" w:space="0"/>
            </w:tcBorders>
            <w:noWrap/>
            <w:vAlign w:val="center"/>
          </w:tcPr>
          <w:p>
            <w:pPr>
              <w:adjustRightInd w:val="0"/>
              <w:snapToGrid w:val="0"/>
              <w:jc w:val="center"/>
              <w:rPr>
                <w:rFonts w:ascii="仿宋" w:hAnsi="仿宋" w:eastAsia="仿宋" w:cs="仿宋"/>
                <w:bCs/>
                <w:szCs w:val="21"/>
              </w:rPr>
            </w:pPr>
            <w:r>
              <w:rPr>
                <w:rFonts w:hint="eastAsia" w:ascii="仿宋" w:hAnsi="仿宋" w:eastAsia="仿宋" w:cs="仿宋"/>
                <w:bCs/>
                <w:szCs w:val="21"/>
              </w:rPr>
              <w:t>A级企业</w:t>
            </w:r>
          </w:p>
        </w:tc>
        <w:tc>
          <w:tcPr>
            <w:tcW w:w="3315" w:type="dxa"/>
            <w:noWrap/>
            <w:vAlign w:val="center"/>
          </w:tcPr>
          <w:p>
            <w:pPr>
              <w:adjustRightInd w:val="0"/>
              <w:snapToGrid w:val="0"/>
              <w:jc w:val="left"/>
              <w:rPr>
                <w:rFonts w:hint="eastAsia" w:ascii="仿宋" w:hAnsi="仿宋" w:eastAsia="仿宋" w:cs="仿宋"/>
                <w:bCs/>
                <w:szCs w:val="21"/>
                <w:lang w:eastAsia="zh-CN"/>
              </w:rPr>
            </w:pPr>
            <w:r>
              <w:rPr>
                <w:rFonts w:hint="eastAsia" w:ascii="仿宋" w:hAnsi="仿宋" w:eastAsia="仿宋" w:cs="仿宋"/>
                <w:bCs/>
                <w:szCs w:val="21"/>
              </w:rPr>
              <w:t>自主采取减排措施</w:t>
            </w:r>
            <w:r>
              <w:rPr>
                <w:rFonts w:hint="eastAsia" w:ascii="仿宋" w:hAnsi="仿宋" w:eastAsia="仿宋" w:cs="仿宋"/>
                <w:bCs/>
                <w:szCs w:val="21"/>
                <w:lang w:eastAsia="zh-CN"/>
              </w:rPr>
              <w:t>。</w:t>
            </w:r>
          </w:p>
        </w:tc>
        <w:tc>
          <w:tcPr>
            <w:tcW w:w="3221" w:type="dxa"/>
            <w:noWrap/>
            <w:vAlign w:val="center"/>
          </w:tcPr>
          <w:p>
            <w:pPr>
              <w:adjustRightInd w:val="0"/>
              <w:snapToGrid w:val="0"/>
              <w:jc w:val="left"/>
              <w:rPr>
                <w:rFonts w:hint="eastAsia" w:ascii="仿宋" w:hAnsi="仿宋" w:eastAsia="仿宋" w:cs="仿宋"/>
                <w:bCs/>
                <w:szCs w:val="21"/>
                <w:lang w:eastAsia="zh-CN"/>
              </w:rPr>
            </w:pPr>
            <w:r>
              <w:rPr>
                <w:rFonts w:hint="eastAsia" w:ascii="仿宋" w:hAnsi="仿宋" w:eastAsia="仿宋" w:cs="仿宋"/>
                <w:bCs/>
                <w:szCs w:val="21"/>
              </w:rPr>
              <w:t>自主采取减排措施</w:t>
            </w:r>
            <w:r>
              <w:rPr>
                <w:rFonts w:hint="eastAsia" w:ascii="仿宋" w:hAnsi="仿宋" w:eastAsia="仿宋" w:cs="仿宋"/>
                <w:bCs/>
                <w:szCs w:val="21"/>
                <w:lang w:eastAsia="zh-CN"/>
              </w:rPr>
              <w:t>。</w:t>
            </w:r>
          </w:p>
        </w:tc>
        <w:tc>
          <w:tcPr>
            <w:tcW w:w="3389" w:type="dxa"/>
            <w:noWrap/>
            <w:vAlign w:val="center"/>
          </w:tcPr>
          <w:p>
            <w:pPr>
              <w:adjustRightInd w:val="0"/>
              <w:snapToGrid w:val="0"/>
              <w:jc w:val="left"/>
              <w:rPr>
                <w:rFonts w:hint="eastAsia" w:ascii="仿宋" w:hAnsi="仿宋" w:eastAsia="仿宋" w:cs="仿宋"/>
                <w:bCs/>
                <w:szCs w:val="21"/>
                <w:lang w:eastAsia="zh-CN"/>
              </w:rPr>
            </w:pPr>
            <w:r>
              <w:rPr>
                <w:rFonts w:hint="eastAsia" w:ascii="仿宋" w:hAnsi="仿宋" w:eastAsia="仿宋" w:cs="仿宋"/>
                <w:bCs/>
                <w:szCs w:val="21"/>
              </w:rPr>
              <w:t>自主采取减排措施</w:t>
            </w:r>
            <w:r>
              <w:rPr>
                <w:rFonts w:hint="eastAsia" w:ascii="仿宋" w:hAnsi="仿宋" w:eastAsia="仿宋" w:cs="仿宋"/>
                <w:bCs/>
                <w:szCs w:val="21"/>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6" w:type="dxa"/>
          <w:trHeight w:val="146" w:hRule="atLeast"/>
          <w:jc w:val="center"/>
        </w:trPr>
        <w:tc>
          <w:tcPr>
            <w:tcW w:w="637" w:type="dxa"/>
            <w:vMerge w:val="continue"/>
            <w:noWrap/>
            <w:vAlign w:val="center"/>
          </w:tcPr>
          <w:p>
            <w:pPr>
              <w:adjustRightInd w:val="0"/>
              <w:snapToGrid w:val="0"/>
              <w:jc w:val="center"/>
              <w:rPr>
                <w:rFonts w:ascii="仿宋" w:hAnsi="仿宋" w:eastAsia="仿宋" w:cs="仿宋"/>
                <w:bCs/>
                <w:szCs w:val="21"/>
              </w:rPr>
            </w:pPr>
          </w:p>
        </w:tc>
        <w:tc>
          <w:tcPr>
            <w:tcW w:w="974" w:type="dxa"/>
            <w:vMerge w:val="continue"/>
            <w:noWrap/>
            <w:vAlign w:val="center"/>
          </w:tcPr>
          <w:p>
            <w:pPr>
              <w:adjustRightInd w:val="0"/>
              <w:snapToGrid w:val="0"/>
              <w:jc w:val="center"/>
              <w:rPr>
                <w:rFonts w:ascii="仿宋" w:hAnsi="仿宋" w:eastAsia="仿宋" w:cs="仿宋"/>
                <w:bCs/>
                <w:szCs w:val="21"/>
              </w:rPr>
            </w:pPr>
          </w:p>
        </w:tc>
        <w:tc>
          <w:tcPr>
            <w:tcW w:w="1955" w:type="dxa"/>
            <w:vMerge w:val="continue"/>
            <w:tcBorders>
              <w:right w:val="single" w:color="auto" w:sz="4" w:space="0"/>
            </w:tcBorders>
            <w:noWrap/>
            <w:vAlign w:val="center"/>
          </w:tcPr>
          <w:p>
            <w:pPr>
              <w:adjustRightInd w:val="0"/>
              <w:snapToGrid w:val="0"/>
              <w:jc w:val="both"/>
              <w:rPr>
                <w:rFonts w:ascii="仿宋" w:hAnsi="仿宋" w:eastAsia="仿宋" w:cs="仿宋"/>
                <w:bCs/>
                <w:szCs w:val="21"/>
              </w:rPr>
            </w:pPr>
          </w:p>
        </w:tc>
        <w:tc>
          <w:tcPr>
            <w:tcW w:w="1738" w:type="dxa"/>
            <w:tcBorders>
              <w:left w:val="single" w:color="auto" w:sz="4" w:space="0"/>
            </w:tcBorders>
            <w:noWrap/>
            <w:vAlign w:val="center"/>
          </w:tcPr>
          <w:p>
            <w:pPr>
              <w:adjustRightInd w:val="0"/>
              <w:snapToGrid w:val="0"/>
              <w:jc w:val="center"/>
              <w:rPr>
                <w:rFonts w:ascii="仿宋" w:hAnsi="仿宋" w:eastAsia="仿宋" w:cs="仿宋"/>
                <w:bCs/>
                <w:szCs w:val="21"/>
              </w:rPr>
            </w:pPr>
            <w:r>
              <w:rPr>
                <w:rFonts w:hint="eastAsia" w:ascii="仿宋" w:hAnsi="仿宋" w:eastAsia="仿宋" w:cs="仿宋"/>
                <w:bCs/>
                <w:szCs w:val="21"/>
              </w:rPr>
              <w:t>B级企业</w:t>
            </w:r>
          </w:p>
        </w:tc>
        <w:tc>
          <w:tcPr>
            <w:tcW w:w="3315" w:type="dxa"/>
            <w:noWrap/>
            <w:vAlign w:val="center"/>
          </w:tcPr>
          <w:p>
            <w:pPr>
              <w:adjustRightInd w:val="0"/>
              <w:snapToGrid w:val="0"/>
              <w:jc w:val="left"/>
              <w:rPr>
                <w:rFonts w:ascii="仿宋" w:hAnsi="仿宋" w:eastAsia="仿宋" w:cs="仿宋"/>
                <w:bCs/>
                <w:szCs w:val="21"/>
              </w:rPr>
            </w:pPr>
            <w:r>
              <w:rPr>
                <w:rFonts w:hint="eastAsia" w:ascii="仿宋" w:hAnsi="仿宋" w:eastAsia="仿宋" w:cs="仿宋"/>
                <w:bCs/>
                <w:szCs w:val="21"/>
              </w:rPr>
              <w:t>限产20%，按生产线怠速计；减少50%车辆运输</w:t>
            </w:r>
          </w:p>
        </w:tc>
        <w:tc>
          <w:tcPr>
            <w:tcW w:w="3221" w:type="dxa"/>
            <w:noWrap/>
            <w:vAlign w:val="center"/>
          </w:tcPr>
          <w:p>
            <w:pPr>
              <w:adjustRightInd w:val="0"/>
              <w:snapToGrid w:val="0"/>
              <w:jc w:val="left"/>
              <w:rPr>
                <w:rFonts w:hint="eastAsia" w:ascii="仿宋" w:hAnsi="仿宋" w:eastAsia="仿宋" w:cs="仿宋"/>
                <w:bCs/>
                <w:szCs w:val="21"/>
                <w:lang w:eastAsia="zh-CN"/>
              </w:rPr>
            </w:pPr>
            <w:r>
              <w:rPr>
                <w:rFonts w:hint="eastAsia" w:ascii="仿宋" w:hAnsi="仿宋" w:eastAsia="仿宋" w:cs="仿宋"/>
                <w:bCs/>
                <w:szCs w:val="21"/>
              </w:rPr>
              <w:t>限产20%，按生产线怠速计</w:t>
            </w:r>
            <w:r>
              <w:rPr>
                <w:rFonts w:hint="eastAsia" w:ascii="仿宋" w:hAnsi="仿宋" w:eastAsia="仿宋" w:cs="仿宋"/>
                <w:bCs/>
                <w:szCs w:val="21"/>
                <w:lang w:eastAsia="zh-CN"/>
              </w:rPr>
              <w:t>。</w:t>
            </w:r>
          </w:p>
        </w:tc>
        <w:tc>
          <w:tcPr>
            <w:tcW w:w="3389" w:type="dxa"/>
            <w:noWrap/>
            <w:vAlign w:val="center"/>
          </w:tcPr>
          <w:p>
            <w:pPr>
              <w:adjustRightInd w:val="0"/>
              <w:snapToGrid w:val="0"/>
              <w:jc w:val="left"/>
              <w:rPr>
                <w:rFonts w:hint="eastAsia" w:ascii="仿宋" w:hAnsi="仿宋" w:eastAsia="仿宋" w:cs="仿宋"/>
                <w:bCs/>
                <w:szCs w:val="21"/>
                <w:lang w:eastAsia="zh-CN"/>
              </w:rPr>
            </w:pPr>
            <w:r>
              <w:rPr>
                <w:rFonts w:hint="eastAsia" w:ascii="仿宋" w:hAnsi="仿宋" w:eastAsia="仿宋" w:cs="仿宋"/>
                <w:bCs/>
                <w:szCs w:val="21"/>
              </w:rPr>
              <w:t>限产20%，按生产线怠速计</w:t>
            </w:r>
            <w:r>
              <w:rPr>
                <w:rFonts w:hint="eastAsia" w:ascii="仿宋" w:hAnsi="仿宋" w:eastAsia="仿宋" w:cs="仿宋"/>
                <w:bCs/>
                <w:szCs w:val="21"/>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6" w:type="dxa"/>
          <w:trHeight w:val="146" w:hRule="atLeast"/>
          <w:jc w:val="center"/>
        </w:trPr>
        <w:tc>
          <w:tcPr>
            <w:tcW w:w="637" w:type="dxa"/>
            <w:vMerge w:val="continue"/>
            <w:noWrap/>
            <w:vAlign w:val="center"/>
          </w:tcPr>
          <w:p>
            <w:pPr>
              <w:adjustRightInd w:val="0"/>
              <w:snapToGrid w:val="0"/>
              <w:jc w:val="center"/>
              <w:rPr>
                <w:rFonts w:ascii="仿宋" w:hAnsi="仿宋" w:eastAsia="仿宋" w:cs="仿宋"/>
                <w:bCs/>
                <w:szCs w:val="21"/>
              </w:rPr>
            </w:pPr>
          </w:p>
        </w:tc>
        <w:tc>
          <w:tcPr>
            <w:tcW w:w="974" w:type="dxa"/>
            <w:vMerge w:val="continue"/>
            <w:noWrap/>
            <w:vAlign w:val="center"/>
          </w:tcPr>
          <w:p>
            <w:pPr>
              <w:adjustRightInd w:val="0"/>
              <w:snapToGrid w:val="0"/>
              <w:jc w:val="center"/>
              <w:rPr>
                <w:rFonts w:ascii="仿宋" w:hAnsi="仿宋" w:eastAsia="仿宋" w:cs="仿宋"/>
                <w:bCs/>
                <w:szCs w:val="21"/>
              </w:rPr>
            </w:pPr>
          </w:p>
        </w:tc>
        <w:tc>
          <w:tcPr>
            <w:tcW w:w="1955" w:type="dxa"/>
            <w:vMerge w:val="continue"/>
            <w:tcBorders>
              <w:right w:val="single" w:color="auto" w:sz="4" w:space="0"/>
            </w:tcBorders>
            <w:noWrap/>
            <w:vAlign w:val="center"/>
          </w:tcPr>
          <w:p>
            <w:pPr>
              <w:adjustRightInd w:val="0"/>
              <w:snapToGrid w:val="0"/>
              <w:jc w:val="both"/>
              <w:rPr>
                <w:rFonts w:ascii="仿宋" w:hAnsi="仿宋" w:eastAsia="仿宋" w:cs="仿宋"/>
                <w:bCs/>
                <w:szCs w:val="21"/>
              </w:rPr>
            </w:pPr>
          </w:p>
        </w:tc>
        <w:tc>
          <w:tcPr>
            <w:tcW w:w="1738" w:type="dxa"/>
            <w:tcBorders>
              <w:left w:val="single" w:color="auto" w:sz="4" w:space="0"/>
            </w:tcBorders>
            <w:noWrap/>
            <w:vAlign w:val="center"/>
          </w:tcPr>
          <w:p>
            <w:pPr>
              <w:adjustRightInd w:val="0"/>
              <w:snapToGrid w:val="0"/>
              <w:jc w:val="center"/>
              <w:rPr>
                <w:rFonts w:ascii="仿宋" w:hAnsi="仿宋" w:eastAsia="仿宋" w:cs="仿宋"/>
                <w:bCs/>
                <w:szCs w:val="21"/>
              </w:rPr>
            </w:pPr>
            <w:r>
              <w:rPr>
                <w:rFonts w:hint="eastAsia" w:ascii="仿宋" w:hAnsi="仿宋" w:eastAsia="仿宋" w:cs="仿宋"/>
                <w:bCs/>
                <w:szCs w:val="21"/>
              </w:rPr>
              <w:t>C级企业</w:t>
            </w:r>
          </w:p>
        </w:tc>
        <w:tc>
          <w:tcPr>
            <w:tcW w:w="3315" w:type="dxa"/>
            <w:noWrap/>
            <w:vAlign w:val="center"/>
          </w:tcPr>
          <w:p>
            <w:pPr>
              <w:adjustRightInd w:val="0"/>
              <w:snapToGrid w:val="0"/>
              <w:jc w:val="left"/>
              <w:rPr>
                <w:rFonts w:hint="eastAsia" w:ascii="仿宋" w:hAnsi="仿宋" w:eastAsia="仿宋" w:cs="仿宋"/>
                <w:bCs/>
                <w:szCs w:val="21"/>
                <w:lang w:eastAsia="zh-CN"/>
              </w:rPr>
            </w:pPr>
            <w:r>
              <w:rPr>
                <w:rFonts w:hint="eastAsia" w:ascii="仿宋" w:hAnsi="仿宋" w:eastAsia="仿宋" w:cs="仿宋"/>
                <w:bCs/>
                <w:szCs w:val="21"/>
              </w:rPr>
              <w:t>按前一年中，日生产最低负荷运行，自启动预警日当天起计。禁止使用国四及以下重型载货车辆（含燃气）进行物料运输</w:t>
            </w:r>
            <w:r>
              <w:rPr>
                <w:rFonts w:hint="eastAsia" w:ascii="仿宋" w:hAnsi="仿宋" w:eastAsia="仿宋" w:cs="仿宋"/>
                <w:bCs/>
                <w:szCs w:val="21"/>
                <w:lang w:eastAsia="zh-CN"/>
              </w:rPr>
              <w:t>。</w:t>
            </w:r>
          </w:p>
        </w:tc>
        <w:tc>
          <w:tcPr>
            <w:tcW w:w="3221" w:type="dxa"/>
            <w:noWrap/>
            <w:vAlign w:val="center"/>
          </w:tcPr>
          <w:p>
            <w:pPr>
              <w:adjustRightInd w:val="0"/>
              <w:snapToGrid w:val="0"/>
              <w:jc w:val="left"/>
              <w:rPr>
                <w:rFonts w:hint="eastAsia" w:ascii="仿宋" w:hAnsi="仿宋" w:eastAsia="仿宋" w:cs="仿宋"/>
                <w:bCs/>
                <w:szCs w:val="21"/>
                <w:lang w:eastAsia="zh-CN"/>
              </w:rPr>
            </w:pPr>
            <w:r>
              <w:rPr>
                <w:rFonts w:hint="eastAsia" w:ascii="仿宋" w:hAnsi="仿宋" w:eastAsia="仿宋" w:cs="仿宋"/>
                <w:bCs/>
                <w:szCs w:val="21"/>
              </w:rPr>
              <w:t>按前一年中，日生产最低负荷运行，自启动预警日当天起计。禁止使用国四及以下重型载货车辆（含燃气）进行物料运输</w:t>
            </w:r>
            <w:r>
              <w:rPr>
                <w:rFonts w:hint="eastAsia" w:ascii="仿宋" w:hAnsi="仿宋" w:eastAsia="仿宋" w:cs="仿宋"/>
                <w:bCs/>
                <w:szCs w:val="21"/>
                <w:lang w:eastAsia="zh-CN"/>
              </w:rPr>
              <w:t>。</w:t>
            </w:r>
          </w:p>
        </w:tc>
        <w:tc>
          <w:tcPr>
            <w:tcW w:w="3389" w:type="dxa"/>
            <w:noWrap/>
            <w:vAlign w:val="center"/>
          </w:tcPr>
          <w:p>
            <w:pPr>
              <w:adjustRightInd w:val="0"/>
              <w:snapToGrid w:val="0"/>
              <w:jc w:val="left"/>
              <w:rPr>
                <w:rFonts w:hint="eastAsia" w:ascii="仿宋" w:hAnsi="仿宋" w:eastAsia="仿宋" w:cs="仿宋"/>
                <w:bCs/>
                <w:szCs w:val="21"/>
                <w:lang w:eastAsia="zh-CN"/>
              </w:rPr>
            </w:pPr>
            <w:r>
              <w:rPr>
                <w:rFonts w:hint="eastAsia" w:ascii="仿宋" w:hAnsi="仿宋" w:eastAsia="仿宋" w:cs="仿宋"/>
                <w:bCs/>
                <w:szCs w:val="21"/>
              </w:rPr>
              <w:t>按前一年中，日生产最低负荷运行，自启动预警日当天起计。禁止使用国四及以下重型载货车辆（含燃气）进行物料运输</w:t>
            </w:r>
            <w:r>
              <w:rPr>
                <w:rFonts w:hint="eastAsia" w:ascii="仿宋" w:hAnsi="仿宋" w:eastAsia="仿宋" w:cs="仿宋"/>
                <w:bCs/>
                <w:szCs w:val="21"/>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6" w:type="dxa"/>
          <w:trHeight w:val="495" w:hRule="atLeast"/>
          <w:jc w:val="center"/>
        </w:trPr>
        <w:tc>
          <w:tcPr>
            <w:tcW w:w="637" w:type="dxa"/>
            <w:vMerge w:val="restart"/>
            <w:noWrap/>
            <w:vAlign w:val="center"/>
          </w:tcPr>
          <w:p>
            <w:pPr>
              <w:adjustRightInd w:val="0"/>
              <w:snapToGrid w:val="0"/>
              <w:jc w:val="center"/>
              <w:rPr>
                <w:rFonts w:ascii="仿宋" w:hAnsi="仿宋" w:eastAsia="仿宋" w:cs="仿宋"/>
                <w:bCs/>
                <w:szCs w:val="21"/>
              </w:rPr>
            </w:pPr>
            <w:r>
              <w:rPr>
                <w:rFonts w:hint="eastAsia" w:ascii="仿宋" w:hAnsi="仿宋" w:eastAsia="仿宋" w:cs="仿宋"/>
                <w:bCs/>
                <w:szCs w:val="21"/>
              </w:rPr>
              <w:t>5</w:t>
            </w:r>
          </w:p>
        </w:tc>
        <w:tc>
          <w:tcPr>
            <w:tcW w:w="974" w:type="dxa"/>
            <w:vMerge w:val="restart"/>
            <w:noWrap/>
            <w:vAlign w:val="center"/>
          </w:tcPr>
          <w:p>
            <w:pPr>
              <w:adjustRightInd w:val="0"/>
              <w:snapToGrid w:val="0"/>
              <w:jc w:val="center"/>
              <w:rPr>
                <w:rFonts w:ascii="仿宋" w:hAnsi="仿宋" w:eastAsia="仿宋" w:cs="仿宋"/>
                <w:bCs/>
                <w:szCs w:val="21"/>
              </w:rPr>
            </w:pPr>
            <w:r>
              <w:rPr>
                <w:rFonts w:hint="eastAsia" w:ascii="仿宋" w:hAnsi="仿宋" w:eastAsia="仿宋" w:cs="仿宋"/>
                <w:bCs/>
                <w:szCs w:val="21"/>
              </w:rPr>
              <w:t>涂料</w:t>
            </w:r>
          </w:p>
          <w:p>
            <w:pPr>
              <w:adjustRightInd w:val="0"/>
              <w:snapToGrid w:val="0"/>
              <w:jc w:val="center"/>
              <w:rPr>
                <w:rFonts w:ascii="仿宋" w:hAnsi="仿宋" w:eastAsia="仿宋" w:cs="仿宋"/>
                <w:bCs/>
                <w:szCs w:val="21"/>
              </w:rPr>
            </w:pPr>
            <w:r>
              <w:rPr>
                <w:rFonts w:hint="eastAsia" w:ascii="仿宋" w:hAnsi="仿宋" w:eastAsia="仿宋" w:cs="仿宋"/>
                <w:bCs/>
                <w:szCs w:val="21"/>
              </w:rPr>
              <w:t>制造</w:t>
            </w:r>
          </w:p>
        </w:tc>
        <w:tc>
          <w:tcPr>
            <w:tcW w:w="1955" w:type="dxa"/>
            <w:vMerge w:val="restart"/>
            <w:tcBorders>
              <w:right w:val="single" w:color="auto" w:sz="4" w:space="0"/>
            </w:tcBorders>
            <w:noWrap/>
            <w:vAlign w:val="center"/>
          </w:tcPr>
          <w:p>
            <w:pPr>
              <w:adjustRightInd w:val="0"/>
              <w:snapToGrid w:val="0"/>
              <w:jc w:val="both"/>
              <w:rPr>
                <w:rFonts w:hint="eastAsia" w:ascii="仿宋" w:hAnsi="仿宋" w:eastAsia="仿宋" w:cs="仿宋"/>
                <w:bCs/>
                <w:szCs w:val="21"/>
                <w:lang w:eastAsia="zh-CN"/>
              </w:rPr>
            </w:pPr>
            <w:r>
              <w:rPr>
                <w:rFonts w:hint="eastAsia" w:ascii="仿宋" w:hAnsi="仿宋" w:eastAsia="仿宋" w:cs="仿宋"/>
                <w:bCs/>
                <w:szCs w:val="21"/>
              </w:rPr>
              <w:t>用于汽车、木器、铁路、公路、轻工、船舶、防腐、卷材、绝缘、电子办公用品、建筑等水性涂料和溶剂型涂料的生产</w:t>
            </w:r>
            <w:r>
              <w:rPr>
                <w:rFonts w:hint="eastAsia" w:ascii="仿宋" w:hAnsi="仿宋" w:eastAsia="仿宋" w:cs="仿宋"/>
                <w:bCs/>
                <w:szCs w:val="21"/>
                <w:lang w:eastAsia="zh-CN"/>
              </w:rPr>
              <w:t>。</w:t>
            </w:r>
          </w:p>
        </w:tc>
        <w:tc>
          <w:tcPr>
            <w:tcW w:w="1738" w:type="dxa"/>
            <w:tcBorders>
              <w:top w:val="single" w:color="auto" w:sz="4" w:space="0"/>
              <w:left w:val="single" w:color="auto" w:sz="4" w:space="0"/>
              <w:bottom w:val="single" w:color="auto" w:sz="4" w:space="0"/>
            </w:tcBorders>
            <w:noWrap/>
            <w:vAlign w:val="center"/>
          </w:tcPr>
          <w:p>
            <w:pPr>
              <w:adjustRightInd w:val="0"/>
              <w:snapToGrid w:val="0"/>
              <w:jc w:val="center"/>
              <w:rPr>
                <w:rFonts w:ascii="仿宋" w:hAnsi="仿宋" w:eastAsia="仿宋" w:cs="仿宋"/>
                <w:bCs/>
                <w:szCs w:val="21"/>
              </w:rPr>
            </w:pPr>
            <w:r>
              <w:rPr>
                <w:rFonts w:hint="eastAsia" w:ascii="仿宋" w:hAnsi="仿宋" w:eastAsia="仿宋" w:cs="仿宋"/>
                <w:bCs/>
                <w:szCs w:val="21"/>
              </w:rPr>
              <w:t>A级企业</w:t>
            </w:r>
          </w:p>
        </w:tc>
        <w:tc>
          <w:tcPr>
            <w:tcW w:w="3315" w:type="dxa"/>
            <w:tcBorders>
              <w:top w:val="single" w:color="auto" w:sz="4" w:space="0"/>
              <w:bottom w:val="single" w:color="auto" w:sz="4" w:space="0"/>
            </w:tcBorders>
            <w:noWrap/>
            <w:vAlign w:val="center"/>
          </w:tcPr>
          <w:p>
            <w:pPr>
              <w:adjustRightInd w:val="0"/>
              <w:snapToGrid w:val="0"/>
              <w:jc w:val="left"/>
              <w:rPr>
                <w:rFonts w:hint="eastAsia" w:ascii="仿宋" w:hAnsi="仿宋" w:eastAsia="仿宋" w:cs="仿宋"/>
                <w:bCs/>
                <w:szCs w:val="21"/>
                <w:lang w:eastAsia="zh-CN"/>
              </w:rPr>
            </w:pPr>
            <w:r>
              <w:rPr>
                <w:rFonts w:hint="eastAsia" w:ascii="仿宋" w:hAnsi="仿宋" w:eastAsia="仿宋" w:cs="仿宋"/>
                <w:bCs/>
                <w:szCs w:val="21"/>
              </w:rPr>
              <w:t>自主采取减排措施</w:t>
            </w:r>
            <w:r>
              <w:rPr>
                <w:rFonts w:hint="eastAsia" w:ascii="仿宋" w:hAnsi="仿宋" w:eastAsia="仿宋" w:cs="仿宋"/>
                <w:bCs/>
                <w:szCs w:val="21"/>
                <w:lang w:eastAsia="zh-CN"/>
              </w:rPr>
              <w:t>。</w:t>
            </w:r>
          </w:p>
        </w:tc>
        <w:tc>
          <w:tcPr>
            <w:tcW w:w="3221" w:type="dxa"/>
            <w:tcBorders>
              <w:top w:val="single" w:color="auto" w:sz="4" w:space="0"/>
              <w:bottom w:val="single" w:color="auto" w:sz="4" w:space="0"/>
            </w:tcBorders>
            <w:noWrap/>
            <w:vAlign w:val="center"/>
          </w:tcPr>
          <w:p>
            <w:pPr>
              <w:adjustRightInd w:val="0"/>
              <w:snapToGrid w:val="0"/>
              <w:jc w:val="left"/>
              <w:rPr>
                <w:rFonts w:hint="eastAsia" w:ascii="仿宋" w:hAnsi="仿宋" w:eastAsia="仿宋" w:cs="仿宋"/>
                <w:bCs/>
                <w:szCs w:val="21"/>
                <w:lang w:eastAsia="zh-CN"/>
              </w:rPr>
            </w:pPr>
            <w:r>
              <w:rPr>
                <w:rFonts w:hint="eastAsia" w:ascii="仿宋" w:hAnsi="仿宋" w:eastAsia="仿宋" w:cs="仿宋"/>
                <w:bCs/>
                <w:szCs w:val="21"/>
              </w:rPr>
              <w:t>自主采取减排措施</w:t>
            </w:r>
            <w:r>
              <w:rPr>
                <w:rFonts w:hint="eastAsia" w:ascii="仿宋" w:hAnsi="仿宋" w:eastAsia="仿宋" w:cs="仿宋"/>
                <w:bCs/>
                <w:szCs w:val="21"/>
                <w:lang w:eastAsia="zh-CN"/>
              </w:rPr>
              <w:t>。</w:t>
            </w:r>
          </w:p>
        </w:tc>
        <w:tc>
          <w:tcPr>
            <w:tcW w:w="3389" w:type="dxa"/>
            <w:tcBorders>
              <w:top w:val="single" w:color="auto" w:sz="4" w:space="0"/>
              <w:bottom w:val="single" w:color="auto" w:sz="4" w:space="0"/>
            </w:tcBorders>
            <w:noWrap/>
            <w:vAlign w:val="center"/>
          </w:tcPr>
          <w:p>
            <w:pPr>
              <w:adjustRightInd w:val="0"/>
              <w:snapToGrid w:val="0"/>
              <w:jc w:val="left"/>
              <w:rPr>
                <w:rFonts w:hint="eastAsia" w:ascii="仿宋" w:hAnsi="仿宋" w:eastAsia="仿宋" w:cs="仿宋"/>
                <w:bCs/>
                <w:szCs w:val="21"/>
                <w:lang w:eastAsia="zh-CN"/>
              </w:rPr>
            </w:pPr>
            <w:r>
              <w:rPr>
                <w:rFonts w:hint="eastAsia" w:ascii="仿宋" w:hAnsi="仿宋" w:eastAsia="仿宋" w:cs="仿宋"/>
                <w:bCs/>
                <w:szCs w:val="21"/>
              </w:rPr>
              <w:t>自主采取减排措施</w:t>
            </w:r>
            <w:r>
              <w:rPr>
                <w:rFonts w:hint="eastAsia" w:ascii="仿宋" w:hAnsi="仿宋" w:eastAsia="仿宋" w:cs="仿宋"/>
                <w:bCs/>
                <w:szCs w:val="21"/>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6" w:type="dxa"/>
          <w:trHeight w:val="907" w:hRule="atLeast"/>
          <w:jc w:val="center"/>
        </w:trPr>
        <w:tc>
          <w:tcPr>
            <w:tcW w:w="637" w:type="dxa"/>
            <w:vMerge w:val="continue"/>
            <w:noWrap/>
            <w:vAlign w:val="center"/>
          </w:tcPr>
          <w:p>
            <w:pPr>
              <w:adjustRightInd w:val="0"/>
              <w:snapToGrid w:val="0"/>
              <w:jc w:val="center"/>
              <w:rPr>
                <w:rFonts w:ascii="仿宋" w:hAnsi="仿宋" w:eastAsia="仿宋" w:cs="仿宋"/>
                <w:bCs/>
                <w:szCs w:val="21"/>
              </w:rPr>
            </w:pPr>
          </w:p>
        </w:tc>
        <w:tc>
          <w:tcPr>
            <w:tcW w:w="974" w:type="dxa"/>
            <w:vMerge w:val="continue"/>
            <w:noWrap/>
            <w:vAlign w:val="center"/>
          </w:tcPr>
          <w:p>
            <w:pPr>
              <w:adjustRightInd w:val="0"/>
              <w:snapToGrid w:val="0"/>
              <w:jc w:val="center"/>
              <w:rPr>
                <w:rFonts w:ascii="仿宋" w:hAnsi="仿宋" w:eastAsia="仿宋" w:cs="仿宋"/>
                <w:bCs/>
                <w:szCs w:val="21"/>
              </w:rPr>
            </w:pPr>
          </w:p>
        </w:tc>
        <w:tc>
          <w:tcPr>
            <w:tcW w:w="1955" w:type="dxa"/>
            <w:vMerge w:val="continue"/>
            <w:tcBorders>
              <w:right w:val="single" w:color="auto" w:sz="4" w:space="0"/>
            </w:tcBorders>
            <w:noWrap/>
            <w:vAlign w:val="center"/>
          </w:tcPr>
          <w:p>
            <w:pPr>
              <w:adjustRightInd w:val="0"/>
              <w:snapToGrid w:val="0"/>
              <w:jc w:val="both"/>
              <w:rPr>
                <w:rFonts w:ascii="仿宋" w:hAnsi="仿宋" w:eastAsia="仿宋" w:cs="仿宋"/>
                <w:bCs/>
                <w:szCs w:val="21"/>
              </w:rPr>
            </w:pPr>
          </w:p>
        </w:tc>
        <w:tc>
          <w:tcPr>
            <w:tcW w:w="1738" w:type="dxa"/>
            <w:tcBorders>
              <w:top w:val="single" w:color="auto" w:sz="4" w:space="0"/>
              <w:left w:val="single" w:color="auto" w:sz="4" w:space="0"/>
              <w:bottom w:val="single" w:color="auto" w:sz="4" w:space="0"/>
            </w:tcBorders>
            <w:noWrap/>
            <w:vAlign w:val="center"/>
          </w:tcPr>
          <w:p>
            <w:pPr>
              <w:adjustRightInd w:val="0"/>
              <w:snapToGrid w:val="0"/>
              <w:jc w:val="center"/>
              <w:rPr>
                <w:rFonts w:ascii="仿宋" w:hAnsi="仿宋" w:eastAsia="仿宋" w:cs="仿宋"/>
                <w:bCs/>
                <w:szCs w:val="21"/>
              </w:rPr>
            </w:pPr>
            <w:r>
              <w:rPr>
                <w:rFonts w:hint="eastAsia" w:ascii="仿宋" w:hAnsi="仿宋" w:eastAsia="仿宋" w:cs="仿宋"/>
                <w:bCs/>
                <w:szCs w:val="21"/>
              </w:rPr>
              <w:t>B级企业</w:t>
            </w:r>
          </w:p>
        </w:tc>
        <w:tc>
          <w:tcPr>
            <w:tcW w:w="3315" w:type="dxa"/>
            <w:tcBorders>
              <w:top w:val="single" w:color="auto" w:sz="4" w:space="0"/>
              <w:bottom w:val="single" w:color="auto" w:sz="4" w:space="0"/>
            </w:tcBorders>
            <w:noWrap/>
            <w:vAlign w:val="center"/>
          </w:tcPr>
          <w:p>
            <w:pPr>
              <w:adjustRightInd w:val="0"/>
              <w:snapToGrid w:val="0"/>
              <w:jc w:val="left"/>
              <w:rPr>
                <w:rFonts w:ascii="仿宋" w:hAnsi="仿宋" w:eastAsia="仿宋" w:cs="仿宋"/>
                <w:bCs/>
                <w:szCs w:val="21"/>
              </w:rPr>
            </w:pPr>
            <w:r>
              <w:rPr>
                <w:rFonts w:hint="eastAsia" w:ascii="仿宋" w:hAnsi="仿宋" w:eastAsia="仿宋" w:cs="仿宋"/>
                <w:bCs/>
                <w:szCs w:val="21"/>
              </w:rPr>
              <w:t>配料、预混、分散、调和、融化、搅拌、过滤、调整、灌装等涉VOCs 排放工序停产。禁止使用国四及以下重型载货车辆（含燃气）进行物料运输。</w:t>
            </w:r>
          </w:p>
        </w:tc>
        <w:tc>
          <w:tcPr>
            <w:tcW w:w="3221" w:type="dxa"/>
            <w:tcBorders>
              <w:top w:val="single" w:color="auto" w:sz="4" w:space="0"/>
              <w:bottom w:val="single" w:color="auto" w:sz="4" w:space="0"/>
            </w:tcBorders>
            <w:noWrap/>
            <w:vAlign w:val="center"/>
          </w:tcPr>
          <w:p>
            <w:pPr>
              <w:adjustRightInd w:val="0"/>
              <w:snapToGrid w:val="0"/>
              <w:jc w:val="left"/>
              <w:rPr>
                <w:rFonts w:ascii="仿宋" w:hAnsi="仿宋" w:eastAsia="仿宋" w:cs="仿宋"/>
                <w:bCs/>
                <w:szCs w:val="21"/>
              </w:rPr>
            </w:pPr>
            <w:r>
              <w:rPr>
                <w:rFonts w:hint="eastAsia" w:ascii="仿宋" w:hAnsi="仿宋" w:eastAsia="仿宋" w:cs="仿宋"/>
                <w:bCs/>
                <w:szCs w:val="21"/>
              </w:rPr>
              <w:t>配料、预混、分散、调和、融化、搅拌、过滤、调整、灌装等涉VOCs 排放工序停产。禁止使用国四及以下重型载货车辆（含燃气）进行物料运输。</w:t>
            </w:r>
          </w:p>
        </w:tc>
        <w:tc>
          <w:tcPr>
            <w:tcW w:w="3389" w:type="dxa"/>
            <w:tcBorders>
              <w:top w:val="single" w:color="auto" w:sz="4" w:space="0"/>
              <w:bottom w:val="single" w:color="auto" w:sz="4" w:space="0"/>
            </w:tcBorders>
            <w:noWrap/>
            <w:vAlign w:val="center"/>
          </w:tcPr>
          <w:p>
            <w:pPr>
              <w:adjustRightInd w:val="0"/>
              <w:snapToGrid w:val="0"/>
              <w:jc w:val="left"/>
              <w:rPr>
                <w:rFonts w:ascii="仿宋" w:hAnsi="仿宋" w:eastAsia="仿宋" w:cs="仿宋"/>
                <w:bCs/>
                <w:szCs w:val="21"/>
              </w:rPr>
            </w:pPr>
            <w:r>
              <w:rPr>
                <w:rFonts w:hint="eastAsia" w:ascii="仿宋" w:hAnsi="仿宋" w:eastAsia="仿宋" w:cs="仿宋"/>
                <w:bCs/>
                <w:szCs w:val="21"/>
              </w:rPr>
              <w:t>禁止使用国四及以下重型载货车辆（含燃气）进行物料运输。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6" w:type="dxa"/>
          <w:trHeight w:val="573" w:hRule="atLeast"/>
          <w:jc w:val="center"/>
        </w:trPr>
        <w:tc>
          <w:tcPr>
            <w:tcW w:w="637" w:type="dxa"/>
            <w:vMerge w:val="continue"/>
            <w:noWrap/>
            <w:vAlign w:val="center"/>
          </w:tcPr>
          <w:p>
            <w:pPr>
              <w:adjustRightInd w:val="0"/>
              <w:snapToGrid w:val="0"/>
              <w:jc w:val="center"/>
              <w:rPr>
                <w:rFonts w:ascii="仿宋" w:hAnsi="仿宋" w:eastAsia="仿宋" w:cs="仿宋"/>
                <w:bCs/>
                <w:szCs w:val="21"/>
              </w:rPr>
            </w:pPr>
          </w:p>
        </w:tc>
        <w:tc>
          <w:tcPr>
            <w:tcW w:w="974" w:type="dxa"/>
            <w:vMerge w:val="continue"/>
            <w:noWrap/>
            <w:vAlign w:val="center"/>
          </w:tcPr>
          <w:p>
            <w:pPr>
              <w:adjustRightInd w:val="0"/>
              <w:snapToGrid w:val="0"/>
              <w:jc w:val="center"/>
              <w:rPr>
                <w:rFonts w:ascii="仿宋" w:hAnsi="仿宋" w:eastAsia="仿宋" w:cs="仿宋"/>
                <w:bCs/>
                <w:szCs w:val="21"/>
              </w:rPr>
            </w:pPr>
          </w:p>
        </w:tc>
        <w:tc>
          <w:tcPr>
            <w:tcW w:w="1955" w:type="dxa"/>
            <w:vMerge w:val="continue"/>
            <w:tcBorders>
              <w:right w:val="single" w:color="auto" w:sz="4" w:space="0"/>
            </w:tcBorders>
            <w:noWrap/>
            <w:vAlign w:val="center"/>
          </w:tcPr>
          <w:p>
            <w:pPr>
              <w:adjustRightInd w:val="0"/>
              <w:snapToGrid w:val="0"/>
              <w:jc w:val="both"/>
              <w:rPr>
                <w:rFonts w:ascii="仿宋" w:hAnsi="仿宋" w:eastAsia="仿宋" w:cs="仿宋"/>
                <w:bCs/>
                <w:szCs w:val="21"/>
              </w:rPr>
            </w:pPr>
          </w:p>
        </w:tc>
        <w:tc>
          <w:tcPr>
            <w:tcW w:w="1738" w:type="dxa"/>
            <w:tcBorders>
              <w:top w:val="single" w:color="auto" w:sz="4" w:space="0"/>
              <w:left w:val="single" w:color="auto" w:sz="4" w:space="0"/>
              <w:bottom w:val="single" w:color="auto" w:sz="4" w:space="0"/>
            </w:tcBorders>
            <w:noWrap/>
            <w:vAlign w:val="center"/>
          </w:tcPr>
          <w:p>
            <w:pPr>
              <w:adjustRightInd w:val="0"/>
              <w:snapToGrid w:val="0"/>
              <w:jc w:val="center"/>
              <w:rPr>
                <w:rFonts w:ascii="仿宋" w:hAnsi="仿宋" w:eastAsia="仿宋" w:cs="仿宋"/>
                <w:bCs/>
                <w:szCs w:val="21"/>
              </w:rPr>
            </w:pPr>
            <w:r>
              <w:rPr>
                <w:rFonts w:hint="eastAsia" w:ascii="仿宋" w:hAnsi="仿宋" w:eastAsia="仿宋" w:cs="仿宋"/>
                <w:bCs/>
                <w:szCs w:val="21"/>
              </w:rPr>
              <w:t>C级企业</w:t>
            </w:r>
          </w:p>
        </w:tc>
        <w:tc>
          <w:tcPr>
            <w:tcW w:w="3315" w:type="dxa"/>
            <w:tcBorders>
              <w:top w:val="single" w:color="auto" w:sz="4" w:space="0"/>
              <w:bottom w:val="single" w:color="auto" w:sz="4" w:space="0"/>
            </w:tcBorders>
            <w:noWrap/>
            <w:vAlign w:val="center"/>
          </w:tcPr>
          <w:p>
            <w:pPr>
              <w:adjustRightInd w:val="0"/>
              <w:snapToGrid w:val="0"/>
              <w:jc w:val="left"/>
              <w:rPr>
                <w:rFonts w:ascii="仿宋" w:hAnsi="仿宋" w:eastAsia="仿宋" w:cs="仿宋"/>
                <w:bCs/>
                <w:szCs w:val="21"/>
              </w:rPr>
            </w:pPr>
            <w:r>
              <w:rPr>
                <w:rFonts w:hint="eastAsia" w:ascii="仿宋" w:hAnsi="仿宋" w:eastAsia="仿宋" w:cs="仿宋"/>
                <w:bCs/>
                <w:szCs w:val="21"/>
              </w:rPr>
              <w:t>配料、预混、分散、调和、融化、搅拌、过滤、调整、灌装等涉 VOCs 排放工序停产；禁止使用国四及以下重型载货车辆（含燃气）进行物料运输。</w:t>
            </w:r>
          </w:p>
        </w:tc>
        <w:tc>
          <w:tcPr>
            <w:tcW w:w="3221" w:type="dxa"/>
            <w:tcBorders>
              <w:top w:val="single" w:color="auto" w:sz="4" w:space="0"/>
              <w:bottom w:val="single" w:color="auto" w:sz="4" w:space="0"/>
            </w:tcBorders>
            <w:noWrap/>
            <w:vAlign w:val="center"/>
          </w:tcPr>
          <w:p>
            <w:pPr>
              <w:adjustRightInd w:val="0"/>
              <w:snapToGrid w:val="0"/>
              <w:jc w:val="left"/>
              <w:rPr>
                <w:rFonts w:ascii="仿宋" w:hAnsi="仿宋" w:eastAsia="仿宋" w:cs="仿宋"/>
                <w:bCs/>
                <w:szCs w:val="21"/>
              </w:rPr>
            </w:pPr>
            <w:r>
              <w:rPr>
                <w:rFonts w:hint="eastAsia" w:ascii="仿宋" w:hAnsi="仿宋" w:eastAsia="仿宋" w:cs="仿宋"/>
                <w:bCs/>
                <w:szCs w:val="21"/>
              </w:rPr>
              <w:t>配料、预混、分散、调和、融化、搅拌、过滤、调整、灌装等涉 VOCs 排放工序停产；禁止使用国四及以下重型载货车辆（含燃气）进行物料运输。</w:t>
            </w:r>
          </w:p>
        </w:tc>
        <w:tc>
          <w:tcPr>
            <w:tcW w:w="3389" w:type="dxa"/>
            <w:tcBorders>
              <w:top w:val="single" w:color="auto" w:sz="4" w:space="0"/>
              <w:bottom w:val="single" w:color="auto" w:sz="4" w:space="0"/>
            </w:tcBorders>
            <w:noWrap/>
            <w:vAlign w:val="center"/>
          </w:tcPr>
          <w:p>
            <w:pPr>
              <w:adjustRightInd w:val="0"/>
              <w:snapToGrid w:val="0"/>
              <w:jc w:val="left"/>
              <w:rPr>
                <w:rFonts w:ascii="仿宋" w:hAnsi="仿宋" w:eastAsia="仿宋" w:cs="仿宋"/>
                <w:bCs/>
                <w:szCs w:val="21"/>
              </w:rPr>
            </w:pPr>
            <w:r>
              <w:rPr>
                <w:rFonts w:hint="eastAsia" w:ascii="仿宋" w:hAnsi="仿宋" w:eastAsia="仿宋" w:cs="仿宋"/>
                <w:bCs/>
                <w:szCs w:val="21"/>
              </w:rPr>
              <w:t>配料、预混、分散、调和、融化、搅拌、过滤、调整、灌装等涉 VOCs 排放工序停产；禁止使用国四及以下重型载货车辆（含燃气）进行物料运输。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6" w:type="dxa"/>
          <w:trHeight w:val="573" w:hRule="atLeast"/>
          <w:jc w:val="center"/>
        </w:trPr>
        <w:tc>
          <w:tcPr>
            <w:tcW w:w="637" w:type="dxa"/>
            <w:vMerge w:val="restart"/>
            <w:noWrap/>
            <w:vAlign w:val="center"/>
          </w:tcPr>
          <w:p>
            <w:pPr>
              <w:adjustRightInd w:val="0"/>
              <w:snapToGrid w:val="0"/>
              <w:jc w:val="center"/>
              <w:rPr>
                <w:rFonts w:ascii="仿宋" w:hAnsi="仿宋" w:eastAsia="仿宋" w:cs="仿宋"/>
                <w:bCs/>
                <w:szCs w:val="21"/>
              </w:rPr>
            </w:pPr>
            <w:r>
              <w:rPr>
                <w:rFonts w:hint="eastAsia" w:ascii="仿宋" w:hAnsi="仿宋" w:eastAsia="仿宋" w:cs="仿宋"/>
                <w:bCs/>
                <w:szCs w:val="21"/>
              </w:rPr>
              <w:t>6</w:t>
            </w:r>
          </w:p>
        </w:tc>
        <w:tc>
          <w:tcPr>
            <w:tcW w:w="974" w:type="dxa"/>
            <w:vMerge w:val="restart"/>
            <w:noWrap/>
            <w:vAlign w:val="center"/>
          </w:tcPr>
          <w:p>
            <w:pPr>
              <w:adjustRightInd w:val="0"/>
              <w:snapToGrid w:val="0"/>
              <w:jc w:val="center"/>
              <w:rPr>
                <w:rFonts w:hint="eastAsia" w:ascii="仿宋" w:hAnsi="仿宋" w:eastAsia="仿宋" w:cs="仿宋"/>
                <w:bCs/>
                <w:szCs w:val="21"/>
              </w:rPr>
            </w:pPr>
            <w:r>
              <w:rPr>
                <w:rFonts w:hint="eastAsia" w:ascii="仿宋" w:hAnsi="仿宋" w:eastAsia="仿宋" w:cs="仿宋"/>
                <w:bCs/>
                <w:szCs w:val="21"/>
              </w:rPr>
              <w:t>橡胶</w:t>
            </w:r>
          </w:p>
          <w:p>
            <w:pPr>
              <w:adjustRightInd w:val="0"/>
              <w:snapToGrid w:val="0"/>
              <w:jc w:val="center"/>
              <w:rPr>
                <w:rFonts w:hint="eastAsia" w:ascii="仿宋" w:hAnsi="仿宋" w:eastAsia="仿宋" w:cs="仿宋"/>
                <w:bCs/>
                <w:szCs w:val="21"/>
              </w:rPr>
            </w:pPr>
            <w:r>
              <w:rPr>
                <w:rFonts w:hint="eastAsia" w:ascii="仿宋" w:hAnsi="仿宋" w:eastAsia="仿宋" w:cs="仿宋"/>
                <w:bCs/>
                <w:szCs w:val="21"/>
              </w:rPr>
              <w:t>制品</w:t>
            </w:r>
          </w:p>
          <w:p>
            <w:pPr>
              <w:adjustRightInd w:val="0"/>
              <w:snapToGrid w:val="0"/>
              <w:jc w:val="center"/>
              <w:rPr>
                <w:rFonts w:ascii="仿宋" w:hAnsi="仿宋" w:eastAsia="仿宋" w:cs="仿宋"/>
                <w:bCs/>
                <w:szCs w:val="21"/>
              </w:rPr>
            </w:pPr>
            <w:r>
              <w:rPr>
                <w:rFonts w:hint="eastAsia" w:ascii="仿宋" w:hAnsi="仿宋" w:eastAsia="仿宋" w:cs="仿宋"/>
                <w:bCs/>
                <w:szCs w:val="21"/>
              </w:rPr>
              <w:t>制造</w:t>
            </w:r>
          </w:p>
        </w:tc>
        <w:tc>
          <w:tcPr>
            <w:tcW w:w="1955" w:type="dxa"/>
            <w:vMerge w:val="restart"/>
            <w:tcBorders>
              <w:right w:val="single" w:color="auto" w:sz="4" w:space="0"/>
            </w:tcBorders>
            <w:noWrap/>
            <w:vAlign w:val="center"/>
          </w:tcPr>
          <w:p>
            <w:pPr>
              <w:adjustRightInd w:val="0"/>
              <w:snapToGrid w:val="0"/>
              <w:jc w:val="both"/>
              <w:rPr>
                <w:rFonts w:hint="eastAsia" w:ascii="仿宋" w:hAnsi="仿宋" w:eastAsia="仿宋" w:cs="仿宋"/>
                <w:bCs/>
                <w:szCs w:val="21"/>
                <w:lang w:eastAsia="zh-CN"/>
              </w:rPr>
            </w:pPr>
            <w:r>
              <w:rPr>
                <w:rFonts w:hint="eastAsia" w:ascii="仿宋" w:hAnsi="仿宋" w:eastAsia="仿宋" w:cs="仿宋"/>
                <w:bCs/>
                <w:szCs w:val="21"/>
              </w:rPr>
              <w:t>包括轮胎、胶带、胶鞋、乳胶制品、传送带、橡胶密封件及减震件等橡胶制品制造，不包括轮胎翻新</w:t>
            </w:r>
            <w:r>
              <w:rPr>
                <w:rFonts w:hint="eastAsia" w:ascii="仿宋" w:hAnsi="仿宋" w:eastAsia="仿宋" w:cs="仿宋"/>
                <w:bCs/>
                <w:szCs w:val="21"/>
                <w:lang w:eastAsia="zh-CN"/>
              </w:rPr>
              <w:t>。</w:t>
            </w:r>
          </w:p>
        </w:tc>
        <w:tc>
          <w:tcPr>
            <w:tcW w:w="1738" w:type="dxa"/>
            <w:tcBorders>
              <w:top w:val="single" w:color="auto" w:sz="4" w:space="0"/>
              <w:left w:val="single" w:color="auto" w:sz="4" w:space="0"/>
              <w:bottom w:val="single" w:color="auto" w:sz="4" w:space="0"/>
            </w:tcBorders>
            <w:noWrap/>
            <w:vAlign w:val="center"/>
          </w:tcPr>
          <w:p>
            <w:pPr>
              <w:adjustRightInd w:val="0"/>
              <w:snapToGrid w:val="0"/>
              <w:jc w:val="center"/>
              <w:rPr>
                <w:rFonts w:ascii="仿宋" w:hAnsi="仿宋" w:eastAsia="仿宋" w:cs="仿宋"/>
                <w:bCs/>
                <w:szCs w:val="21"/>
              </w:rPr>
            </w:pPr>
            <w:r>
              <w:rPr>
                <w:rFonts w:hint="eastAsia" w:ascii="仿宋" w:hAnsi="仿宋" w:eastAsia="仿宋" w:cs="仿宋"/>
                <w:bCs/>
                <w:szCs w:val="21"/>
              </w:rPr>
              <w:t>A级企业</w:t>
            </w:r>
          </w:p>
        </w:tc>
        <w:tc>
          <w:tcPr>
            <w:tcW w:w="3315" w:type="dxa"/>
            <w:tcBorders>
              <w:top w:val="single" w:color="auto" w:sz="4" w:space="0"/>
              <w:bottom w:val="single" w:color="auto" w:sz="4" w:space="0"/>
            </w:tcBorders>
            <w:noWrap/>
            <w:vAlign w:val="center"/>
          </w:tcPr>
          <w:p>
            <w:pPr>
              <w:adjustRightInd w:val="0"/>
              <w:snapToGrid w:val="0"/>
              <w:jc w:val="left"/>
              <w:rPr>
                <w:rFonts w:ascii="仿宋" w:hAnsi="仿宋" w:eastAsia="仿宋" w:cs="仿宋"/>
                <w:bCs/>
                <w:szCs w:val="21"/>
              </w:rPr>
            </w:pPr>
            <w:r>
              <w:rPr>
                <w:rFonts w:hint="eastAsia" w:ascii="仿宋" w:hAnsi="仿宋" w:eastAsia="仿宋" w:cs="仿宋"/>
                <w:bCs/>
                <w:szCs w:val="21"/>
              </w:rPr>
              <w:t>禁止使用国四及以下重型载货车辆（含燃气）进行物料运输。</w:t>
            </w:r>
          </w:p>
        </w:tc>
        <w:tc>
          <w:tcPr>
            <w:tcW w:w="3221" w:type="dxa"/>
            <w:tcBorders>
              <w:top w:val="single" w:color="auto" w:sz="4" w:space="0"/>
              <w:bottom w:val="single" w:color="auto" w:sz="4" w:space="0"/>
            </w:tcBorders>
            <w:noWrap/>
            <w:vAlign w:val="center"/>
          </w:tcPr>
          <w:p>
            <w:pPr>
              <w:adjustRightInd w:val="0"/>
              <w:snapToGrid w:val="0"/>
              <w:jc w:val="left"/>
              <w:rPr>
                <w:rFonts w:ascii="仿宋" w:hAnsi="仿宋" w:eastAsia="仿宋" w:cs="仿宋"/>
                <w:bCs/>
                <w:szCs w:val="21"/>
              </w:rPr>
            </w:pPr>
            <w:r>
              <w:rPr>
                <w:rFonts w:hint="eastAsia" w:ascii="仿宋" w:hAnsi="仿宋" w:eastAsia="仿宋" w:cs="仿宋"/>
                <w:bCs/>
                <w:szCs w:val="21"/>
              </w:rPr>
              <w:t>禁止使用国四及以下重型载货车辆（含燃气）进行物料运输。</w:t>
            </w:r>
          </w:p>
        </w:tc>
        <w:tc>
          <w:tcPr>
            <w:tcW w:w="3389" w:type="dxa"/>
            <w:tcBorders>
              <w:top w:val="single" w:color="auto" w:sz="4" w:space="0"/>
              <w:bottom w:val="single" w:color="auto" w:sz="4" w:space="0"/>
            </w:tcBorders>
            <w:noWrap/>
            <w:vAlign w:val="center"/>
          </w:tcPr>
          <w:p>
            <w:pPr>
              <w:adjustRightInd w:val="0"/>
              <w:snapToGrid w:val="0"/>
              <w:jc w:val="left"/>
              <w:rPr>
                <w:rFonts w:ascii="仿宋" w:hAnsi="仿宋" w:eastAsia="仿宋" w:cs="仿宋"/>
                <w:bCs/>
                <w:szCs w:val="21"/>
              </w:rPr>
            </w:pPr>
            <w:r>
              <w:rPr>
                <w:rFonts w:hint="eastAsia" w:ascii="仿宋" w:hAnsi="仿宋" w:eastAsia="仿宋" w:cs="仿宋"/>
                <w:bCs/>
                <w:szCs w:val="21"/>
              </w:rPr>
              <w:t>禁止使用国四及以下重型载货车辆（含燃气）进行物料运输。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6" w:type="dxa"/>
          <w:trHeight w:val="573" w:hRule="atLeast"/>
          <w:jc w:val="center"/>
        </w:trPr>
        <w:tc>
          <w:tcPr>
            <w:tcW w:w="637" w:type="dxa"/>
            <w:vMerge w:val="continue"/>
            <w:noWrap/>
            <w:vAlign w:val="center"/>
          </w:tcPr>
          <w:p>
            <w:pPr>
              <w:adjustRightInd w:val="0"/>
              <w:snapToGrid w:val="0"/>
              <w:jc w:val="center"/>
              <w:rPr>
                <w:rFonts w:ascii="仿宋" w:hAnsi="仿宋" w:eastAsia="仿宋" w:cs="仿宋"/>
                <w:bCs/>
                <w:szCs w:val="21"/>
              </w:rPr>
            </w:pPr>
          </w:p>
        </w:tc>
        <w:tc>
          <w:tcPr>
            <w:tcW w:w="974" w:type="dxa"/>
            <w:vMerge w:val="continue"/>
            <w:noWrap/>
            <w:vAlign w:val="center"/>
          </w:tcPr>
          <w:p>
            <w:pPr>
              <w:adjustRightInd w:val="0"/>
              <w:snapToGrid w:val="0"/>
              <w:jc w:val="center"/>
              <w:rPr>
                <w:rFonts w:ascii="仿宋" w:hAnsi="仿宋" w:eastAsia="仿宋" w:cs="仿宋"/>
                <w:bCs/>
                <w:szCs w:val="21"/>
              </w:rPr>
            </w:pPr>
          </w:p>
        </w:tc>
        <w:tc>
          <w:tcPr>
            <w:tcW w:w="1955" w:type="dxa"/>
            <w:vMerge w:val="continue"/>
            <w:tcBorders>
              <w:right w:val="single" w:color="auto" w:sz="4" w:space="0"/>
            </w:tcBorders>
            <w:noWrap/>
            <w:vAlign w:val="center"/>
          </w:tcPr>
          <w:p>
            <w:pPr>
              <w:adjustRightInd w:val="0"/>
              <w:snapToGrid w:val="0"/>
              <w:jc w:val="both"/>
              <w:rPr>
                <w:rFonts w:ascii="仿宋" w:hAnsi="仿宋" w:eastAsia="仿宋" w:cs="仿宋"/>
                <w:bCs/>
                <w:szCs w:val="21"/>
              </w:rPr>
            </w:pPr>
          </w:p>
        </w:tc>
        <w:tc>
          <w:tcPr>
            <w:tcW w:w="1738" w:type="dxa"/>
            <w:tcBorders>
              <w:top w:val="single" w:color="auto" w:sz="4" w:space="0"/>
              <w:left w:val="single" w:color="auto" w:sz="4" w:space="0"/>
              <w:bottom w:val="single" w:color="auto" w:sz="4" w:space="0"/>
            </w:tcBorders>
            <w:noWrap/>
            <w:vAlign w:val="center"/>
          </w:tcPr>
          <w:p>
            <w:pPr>
              <w:adjustRightInd w:val="0"/>
              <w:snapToGrid w:val="0"/>
              <w:jc w:val="center"/>
              <w:rPr>
                <w:rFonts w:ascii="仿宋" w:hAnsi="仿宋" w:eastAsia="仿宋" w:cs="仿宋"/>
                <w:bCs/>
                <w:szCs w:val="21"/>
              </w:rPr>
            </w:pPr>
            <w:r>
              <w:rPr>
                <w:rFonts w:hint="eastAsia" w:ascii="仿宋" w:hAnsi="仿宋" w:eastAsia="仿宋" w:cs="仿宋"/>
                <w:bCs/>
                <w:szCs w:val="21"/>
              </w:rPr>
              <w:t>B级企业</w:t>
            </w:r>
          </w:p>
        </w:tc>
        <w:tc>
          <w:tcPr>
            <w:tcW w:w="3315" w:type="dxa"/>
            <w:tcBorders>
              <w:top w:val="single" w:color="auto" w:sz="4" w:space="0"/>
              <w:bottom w:val="single" w:color="auto" w:sz="4" w:space="0"/>
            </w:tcBorders>
            <w:noWrap/>
            <w:vAlign w:val="center"/>
          </w:tcPr>
          <w:p>
            <w:pPr>
              <w:adjustRightInd w:val="0"/>
              <w:snapToGrid w:val="0"/>
              <w:jc w:val="left"/>
              <w:rPr>
                <w:rFonts w:ascii="仿宋" w:hAnsi="仿宋" w:eastAsia="仿宋" w:cs="仿宋"/>
                <w:bCs/>
                <w:szCs w:val="21"/>
              </w:rPr>
            </w:pPr>
            <w:r>
              <w:rPr>
                <w:rFonts w:hint="eastAsia" w:ascii="仿宋" w:hAnsi="仿宋" w:eastAsia="仿宋" w:cs="仿宋"/>
                <w:bCs/>
                <w:szCs w:val="21"/>
              </w:rPr>
              <w:t>停产，禁止使用国四及以下重型载货车辆（含燃气）进行物料运输。</w:t>
            </w:r>
          </w:p>
        </w:tc>
        <w:tc>
          <w:tcPr>
            <w:tcW w:w="3221" w:type="dxa"/>
            <w:tcBorders>
              <w:top w:val="single" w:color="auto" w:sz="4" w:space="0"/>
              <w:bottom w:val="single" w:color="auto" w:sz="4" w:space="0"/>
            </w:tcBorders>
            <w:noWrap/>
            <w:vAlign w:val="center"/>
          </w:tcPr>
          <w:p>
            <w:pPr>
              <w:adjustRightInd w:val="0"/>
              <w:snapToGrid w:val="0"/>
              <w:jc w:val="left"/>
              <w:rPr>
                <w:rFonts w:ascii="仿宋" w:hAnsi="仿宋" w:eastAsia="仿宋" w:cs="仿宋"/>
                <w:bCs/>
                <w:szCs w:val="21"/>
              </w:rPr>
            </w:pPr>
            <w:r>
              <w:rPr>
                <w:rFonts w:hint="eastAsia" w:ascii="仿宋" w:hAnsi="仿宋" w:eastAsia="仿宋" w:cs="仿宋"/>
                <w:bCs/>
                <w:szCs w:val="21"/>
              </w:rPr>
              <w:t>停产50%（含）以上，以生产线或生产设备计；禁止使用国四及以下重型载货车辆（含燃气）进行物料运输。</w:t>
            </w:r>
          </w:p>
        </w:tc>
        <w:tc>
          <w:tcPr>
            <w:tcW w:w="3389" w:type="dxa"/>
            <w:tcBorders>
              <w:top w:val="single" w:color="auto" w:sz="4" w:space="0"/>
              <w:bottom w:val="single" w:color="auto" w:sz="4" w:space="0"/>
            </w:tcBorders>
            <w:noWrap/>
            <w:vAlign w:val="center"/>
          </w:tcPr>
          <w:p>
            <w:pPr>
              <w:adjustRightInd w:val="0"/>
              <w:snapToGrid w:val="0"/>
              <w:jc w:val="left"/>
              <w:rPr>
                <w:rFonts w:hint="eastAsia" w:ascii="仿宋" w:hAnsi="仿宋" w:eastAsia="仿宋" w:cs="仿宋"/>
                <w:bCs/>
                <w:szCs w:val="21"/>
                <w:lang w:eastAsia="zh-CN"/>
              </w:rPr>
            </w:pPr>
            <w:r>
              <w:rPr>
                <w:rFonts w:hint="eastAsia" w:ascii="仿宋" w:hAnsi="仿宋" w:eastAsia="仿宋" w:cs="仿宋"/>
                <w:bCs/>
                <w:szCs w:val="21"/>
              </w:rPr>
              <w:t>停产50%（含）以上，以生产线或生产设备计；禁止使用国四及以下重型载货车辆（含燃气）进行物料运输</w:t>
            </w:r>
            <w:r>
              <w:rPr>
                <w:rFonts w:hint="eastAsia" w:ascii="仿宋" w:hAnsi="仿宋" w:eastAsia="仿宋" w:cs="仿宋"/>
                <w:bCs/>
                <w:szCs w:val="21"/>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6" w:type="dxa"/>
          <w:trHeight w:val="573" w:hRule="atLeast"/>
          <w:jc w:val="center"/>
        </w:trPr>
        <w:tc>
          <w:tcPr>
            <w:tcW w:w="637" w:type="dxa"/>
            <w:vMerge w:val="continue"/>
            <w:noWrap/>
            <w:vAlign w:val="center"/>
          </w:tcPr>
          <w:p>
            <w:pPr>
              <w:adjustRightInd w:val="0"/>
              <w:snapToGrid w:val="0"/>
              <w:jc w:val="center"/>
              <w:rPr>
                <w:rFonts w:ascii="仿宋" w:hAnsi="仿宋" w:eastAsia="仿宋" w:cs="仿宋"/>
                <w:bCs/>
                <w:szCs w:val="21"/>
              </w:rPr>
            </w:pPr>
          </w:p>
        </w:tc>
        <w:tc>
          <w:tcPr>
            <w:tcW w:w="974" w:type="dxa"/>
            <w:vMerge w:val="continue"/>
            <w:noWrap/>
            <w:vAlign w:val="center"/>
          </w:tcPr>
          <w:p>
            <w:pPr>
              <w:adjustRightInd w:val="0"/>
              <w:snapToGrid w:val="0"/>
              <w:jc w:val="center"/>
              <w:rPr>
                <w:rFonts w:ascii="仿宋" w:hAnsi="仿宋" w:eastAsia="仿宋" w:cs="仿宋"/>
                <w:bCs/>
                <w:szCs w:val="21"/>
              </w:rPr>
            </w:pPr>
          </w:p>
        </w:tc>
        <w:tc>
          <w:tcPr>
            <w:tcW w:w="1955" w:type="dxa"/>
            <w:vMerge w:val="continue"/>
            <w:tcBorders>
              <w:right w:val="single" w:color="auto" w:sz="4" w:space="0"/>
            </w:tcBorders>
            <w:noWrap/>
            <w:vAlign w:val="center"/>
          </w:tcPr>
          <w:p>
            <w:pPr>
              <w:adjustRightInd w:val="0"/>
              <w:snapToGrid w:val="0"/>
              <w:jc w:val="both"/>
              <w:rPr>
                <w:rFonts w:ascii="仿宋" w:hAnsi="仿宋" w:eastAsia="仿宋" w:cs="仿宋"/>
                <w:bCs/>
                <w:szCs w:val="21"/>
              </w:rPr>
            </w:pPr>
          </w:p>
        </w:tc>
        <w:tc>
          <w:tcPr>
            <w:tcW w:w="1738" w:type="dxa"/>
            <w:tcBorders>
              <w:top w:val="single" w:color="auto" w:sz="4" w:space="0"/>
              <w:left w:val="single" w:color="auto" w:sz="4" w:space="0"/>
              <w:bottom w:val="single" w:color="auto" w:sz="4" w:space="0"/>
            </w:tcBorders>
            <w:noWrap/>
            <w:vAlign w:val="center"/>
          </w:tcPr>
          <w:p>
            <w:pPr>
              <w:adjustRightInd w:val="0"/>
              <w:snapToGrid w:val="0"/>
              <w:jc w:val="center"/>
              <w:rPr>
                <w:rFonts w:ascii="仿宋" w:hAnsi="仿宋" w:eastAsia="仿宋" w:cs="仿宋"/>
                <w:bCs/>
                <w:szCs w:val="21"/>
              </w:rPr>
            </w:pPr>
            <w:r>
              <w:rPr>
                <w:rFonts w:hint="eastAsia" w:ascii="仿宋" w:hAnsi="仿宋" w:eastAsia="仿宋" w:cs="仿宋"/>
                <w:bCs/>
                <w:szCs w:val="21"/>
              </w:rPr>
              <w:t>C级企业</w:t>
            </w:r>
          </w:p>
        </w:tc>
        <w:tc>
          <w:tcPr>
            <w:tcW w:w="3315" w:type="dxa"/>
            <w:tcBorders>
              <w:top w:val="single" w:color="auto" w:sz="4" w:space="0"/>
              <w:bottom w:val="single" w:color="auto" w:sz="4" w:space="0"/>
            </w:tcBorders>
            <w:noWrap/>
            <w:vAlign w:val="center"/>
          </w:tcPr>
          <w:p>
            <w:pPr>
              <w:adjustRightInd w:val="0"/>
              <w:snapToGrid w:val="0"/>
              <w:jc w:val="left"/>
              <w:rPr>
                <w:rFonts w:ascii="仿宋" w:hAnsi="仿宋" w:eastAsia="仿宋" w:cs="仿宋"/>
                <w:bCs/>
                <w:szCs w:val="21"/>
              </w:rPr>
            </w:pPr>
            <w:r>
              <w:rPr>
                <w:rFonts w:hint="eastAsia" w:ascii="仿宋" w:hAnsi="仿宋" w:eastAsia="仿宋" w:cs="仿宋"/>
                <w:bCs/>
                <w:szCs w:val="21"/>
              </w:rPr>
              <w:t>停产，禁止使用国四及以下重型载货车辆（含燃气）进行物料运输。</w:t>
            </w:r>
          </w:p>
        </w:tc>
        <w:tc>
          <w:tcPr>
            <w:tcW w:w="3221" w:type="dxa"/>
            <w:tcBorders>
              <w:top w:val="single" w:color="auto" w:sz="4" w:space="0"/>
              <w:bottom w:val="single" w:color="auto" w:sz="4" w:space="0"/>
            </w:tcBorders>
            <w:noWrap/>
            <w:vAlign w:val="center"/>
          </w:tcPr>
          <w:p>
            <w:pPr>
              <w:adjustRightInd w:val="0"/>
              <w:snapToGrid w:val="0"/>
              <w:jc w:val="left"/>
              <w:rPr>
                <w:rFonts w:ascii="仿宋" w:hAnsi="仿宋" w:eastAsia="仿宋" w:cs="仿宋"/>
                <w:bCs/>
                <w:szCs w:val="21"/>
              </w:rPr>
            </w:pPr>
            <w:r>
              <w:rPr>
                <w:rFonts w:hint="eastAsia" w:ascii="仿宋" w:hAnsi="仿宋" w:eastAsia="仿宋" w:cs="仿宋"/>
                <w:bCs/>
                <w:szCs w:val="21"/>
              </w:rPr>
              <w:t>停产，禁止使用国四及以下重型载货车辆（含燃气）进行物料运输。</w:t>
            </w:r>
          </w:p>
        </w:tc>
        <w:tc>
          <w:tcPr>
            <w:tcW w:w="3389" w:type="dxa"/>
            <w:tcBorders>
              <w:top w:val="single" w:color="auto" w:sz="4" w:space="0"/>
              <w:bottom w:val="single" w:color="auto" w:sz="4" w:space="0"/>
            </w:tcBorders>
            <w:noWrap/>
            <w:vAlign w:val="center"/>
          </w:tcPr>
          <w:p>
            <w:pPr>
              <w:adjustRightInd w:val="0"/>
              <w:snapToGrid w:val="0"/>
              <w:jc w:val="left"/>
              <w:rPr>
                <w:rFonts w:ascii="仿宋" w:hAnsi="仿宋" w:eastAsia="仿宋" w:cs="仿宋"/>
                <w:bCs/>
                <w:szCs w:val="21"/>
              </w:rPr>
            </w:pPr>
            <w:r>
              <w:rPr>
                <w:rFonts w:hint="eastAsia" w:ascii="仿宋" w:hAnsi="仿宋" w:eastAsia="仿宋" w:cs="仿宋"/>
                <w:bCs/>
                <w:szCs w:val="21"/>
              </w:rPr>
              <w:t>停产，禁止使用国四及以下重型载货车辆（含燃气）进行物料运输。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6" w:type="dxa"/>
          <w:trHeight w:val="573" w:hRule="atLeast"/>
          <w:jc w:val="center"/>
        </w:trPr>
        <w:tc>
          <w:tcPr>
            <w:tcW w:w="637" w:type="dxa"/>
            <w:vMerge w:val="restart"/>
            <w:noWrap/>
            <w:vAlign w:val="center"/>
          </w:tcPr>
          <w:p>
            <w:pPr>
              <w:adjustRightInd w:val="0"/>
              <w:snapToGrid w:val="0"/>
              <w:jc w:val="center"/>
              <w:rPr>
                <w:rFonts w:ascii="仿宋" w:hAnsi="仿宋" w:eastAsia="仿宋" w:cs="仿宋"/>
                <w:bCs/>
                <w:szCs w:val="21"/>
              </w:rPr>
            </w:pPr>
            <w:r>
              <w:rPr>
                <w:rFonts w:hint="eastAsia" w:ascii="仿宋" w:hAnsi="仿宋" w:eastAsia="仿宋" w:cs="仿宋"/>
                <w:bCs/>
                <w:szCs w:val="21"/>
              </w:rPr>
              <w:t>7</w:t>
            </w:r>
          </w:p>
        </w:tc>
        <w:tc>
          <w:tcPr>
            <w:tcW w:w="974" w:type="dxa"/>
            <w:vMerge w:val="restart"/>
            <w:noWrap/>
            <w:vAlign w:val="center"/>
          </w:tcPr>
          <w:p>
            <w:pPr>
              <w:adjustRightInd w:val="0"/>
              <w:snapToGrid w:val="0"/>
              <w:jc w:val="center"/>
              <w:rPr>
                <w:rFonts w:hint="eastAsia" w:ascii="仿宋" w:hAnsi="仿宋" w:eastAsia="仿宋" w:cs="仿宋"/>
                <w:bCs/>
                <w:szCs w:val="21"/>
              </w:rPr>
            </w:pPr>
            <w:r>
              <w:rPr>
                <w:rFonts w:hint="eastAsia" w:ascii="仿宋" w:hAnsi="仿宋" w:eastAsia="仿宋" w:cs="仿宋"/>
                <w:bCs/>
                <w:szCs w:val="21"/>
              </w:rPr>
              <w:t>防水</w:t>
            </w:r>
          </w:p>
          <w:p>
            <w:pPr>
              <w:adjustRightInd w:val="0"/>
              <w:snapToGrid w:val="0"/>
              <w:jc w:val="center"/>
              <w:rPr>
                <w:rFonts w:ascii="仿宋" w:hAnsi="仿宋" w:eastAsia="仿宋" w:cs="仿宋"/>
                <w:bCs/>
                <w:szCs w:val="21"/>
              </w:rPr>
            </w:pPr>
            <w:r>
              <w:rPr>
                <w:rFonts w:hint="eastAsia" w:ascii="仿宋" w:hAnsi="仿宋" w:eastAsia="仿宋" w:cs="仿宋"/>
                <w:bCs/>
                <w:szCs w:val="21"/>
              </w:rPr>
              <w:t>建材</w:t>
            </w:r>
          </w:p>
        </w:tc>
        <w:tc>
          <w:tcPr>
            <w:tcW w:w="1955" w:type="dxa"/>
            <w:vMerge w:val="restart"/>
            <w:tcBorders>
              <w:right w:val="single" w:color="auto" w:sz="4" w:space="0"/>
            </w:tcBorders>
            <w:noWrap/>
            <w:vAlign w:val="center"/>
          </w:tcPr>
          <w:p>
            <w:pPr>
              <w:adjustRightInd w:val="0"/>
              <w:snapToGrid w:val="0"/>
              <w:jc w:val="both"/>
              <w:rPr>
                <w:rFonts w:ascii="仿宋" w:hAnsi="仿宋" w:eastAsia="仿宋" w:cs="仿宋"/>
                <w:bCs/>
                <w:szCs w:val="21"/>
              </w:rPr>
            </w:pPr>
          </w:p>
        </w:tc>
        <w:tc>
          <w:tcPr>
            <w:tcW w:w="1738" w:type="dxa"/>
            <w:tcBorders>
              <w:top w:val="single" w:color="auto" w:sz="4" w:space="0"/>
              <w:left w:val="single" w:color="auto" w:sz="4" w:space="0"/>
              <w:bottom w:val="single" w:color="auto" w:sz="4" w:space="0"/>
            </w:tcBorders>
            <w:noWrap/>
            <w:vAlign w:val="center"/>
          </w:tcPr>
          <w:p>
            <w:pPr>
              <w:adjustRightInd w:val="0"/>
              <w:snapToGrid w:val="0"/>
              <w:jc w:val="center"/>
              <w:rPr>
                <w:rFonts w:ascii="仿宋" w:hAnsi="仿宋" w:eastAsia="仿宋" w:cs="仿宋"/>
                <w:bCs/>
                <w:szCs w:val="21"/>
              </w:rPr>
            </w:pPr>
            <w:r>
              <w:rPr>
                <w:rFonts w:hint="eastAsia" w:ascii="仿宋" w:hAnsi="仿宋" w:eastAsia="仿宋" w:cs="仿宋"/>
                <w:bCs/>
                <w:szCs w:val="21"/>
              </w:rPr>
              <w:t>A级企业</w:t>
            </w:r>
          </w:p>
        </w:tc>
        <w:tc>
          <w:tcPr>
            <w:tcW w:w="3315" w:type="dxa"/>
            <w:tcBorders>
              <w:top w:val="single" w:color="auto" w:sz="4" w:space="0"/>
              <w:bottom w:val="single" w:color="auto" w:sz="4" w:space="0"/>
            </w:tcBorders>
            <w:noWrap/>
            <w:vAlign w:val="center"/>
          </w:tcPr>
          <w:p>
            <w:pPr>
              <w:adjustRightInd w:val="0"/>
              <w:snapToGrid w:val="0"/>
              <w:jc w:val="left"/>
              <w:rPr>
                <w:rFonts w:ascii="仿宋" w:hAnsi="仿宋" w:eastAsia="仿宋" w:cs="仿宋"/>
                <w:bCs/>
                <w:szCs w:val="21"/>
              </w:rPr>
            </w:pPr>
            <w:r>
              <w:rPr>
                <w:rFonts w:hint="eastAsia" w:ascii="仿宋" w:hAnsi="仿宋" w:eastAsia="仿宋" w:cs="仿宋"/>
                <w:bCs/>
                <w:szCs w:val="21"/>
              </w:rPr>
              <w:t>禁止使用国四及以下重型载货车辆（含燃气）运输原辅材料和产品。</w:t>
            </w:r>
          </w:p>
        </w:tc>
        <w:tc>
          <w:tcPr>
            <w:tcW w:w="3221" w:type="dxa"/>
            <w:tcBorders>
              <w:top w:val="single" w:color="auto" w:sz="4" w:space="0"/>
              <w:bottom w:val="single" w:color="auto" w:sz="4" w:space="0"/>
            </w:tcBorders>
            <w:noWrap/>
            <w:vAlign w:val="center"/>
          </w:tcPr>
          <w:p>
            <w:pPr>
              <w:adjustRightInd w:val="0"/>
              <w:snapToGrid w:val="0"/>
              <w:jc w:val="left"/>
              <w:rPr>
                <w:rFonts w:ascii="仿宋" w:hAnsi="仿宋" w:eastAsia="仿宋" w:cs="仿宋"/>
                <w:bCs/>
                <w:szCs w:val="21"/>
              </w:rPr>
            </w:pPr>
            <w:r>
              <w:rPr>
                <w:rFonts w:hint="eastAsia" w:ascii="仿宋" w:hAnsi="仿宋" w:eastAsia="仿宋" w:cs="仿宋"/>
                <w:bCs/>
                <w:szCs w:val="21"/>
              </w:rPr>
              <w:t>禁止使用国四及以下重型载货车辆（含燃气）运输原辅材料和产品。</w:t>
            </w:r>
          </w:p>
        </w:tc>
        <w:tc>
          <w:tcPr>
            <w:tcW w:w="3389" w:type="dxa"/>
            <w:tcBorders>
              <w:top w:val="single" w:color="auto" w:sz="4" w:space="0"/>
              <w:bottom w:val="single" w:color="auto" w:sz="4" w:space="0"/>
            </w:tcBorders>
            <w:noWrap/>
            <w:vAlign w:val="center"/>
          </w:tcPr>
          <w:p>
            <w:pPr>
              <w:adjustRightInd w:val="0"/>
              <w:snapToGrid w:val="0"/>
              <w:jc w:val="left"/>
              <w:rPr>
                <w:rFonts w:ascii="仿宋" w:hAnsi="仿宋" w:eastAsia="仿宋" w:cs="仿宋"/>
                <w:bCs/>
                <w:szCs w:val="21"/>
              </w:rPr>
            </w:pPr>
            <w:r>
              <w:rPr>
                <w:rFonts w:hint="eastAsia" w:ascii="仿宋" w:hAnsi="仿宋" w:eastAsia="仿宋" w:cs="仿宋"/>
                <w:bCs/>
                <w:szCs w:val="21"/>
              </w:rPr>
              <w:t>禁止使用国四及以下重型载货车辆（含燃气）运输原辅材料和产品。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6" w:type="dxa"/>
          <w:trHeight w:val="573" w:hRule="atLeast"/>
          <w:jc w:val="center"/>
        </w:trPr>
        <w:tc>
          <w:tcPr>
            <w:tcW w:w="637" w:type="dxa"/>
            <w:vMerge w:val="continue"/>
            <w:noWrap/>
            <w:vAlign w:val="center"/>
          </w:tcPr>
          <w:p>
            <w:pPr>
              <w:adjustRightInd w:val="0"/>
              <w:snapToGrid w:val="0"/>
              <w:jc w:val="center"/>
              <w:rPr>
                <w:rFonts w:ascii="仿宋" w:hAnsi="仿宋" w:eastAsia="仿宋" w:cs="仿宋"/>
                <w:bCs/>
                <w:szCs w:val="21"/>
              </w:rPr>
            </w:pPr>
          </w:p>
        </w:tc>
        <w:tc>
          <w:tcPr>
            <w:tcW w:w="974" w:type="dxa"/>
            <w:vMerge w:val="continue"/>
            <w:noWrap/>
            <w:vAlign w:val="center"/>
          </w:tcPr>
          <w:p>
            <w:pPr>
              <w:adjustRightInd w:val="0"/>
              <w:snapToGrid w:val="0"/>
              <w:jc w:val="center"/>
              <w:rPr>
                <w:rFonts w:ascii="仿宋" w:hAnsi="仿宋" w:eastAsia="仿宋" w:cs="仿宋"/>
                <w:bCs/>
                <w:szCs w:val="21"/>
              </w:rPr>
            </w:pPr>
          </w:p>
        </w:tc>
        <w:tc>
          <w:tcPr>
            <w:tcW w:w="1955" w:type="dxa"/>
            <w:vMerge w:val="continue"/>
            <w:tcBorders>
              <w:right w:val="single" w:color="auto" w:sz="4" w:space="0"/>
            </w:tcBorders>
            <w:noWrap/>
            <w:vAlign w:val="center"/>
          </w:tcPr>
          <w:p>
            <w:pPr>
              <w:adjustRightInd w:val="0"/>
              <w:snapToGrid w:val="0"/>
              <w:jc w:val="both"/>
              <w:rPr>
                <w:rFonts w:ascii="仿宋" w:hAnsi="仿宋" w:eastAsia="仿宋" w:cs="仿宋"/>
                <w:bCs/>
                <w:szCs w:val="21"/>
              </w:rPr>
            </w:pPr>
          </w:p>
        </w:tc>
        <w:tc>
          <w:tcPr>
            <w:tcW w:w="1738" w:type="dxa"/>
            <w:tcBorders>
              <w:top w:val="single" w:color="auto" w:sz="4" w:space="0"/>
              <w:left w:val="single" w:color="auto" w:sz="4" w:space="0"/>
              <w:bottom w:val="single" w:color="auto" w:sz="4" w:space="0"/>
            </w:tcBorders>
            <w:noWrap/>
            <w:vAlign w:val="center"/>
          </w:tcPr>
          <w:p>
            <w:pPr>
              <w:adjustRightInd w:val="0"/>
              <w:snapToGrid w:val="0"/>
              <w:jc w:val="center"/>
              <w:rPr>
                <w:rFonts w:ascii="仿宋" w:hAnsi="仿宋" w:eastAsia="仿宋" w:cs="仿宋"/>
                <w:bCs/>
                <w:szCs w:val="21"/>
              </w:rPr>
            </w:pPr>
            <w:r>
              <w:rPr>
                <w:rFonts w:hint="eastAsia" w:ascii="仿宋" w:hAnsi="仿宋" w:eastAsia="仿宋" w:cs="仿宋"/>
                <w:bCs/>
                <w:szCs w:val="21"/>
              </w:rPr>
              <w:t>B级企业</w:t>
            </w:r>
          </w:p>
        </w:tc>
        <w:tc>
          <w:tcPr>
            <w:tcW w:w="3315" w:type="dxa"/>
            <w:tcBorders>
              <w:top w:val="single" w:color="auto" w:sz="4" w:space="0"/>
              <w:bottom w:val="single" w:color="auto" w:sz="4" w:space="0"/>
            </w:tcBorders>
            <w:noWrap/>
            <w:vAlign w:val="center"/>
          </w:tcPr>
          <w:p>
            <w:pPr>
              <w:adjustRightInd w:val="0"/>
              <w:snapToGrid w:val="0"/>
              <w:jc w:val="left"/>
              <w:rPr>
                <w:rFonts w:ascii="仿宋" w:hAnsi="仿宋" w:eastAsia="仿宋" w:cs="仿宋"/>
                <w:bCs/>
                <w:szCs w:val="21"/>
              </w:rPr>
            </w:pPr>
            <w:r>
              <w:rPr>
                <w:rFonts w:hint="eastAsia" w:ascii="仿宋" w:hAnsi="仿宋" w:eastAsia="仿宋" w:cs="仿宋"/>
                <w:bCs/>
                <w:szCs w:val="21"/>
              </w:rPr>
              <w:t>停产，禁止使用国四及以下重型载货车辆（含燃气）运输原辅材料和产品。</w:t>
            </w:r>
          </w:p>
        </w:tc>
        <w:tc>
          <w:tcPr>
            <w:tcW w:w="3221" w:type="dxa"/>
            <w:tcBorders>
              <w:top w:val="single" w:color="auto" w:sz="4" w:space="0"/>
              <w:bottom w:val="single" w:color="auto" w:sz="4" w:space="0"/>
            </w:tcBorders>
            <w:noWrap/>
            <w:vAlign w:val="center"/>
          </w:tcPr>
          <w:p>
            <w:pPr>
              <w:adjustRightInd w:val="0"/>
              <w:snapToGrid w:val="0"/>
              <w:jc w:val="left"/>
              <w:rPr>
                <w:rFonts w:ascii="仿宋" w:hAnsi="仿宋" w:eastAsia="仿宋" w:cs="仿宋"/>
                <w:bCs/>
                <w:szCs w:val="21"/>
              </w:rPr>
            </w:pPr>
            <w:r>
              <w:rPr>
                <w:rFonts w:hint="eastAsia" w:ascii="仿宋" w:hAnsi="仿宋" w:eastAsia="仿宋" w:cs="仿宋"/>
                <w:bCs/>
                <w:szCs w:val="21"/>
              </w:rPr>
              <w:t>限产50%，以生产线计；禁止使用国四及以下重型载货车辆（含燃气）运输原辅材料和产品。</w:t>
            </w:r>
          </w:p>
        </w:tc>
        <w:tc>
          <w:tcPr>
            <w:tcW w:w="3389" w:type="dxa"/>
            <w:tcBorders>
              <w:top w:val="single" w:color="auto" w:sz="4" w:space="0"/>
              <w:bottom w:val="single" w:color="auto" w:sz="4" w:space="0"/>
            </w:tcBorders>
            <w:noWrap/>
            <w:vAlign w:val="center"/>
          </w:tcPr>
          <w:p>
            <w:pPr>
              <w:adjustRightInd w:val="0"/>
              <w:snapToGrid w:val="0"/>
              <w:jc w:val="left"/>
              <w:rPr>
                <w:rFonts w:ascii="仿宋" w:hAnsi="仿宋" w:eastAsia="仿宋" w:cs="仿宋"/>
                <w:bCs/>
                <w:szCs w:val="21"/>
              </w:rPr>
            </w:pPr>
            <w:r>
              <w:rPr>
                <w:rFonts w:hint="eastAsia" w:ascii="仿宋" w:hAnsi="仿宋" w:eastAsia="仿宋" w:cs="仿宋"/>
                <w:bCs/>
                <w:szCs w:val="21"/>
              </w:rPr>
              <w:t>禁止使用国四及以下重型载货车辆（含燃气）运输原辅材料和产品。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6" w:type="dxa"/>
          <w:trHeight w:val="573" w:hRule="atLeast"/>
          <w:jc w:val="center"/>
        </w:trPr>
        <w:tc>
          <w:tcPr>
            <w:tcW w:w="637" w:type="dxa"/>
            <w:vMerge w:val="continue"/>
            <w:noWrap/>
            <w:vAlign w:val="center"/>
          </w:tcPr>
          <w:p>
            <w:pPr>
              <w:adjustRightInd w:val="0"/>
              <w:snapToGrid w:val="0"/>
              <w:jc w:val="center"/>
              <w:rPr>
                <w:rFonts w:ascii="仿宋" w:hAnsi="仿宋" w:eastAsia="仿宋" w:cs="仿宋"/>
                <w:bCs/>
                <w:szCs w:val="21"/>
              </w:rPr>
            </w:pPr>
          </w:p>
        </w:tc>
        <w:tc>
          <w:tcPr>
            <w:tcW w:w="974" w:type="dxa"/>
            <w:vMerge w:val="continue"/>
            <w:noWrap/>
            <w:vAlign w:val="center"/>
          </w:tcPr>
          <w:p>
            <w:pPr>
              <w:adjustRightInd w:val="0"/>
              <w:snapToGrid w:val="0"/>
              <w:jc w:val="center"/>
              <w:rPr>
                <w:rFonts w:ascii="仿宋" w:hAnsi="仿宋" w:eastAsia="仿宋" w:cs="仿宋"/>
                <w:bCs/>
                <w:szCs w:val="21"/>
              </w:rPr>
            </w:pPr>
          </w:p>
        </w:tc>
        <w:tc>
          <w:tcPr>
            <w:tcW w:w="1955" w:type="dxa"/>
            <w:vMerge w:val="continue"/>
            <w:tcBorders>
              <w:right w:val="single" w:color="auto" w:sz="4" w:space="0"/>
            </w:tcBorders>
            <w:noWrap/>
            <w:vAlign w:val="center"/>
          </w:tcPr>
          <w:p>
            <w:pPr>
              <w:adjustRightInd w:val="0"/>
              <w:snapToGrid w:val="0"/>
              <w:jc w:val="both"/>
              <w:rPr>
                <w:rFonts w:ascii="仿宋" w:hAnsi="仿宋" w:eastAsia="仿宋" w:cs="仿宋"/>
                <w:bCs/>
                <w:szCs w:val="21"/>
              </w:rPr>
            </w:pPr>
          </w:p>
        </w:tc>
        <w:tc>
          <w:tcPr>
            <w:tcW w:w="1738" w:type="dxa"/>
            <w:tcBorders>
              <w:top w:val="single" w:color="auto" w:sz="4" w:space="0"/>
              <w:left w:val="single" w:color="auto" w:sz="4" w:space="0"/>
              <w:bottom w:val="single" w:color="auto" w:sz="4" w:space="0"/>
            </w:tcBorders>
            <w:noWrap/>
            <w:vAlign w:val="center"/>
          </w:tcPr>
          <w:p>
            <w:pPr>
              <w:adjustRightInd w:val="0"/>
              <w:snapToGrid w:val="0"/>
              <w:jc w:val="center"/>
              <w:rPr>
                <w:rFonts w:ascii="仿宋" w:hAnsi="仿宋" w:eastAsia="仿宋" w:cs="仿宋"/>
                <w:bCs/>
                <w:szCs w:val="21"/>
              </w:rPr>
            </w:pPr>
            <w:r>
              <w:rPr>
                <w:rFonts w:hint="eastAsia" w:ascii="仿宋" w:hAnsi="仿宋" w:eastAsia="仿宋" w:cs="仿宋"/>
                <w:bCs/>
                <w:szCs w:val="21"/>
              </w:rPr>
              <w:t>C级企业</w:t>
            </w:r>
          </w:p>
        </w:tc>
        <w:tc>
          <w:tcPr>
            <w:tcW w:w="3315" w:type="dxa"/>
            <w:tcBorders>
              <w:top w:val="single" w:color="auto" w:sz="4" w:space="0"/>
              <w:bottom w:val="single" w:color="auto" w:sz="4" w:space="0"/>
            </w:tcBorders>
            <w:noWrap/>
            <w:vAlign w:val="center"/>
          </w:tcPr>
          <w:p>
            <w:pPr>
              <w:adjustRightInd w:val="0"/>
              <w:snapToGrid w:val="0"/>
              <w:jc w:val="left"/>
              <w:rPr>
                <w:rFonts w:ascii="仿宋" w:hAnsi="仿宋" w:eastAsia="仿宋" w:cs="仿宋"/>
                <w:bCs/>
                <w:szCs w:val="21"/>
              </w:rPr>
            </w:pPr>
            <w:r>
              <w:rPr>
                <w:rFonts w:hint="eastAsia" w:ascii="仿宋" w:hAnsi="仿宋" w:eastAsia="仿宋" w:cs="仿宋"/>
                <w:bCs/>
                <w:szCs w:val="21"/>
              </w:rPr>
              <w:t>停产，禁止使用国四及以下重型载货车辆（含燃气）运输原辅材料和产品。</w:t>
            </w:r>
          </w:p>
        </w:tc>
        <w:tc>
          <w:tcPr>
            <w:tcW w:w="3221" w:type="dxa"/>
            <w:tcBorders>
              <w:top w:val="single" w:color="auto" w:sz="4" w:space="0"/>
              <w:bottom w:val="single" w:color="auto" w:sz="4" w:space="0"/>
            </w:tcBorders>
            <w:noWrap/>
            <w:vAlign w:val="center"/>
          </w:tcPr>
          <w:p>
            <w:pPr>
              <w:adjustRightInd w:val="0"/>
              <w:snapToGrid w:val="0"/>
              <w:jc w:val="left"/>
              <w:rPr>
                <w:rFonts w:ascii="仿宋" w:hAnsi="仿宋" w:eastAsia="仿宋" w:cs="仿宋"/>
                <w:bCs/>
                <w:szCs w:val="21"/>
              </w:rPr>
            </w:pPr>
            <w:r>
              <w:rPr>
                <w:rFonts w:hint="eastAsia" w:ascii="仿宋" w:hAnsi="仿宋" w:eastAsia="仿宋" w:cs="仿宋"/>
                <w:bCs/>
                <w:szCs w:val="21"/>
              </w:rPr>
              <w:t>停产，禁止使用国四及以下重型载货车辆（含燃气）运输原辅材料和产品。</w:t>
            </w:r>
          </w:p>
        </w:tc>
        <w:tc>
          <w:tcPr>
            <w:tcW w:w="3389" w:type="dxa"/>
            <w:tcBorders>
              <w:top w:val="single" w:color="auto" w:sz="4" w:space="0"/>
              <w:bottom w:val="single" w:color="auto" w:sz="4" w:space="0"/>
            </w:tcBorders>
            <w:noWrap/>
            <w:vAlign w:val="center"/>
          </w:tcPr>
          <w:p>
            <w:pPr>
              <w:adjustRightInd w:val="0"/>
              <w:snapToGrid w:val="0"/>
              <w:jc w:val="left"/>
              <w:rPr>
                <w:rFonts w:ascii="仿宋" w:hAnsi="仿宋" w:eastAsia="仿宋" w:cs="仿宋"/>
                <w:bCs/>
                <w:szCs w:val="21"/>
              </w:rPr>
            </w:pPr>
            <w:r>
              <w:rPr>
                <w:rFonts w:hint="eastAsia" w:ascii="仿宋" w:hAnsi="仿宋" w:eastAsia="仿宋" w:cs="仿宋"/>
                <w:bCs/>
                <w:szCs w:val="21"/>
              </w:rPr>
              <w:t>停产，禁止使用国四及以下重型载货车辆（含燃气）运输原辅材料和产品。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6" w:type="dxa"/>
          <w:trHeight w:val="573" w:hRule="atLeast"/>
          <w:jc w:val="center"/>
        </w:trPr>
        <w:tc>
          <w:tcPr>
            <w:tcW w:w="637" w:type="dxa"/>
            <w:vMerge w:val="restart"/>
            <w:noWrap/>
            <w:vAlign w:val="center"/>
          </w:tcPr>
          <w:p>
            <w:pPr>
              <w:adjustRightInd w:val="0"/>
              <w:snapToGrid w:val="0"/>
              <w:jc w:val="center"/>
              <w:rPr>
                <w:rFonts w:ascii="仿宋" w:hAnsi="仿宋" w:eastAsia="仿宋" w:cs="仿宋"/>
                <w:bCs/>
                <w:szCs w:val="21"/>
              </w:rPr>
            </w:pPr>
            <w:r>
              <w:rPr>
                <w:rFonts w:hint="eastAsia" w:ascii="仿宋" w:hAnsi="仿宋" w:eastAsia="仿宋" w:cs="仿宋"/>
                <w:bCs/>
                <w:szCs w:val="21"/>
              </w:rPr>
              <w:t>8</w:t>
            </w:r>
          </w:p>
        </w:tc>
        <w:tc>
          <w:tcPr>
            <w:tcW w:w="974" w:type="dxa"/>
            <w:vMerge w:val="restart"/>
            <w:noWrap/>
            <w:vAlign w:val="center"/>
          </w:tcPr>
          <w:p>
            <w:pPr>
              <w:adjustRightInd w:val="0"/>
              <w:snapToGrid w:val="0"/>
              <w:jc w:val="center"/>
              <w:rPr>
                <w:rFonts w:hint="eastAsia" w:ascii="仿宋" w:hAnsi="仿宋" w:eastAsia="仿宋" w:cs="仿宋"/>
                <w:bCs/>
                <w:szCs w:val="21"/>
              </w:rPr>
            </w:pPr>
            <w:r>
              <w:rPr>
                <w:rFonts w:hint="eastAsia" w:ascii="仿宋" w:hAnsi="仿宋" w:eastAsia="仿宋" w:cs="仿宋"/>
                <w:bCs/>
                <w:szCs w:val="21"/>
              </w:rPr>
              <w:t>玻璃</w:t>
            </w:r>
          </w:p>
          <w:p>
            <w:pPr>
              <w:adjustRightInd w:val="0"/>
              <w:snapToGrid w:val="0"/>
              <w:jc w:val="center"/>
              <w:rPr>
                <w:rFonts w:hint="eastAsia" w:ascii="仿宋" w:hAnsi="仿宋" w:eastAsia="仿宋" w:cs="仿宋"/>
                <w:bCs/>
                <w:szCs w:val="21"/>
              </w:rPr>
            </w:pPr>
            <w:r>
              <w:rPr>
                <w:rFonts w:hint="eastAsia" w:ascii="仿宋" w:hAnsi="仿宋" w:eastAsia="仿宋" w:cs="仿宋"/>
                <w:bCs/>
                <w:szCs w:val="21"/>
              </w:rPr>
              <w:t>钢制</w:t>
            </w:r>
          </w:p>
          <w:p>
            <w:pPr>
              <w:adjustRightInd w:val="0"/>
              <w:snapToGrid w:val="0"/>
              <w:jc w:val="center"/>
              <w:rPr>
                <w:rFonts w:hint="eastAsia" w:ascii="仿宋" w:hAnsi="仿宋" w:eastAsia="仿宋" w:cs="仿宋"/>
                <w:bCs/>
                <w:szCs w:val="21"/>
              </w:rPr>
            </w:pPr>
            <w:r>
              <w:rPr>
                <w:rFonts w:hint="eastAsia" w:ascii="仿宋" w:hAnsi="仿宋" w:eastAsia="仿宋" w:cs="仿宋"/>
                <w:bCs/>
                <w:szCs w:val="21"/>
              </w:rPr>
              <w:t>品制</w:t>
            </w:r>
          </w:p>
          <w:p>
            <w:pPr>
              <w:adjustRightInd w:val="0"/>
              <w:snapToGrid w:val="0"/>
              <w:jc w:val="center"/>
              <w:rPr>
                <w:rFonts w:ascii="仿宋" w:hAnsi="仿宋" w:eastAsia="仿宋" w:cs="仿宋"/>
                <w:bCs/>
                <w:szCs w:val="21"/>
              </w:rPr>
            </w:pPr>
            <w:r>
              <w:rPr>
                <w:rFonts w:hint="eastAsia" w:ascii="仿宋" w:hAnsi="仿宋" w:eastAsia="仿宋" w:cs="仿宋"/>
                <w:bCs/>
                <w:szCs w:val="21"/>
              </w:rPr>
              <w:t>造</w:t>
            </w:r>
          </w:p>
        </w:tc>
        <w:tc>
          <w:tcPr>
            <w:tcW w:w="1955" w:type="dxa"/>
            <w:vMerge w:val="restart"/>
            <w:tcBorders>
              <w:right w:val="single" w:color="auto" w:sz="4" w:space="0"/>
            </w:tcBorders>
            <w:noWrap/>
            <w:vAlign w:val="center"/>
          </w:tcPr>
          <w:p>
            <w:pPr>
              <w:adjustRightInd w:val="0"/>
              <w:snapToGrid w:val="0"/>
              <w:jc w:val="both"/>
              <w:rPr>
                <w:rFonts w:ascii="仿宋" w:hAnsi="仿宋" w:eastAsia="仿宋" w:cs="仿宋"/>
                <w:bCs/>
                <w:szCs w:val="21"/>
              </w:rPr>
            </w:pPr>
          </w:p>
        </w:tc>
        <w:tc>
          <w:tcPr>
            <w:tcW w:w="1738" w:type="dxa"/>
            <w:tcBorders>
              <w:top w:val="single" w:color="auto" w:sz="4" w:space="0"/>
              <w:left w:val="single" w:color="auto" w:sz="4" w:space="0"/>
              <w:bottom w:val="single" w:color="auto" w:sz="4" w:space="0"/>
            </w:tcBorders>
            <w:noWrap/>
            <w:vAlign w:val="center"/>
          </w:tcPr>
          <w:p>
            <w:pPr>
              <w:adjustRightInd w:val="0"/>
              <w:snapToGrid w:val="0"/>
              <w:jc w:val="center"/>
              <w:rPr>
                <w:rFonts w:ascii="仿宋" w:hAnsi="仿宋" w:eastAsia="仿宋" w:cs="仿宋"/>
                <w:bCs/>
                <w:szCs w:val="21"/>
              </w:rPr>
            </w:pPr>
            <w:r>
              <w:rPr>
                <w:rFonts w:hint="eastAsia" w:ascii="仿宋" w:hAnsi="仿宋" w:eastAsia="仿宋" w:cs="仿宋"/>
                <w:bCs/>
                <w:szCs w:val="21"/>
              </w:rPr>
              <w:t>A级企业</w:t>
            </w:r>
          </w:p>
        </w:tc>
        <w:tc>
          <w:tcPr>
            <w:tcW w:w="3315" w:type="dxa"/>
            <w:tcBorders>
              <w:top w:val="single" w:color="auto" w:sz="4" w:space="0"/>
              <w:bottom w:val="single" w:color="auto" w:sz="4" w:space="0"/>
            </w:tcBorders>
            <w:noWrap/>
            <w:vAlign w:val="center"/>
          </w:tcPr>
          <w:p>
            <w:pPr>
              <w:adjustRightInd w:val="0"/>
              <w:snapToGrid w:val="0"/>
              <w:jc w:val="left"/>
              <w:rPr>
                <w:rFonts w:ascii="仿宋" w:hAnsi="仿宋" w:eastAsia="仿宋" w:cs="仿宋"/>
                <w:bCs/>
                <w:szCs w:val="21"/>
              </w:rPr>
            </w:pPr>
            <w:r>
              <w:rPr>
                <w:rFonts w:hint="eastAsia" w:ascii="仿宋" w:hAnsi="仿宋" w:eastAsia="仿宋" w:cs="仿宋"/>
                <w:bCs/>
                <w:szCs w:val="21"/>
              </w:rPr>
              <w:t>禁止使用国四及以下重型载货车辆（含燃气）运输原辅材料和产品。</w:t>
            </w:r>
          </w:p>
        </w:tc>
        <w:tc>
          <w:tcPr>
            <w:tcW w:w="3221" w:type="dxa"/>
            <w:tcBorders>
              <w:top w:val="single" w:color="auto" w:sz="4" w:space="0"/>
              <w:bottom w:val="single" w:color="auto" w:sz="4" w:space="0"/>
            </w:tcBorders>
            <w:noWrap/>
            <w:vAlign w:val="center"/>
          </w:tcPr>
          <w:p>
            <w:pPr>
              <w:adjustRightInd w:val="0"/>
              <w:snapToGrid w:val="0"/>
              <w:jc w:val="left"/>
              <w:rPr>
                <w:rFonts w:ascii="仿宋" w:hAnsi="仿宋" w:eastAsia="仿宋" w:cs="仿宋"/>
                <w:bCs/>
                <w:szCs w:val="21"/>
              </w:rPr>
            </w:pPr>
            <w:r>
              <w:rPr>
                <w:rFonts w:hint="eastAsia" w:ascii="仿宋" w:hAnsi="仿宋" w:eastAsia="仿宋" w:cs="仿宋"/>
                <w:bCs/>
                <w:szCs w:val="21"/>
              </w:rPr>
              <w:t>禁止使用国四及以下重型载货车辆（含燃气）运输原辅材料和产品。</w:t>
            </w:r>
          </w:p>
        </w:tc>
        <w:tc>
          <w:tcPr>
            <w:tcW w:w="3389" w:type="dxa"/>
            <w:tcBorders>
              <w:top w:val="single" w:color="auto" w:sz="4" w:space="0"/>
              <w:bottom w:val="single" w:color="auto" w:sz="4" w:space="0"/>
            </w:tcBorders>
            <w:noWrap/>
            <w:vAlign w:val="center"/>
          </w:tcPr>
          <w:p>
            <w:pPr>
              <w:adjustRightInd w:val="0"/>
              <w:snapToGrid w:val="0"/>
              <w:jc w:val="left"/>
              <w:rPr>
                <w:rFonts w:ascii="仿宋" w:hAnsi="仿宋" w:eastAsia="仿宋" w:cs="仿宋"/>
                <w:bCs/>
                <w:szCs w:val="21"/>
              </w:rPr>
            </w:pPr>
            <w:r>
              <w:rPr>
                <w:rFonts w:hint="eastAsia" w:ascii="仿宋" w:hAnsi="仿宋" w:eastAsia="仿宋" w:cs="仿宋"/>
                <w:bCs/>
                <w:szCs w:val="21"/>
              </w:rPr>
              <w:t>禁止使用国四及以下重型载货车辆（含燃气）运输原辅材料和产品。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6" w:type="dxa"/>
          <w:trHeight w:val="573" w:hRule="atLeast"/>
          <w:jc w:val="center"/>
        </w:trPr>
        <w:tc>
          <w:tcPr>
            <w:tcW w:w="637" w:type="dxa"/>
            <w:vMerge w:val="continue"/>
            <w:noWrap/>
            <w:vAlign w:val="center"/>
          </w:tcPr>
          <w:p>
            <w:pPr>
              <w:adjustRightInd w:val="0"/>
              <w:snapToGrid w:val="0"/>
              <w:jc w:val="center"/>
              <w:rPr>
                <w:rFonts w:ascii="仿宋" w:hAnsi="仿宋" w:eastAsia="仿宋" w:cs="仿宋"/>
                <w:bCs/>
                <w:szCs w:val="21"/>
              </w:rPr>
            </w:pPr>
          </w:p>
        </w:tc>
        <w:tc>
          <w:tcPr>
            <w:tcW w:w="974" w:type="dxa"/>
            <w:vMerge w:val="continue"/>
            <w:noWrap/>
            <w:vAlign w:val="center"/>
          </w:tcPr>
          <w:p>
            <w:pPr>
              <w:adjustRightInd w:val="0"/>
              <w:snapToGrid w:val="0"/>
              <w:jc w:val="center"/>
              <w:rPr>
                <w:rFonts w:ascii="仿宋" w:hAnsi="仿宋" w:eastAsia="仿宋" w:cs="仿宋"/>
                <w:bCs/>
                <w:szCs w:val="21"/>
              </w:rPr>
            </w:pPr>
          </w:p>
        </w:tc>
        <w:tc>
          <w:tcPr>
            <w:tcW w:w="1955" w:type="dxa"/>
            <w:vMerge w:val="continue"/>
            <w:tcBorders>
              <w:right w:val="single" w:color="auto" w:sz="4" w:space="0"/>
            </w:tcBorders>
            <w:noWrap/>
            <w:vAlign w:val="center"/>
          </w:tcPr>
          <w:p>
            <w:pPr>
              <w:adjustRightInd w:val="0"/>
              <w:snapToGrid w:val="0"/>
              <w:jc w:val="both"/>
              <w:rPr>
                <w:rFonts w:ascii="仿宋" w:hAnsi="仿宋" w:eastAsia="仿宋" w:cs="仿宋"/>
                <w:bCs/>
                <w:szCs w:val="21"/>
              </w:rPr>
            </w:pPr>
          </w:p>
        </w:tc>
        <w:tc>
          <w:tcPr>
            <w:tcW w:w="1738" w:type="dxa"/>
            <w:tcBorders>
              <w:top w:val="single" w:color="auto" w:sz="4" w:space="0"/>
              <w:left w:val="single" w:color="auto" w:sz="4" w:space="0"/>
              <w:bottom w:val="single" w:color="auto" w:sz="4" w:space="0"/>
            </w:tcBorders>
            <w:noWrap/>
            <w:vAlign w:val="center"/>
          </w:tcPr>
          <w:p>
            <w:pPr>
              <w:adjustRightInd w:val="0"/>
              <w:snapToGrid w:val="0"/>
              <w:jc w:val="center"/>
              <w:rPr>
                <w:rFonts w:ascii="仿宋" w:hAnsi="仿宋" w:eastAsia="仿宋" w:cs="仿宋"/>
                <w:bCs/>
                <w:szCs w:val="21"/>
              </w:rPr>
            </w:pPr>
            <w:r>
              <w:rPr>
                <w:rFonts w:hint="eastAsia" w:ascii="仿宋" w:hAnsi="仿宋" w:eastAsia="仿宋" w:cs="仿宋"/>
                <w:bCs/>
                <w:szCs w:val="21"/>
              </w:rPr>
              <w:t>B级企业</w:t>
            </w:r>
          </w:p>
        </w:tc>
        <w:tc>
          <w:tcPr>
            <w:tcW w:w="3315" w:type="dxa"/>
            <w:tcBorders>
              <w:top w:val="single" w:color="auto" w:sz="4" w:space="0"/>
              <w:bottom w:val="single" w:color="auto" w:sz="4" w:space="0"/>
            </w:tcBorders>
            <w:noWrap/>
            <w:vAlign w:val="center"/>
          </w:tcPr>
          <w:p>
            <w:pPr>
              <w:adjustRightInd w:val="0"/>
              <w:snapToGrid w:val="0"/>
              <w:jc w:val="left"/>
              <w:rPr>
                <w:rFonts w:ascii="仿宋" w:hAnsi="仿宋" w:eastAsia="仿宋" w:cs="仿宋"/>
                <w:bCs/>
                <w:szCs w:val="21"/>
              </w:rPr>
            </w:pPr>
            <w:r>
              <w:rPr>
                <w:rFonts w:hint="eastAsia" w:ascii="仿宋" w:hAnsi="仿宋" w:eastAsia="仿宋" w:cs="仿宋"/>
                <w:bCs/>
                <w:szCs w:val="21"/>
              </w:rPr>
              <w:t>缠绕、拉剂、模压、手糊等涉VOCs排放工序停产；禁止使用国四及以下重型载货车辆（含燃气）运输原辅材料和产品。</w:t>
            </w:r>
          </w:p>
        </w:tc>
        <w:tc>
          <w:tcPr>
            <w:tcW w:w="3221" w:type="dxa"/>
            <w:tcBorders>
              <w:top w:val="single" w:color="auto" w:sz="4" w:space="0"/>
              <w:bottom w:val="single" w:color="auto" w:sz="4" w:space="0"/>
            </w:tcBorders>
            <w:noWrap/>
            <w:vAlign w:val="center"/>
          </w:tcPr>
          <w:p>
            <w:pPr>
              <w:adjustRightInd w:val="0"/>
              <w:snapToGrid w:val="0"/>
              <w:jc w:val="left"/>
              <w:rPr>
                <w:rFonts w:ascii="仿宋" w:hAnsi="仿宋" w:eastAsia="仿宋" w:cs="仿宋"/>
                <w:bCs/>
                <w:szCs w:val="21"/>
              </w:rPr>
            </w:pPr>
            <w:r>
              <w:rPr>
                <w:rFonts w:hint="eastAsia" w:ascii="仿宋" w:hAnsi="仿宋" w:eastAsia="仿宋" w:cs="仿宋"/>
                <w:bCs/>
                <w:szCs w:val="21"/>
              </w:rPr>
              <w:t>缠绕、拉剂、模压、手糊等涉VOCs排放工序停产50%，以生产线计；禁止使用国四及以下重型载货车辆（含燃气）运输原辅材料和产品。</w:t>
            </w:r>
          </w:p>
        </w:tc>
        <w:tc>
          <w:tcPr>
            <w:tcW w:w="3389" w:type="dxa"/>
            <w:tcBorders>
              <w:top w:val="single" w:color="auto" w:sz="4" w:space="0"/>
              <w:bottom w:val="single" w:color="auto" w:sz="4" w:space="0"/>
            </w:tcBorders>
            <w:noWrap/>
            <w:vAlign w:val="center"/>
          </w:tcPr>
          <w:p>
            <w:pPr>
              <w:adjustRightInd w:val="0"/>
              <w:snapToGrid w:val="0"/>
              <w:jc w:val="left"/>
              <w:rPr>
                <w:rFonts w:ascii="仿宋" w:hAnsi="仿宋" w:eastAsia="仿宋" w:cs="仿宋"/>
                <w:bCs/>
                <w:szCs w:val="21"/>
              </w:rPr>
            </w:pPr>
            <w:r>
              <w:rPr>
                <w:rFonts w:hint="eastAsia" w:ascii="仿宋" w:hAnsi="仿宋" w:eastAsia="仿宋" w:cs="仿宋"/>
                <w:bCs/>
                <w:szCs w:val="21"/>
              </w:rPr>
              <w:t>禁止使用国四及以下重型载货车辆（含燃气）运输原辅材料和产品。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6" w:type="dxa"/>
          <w:trHeight w:val="573" w:hRule="atLeast"/>
          <w:jc w:val="center"/>
        </w:trPr>
        <w:tc>
          <w:tcPr>
            <w:tcW w:w="637" w:type="dxa"/>
            <w:vMerge w:val="continue"/>
            <w:noWrap/>
            <w:vAlign w:val="center"/>
          </w:tcPr>
          <w:p>
            <w:pPr>
              <w:adjustRightInd w:val="0"/>
              <w:snapToGrid w:val="0"/>
              <w:jc w:val="center"/>
              <w:rPr>
                <w:rFonts w:ascii="仿宋" w:hAnsi="仿宋" w:eastAsia="仿宋" w:cs="仿宋"/>
                <w:bCs/>
                <w:szCs w:val="21"/>
              </w:rPr>
            </w:pPr>
          </w:p>
        </w:tc>
        <w:tc>
          <w:tcPr>
            <w:tcW w:w="974" w:type="dxa"/>
            <w:vMerge w:val="continue"/>
            <w:noWrap/>
            <w:vAlign w:val="center"/>
          </w:tcPr>
          <w:p>
            <w:pPr>
              <w:adjustRightInd w:val="0"/>
              <w:snapToGrid w:val="0"/>
              <w:jc w:val="center"/>
              <w:rPr>
                <w:rFonts w:ascii="仿宋" w:hAnsi="仿宋" w:eastAsia="仿宋" w:cs="仿宋"/>
                <w:bCs/>
                <w:szCs w:val="21"/>
              </w:rPr>
            </w:pPr>
          </w:p>
        </w:tc>
        <w:tc>
          <w:tcPr>
            <w:tcW w:w="1955" w:type="dxa"/>
            <w:vMerge w:val="continue"/>
            <w:tcBorders>
              <w:right w:val="single" w:color="auto" w:sz="4" w:space="0"/>
            </w:tcBorders>
            <w:noWrap/>
            <w:vAlign w:val="center"/>
          </w:tcPr>
          <w:p>
            <w:pPr>
              <w:adjustRightInd w:val="0"/>
              <w:snapToGrid w:val="0"/>
              <w:jc w:val="both"/>
              <w:rPr>
                <w:rFonts w:ascii="仿宋" w:hAnsi="仿宋" w:eastAsia="仿宋" w:cs="仿宋"/>
                <w:bCs/>
                <w:szCs w:val="21"/>
              </w:rPr>
            </w:pPr>
          </w:p>
        </w:tc>
        <w:tc>
          <w:tcPr>
            <w:tcW w:w="1738" w:type="dxa"/>
            <w:tcBorders>
              <w:top w:val="single" w:color="auto" w:sz="4" w:space="0"/>
              <w:left w:val="single" w:color="auto" w:sz="4" w:space="0"/>
              <w:bottom w:val="single" w:color="auto" w:sz="4" w:space="0"/>
            </w:tcBorders>
            <w:noWrap/>
            <w:vAlign w:val="center"/>
          </w:tcPr>
          <w:p>
            <w:pPr>
              <w:adjustRightInd w:val="0"/>
              <w:snapToGrid w:val="0"/>
              <w:jc w:val="center"/>
              <w:rPr>
                <w:rFonts w:ascii="仿宋" w:hAnsi="仿宋" w:eastAsia="仿宋" w:cs="仿宋"/>
                <w:bCs/>
                <w:szCs w:val="21"/>
              </w:rPr>
            </w:pPr>
            <w:r>
              <w:rPr>
                <w:rFonts w:hint="eastAsia" w:ascii="仿宋" w:hAnsi="仿宋" w:eastAsia="仿宋" w:cs="仿宋"/>
                <w:bCs/>
                <w:szCs w:val="21"/>
              </w:rPr>
              <w:t>C级企业</w:t>
            </w:r>
          </w:p>
        </w:tc>
        <w:tc>
          <w:tcPr>
            <w:tcW w:w="9925" w:type="dxa"/>
            <w:gridSpan w:val="3"/>
            <w:tcBorders>
              <w:top w:val="single" w:color="auto" w:sz="4" w:space="0"/>
              <w:bottom w:val="single" w:color="auto" w:sz="4" w:space="0"/>
            </w:tcBorders>
            <w:noWrap/>
            <w:vAlign w:val="center"/>
          </w:tcPr>
          <w:p>
            <w:pPr>
              <w:adjustRightInd w:val="0"/>
              <w:snapToGrid w:val="0"/>
              <w:jc w:val="left"/>
              <w:rPr>
                <w:rFonts w:ascii="仿宋" w:hAnsi="仿宋" w:eastAsia="仿宋" w:cs="仿宋"/>
                <w:bCs/>
                <w:szCs w:val="21"/>
              </w:rPr>
            </w:pPr>
            <w:r>
              <w:rPr>
                <w:rFonts w:hint="eastAsia" w:ascii="仿宋" w:hAnsi="仿宋" w:eastAsia="仿宋" w:cs="仿宋"/>
                <w:bCs/>
                <w:szCs w:val="21"/>
              </w:rPr>
              <w:t>缠绕、拉剂、模压、手糊等涉VOCs排放工序停产；禁止使用国四及以下重型载货车辆（含燃气）运输原辅材料和产品。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6" w:type="dxa"/>
          <w:trHeight w:val="146" w:hRule="atLeast"/>
          <w:jc w:val="center"/>
        </w:trPr>
        <w:tc>
          <w:tcPr>
            <w:tcW w:w="637" w:type="dxa"/>
            <w:noWrap/>
            <w:vAlign w:val="center"/>
          </w:tcPr>
          <w:p>
            <w:pPr>
              <w:adjustRightInd w:val="0"/>
              <w:snapToGrid w:val="0"/>
              <w:jc w:val="center"/>
              <w:rPr>
                <w:rFonts w:ascii="仿宋" w:hAnsi="仿宋" w:eastAsia="仿宋" w:cs="仿宋"/>
                <w:bCs/>
                <w:szCs w:val="21"/>
              </w:rPr>
            </w:pPr>
            <w:r>
              <w:rPr>
                <w:rFonts w:hint="eastAsia" w:ascii="仿宋" w:hAnsi="仿宋" w:eastAsia="仿宋" w:cs="仿宋"/>
                <w:bCs/>
                <w:szCs w:val="21"/>
              </w:rPr>
              <w:t>9</w:t>
            </w:r>
          </w:p>
        </w:tc>
        <w:tc>
          <w:tcPr>
            <w:tcW w:w="974" w:type="dxa"/>
            <w:noWrap/>
            <w:vAlign w:val="center"/>
          </w:tcPr>
          <w:p>
            <w:pPr>
              <w:adjustRightInd w:val="0"/>
              <w:snapToGrid w:val="0"/>
              <w:jc w:val="center"/>
              <w:rPr>
                <w:rFonts w:ascii="仿宋" w:hAnsi="仿宋" w:eastAsia="仿宋" w:cs="仿宋"/>
                <w:bCs/>
                <w:szCs w:val="21"/>
              </w:rPr>
            </w:pPr>
            <w:r>
              <w:rPr>
                <w:rFonts w:hint="eastAsia" w:ascii="仿宋" w:hAnsi="仿宋" w:eastAsia="仿宋" w:cs="仿宋"/>
                <w:bCs/>
                <w:szCs w:val="21"/>
              </w:rPr>
              <w:t>水泥</w:t>
            </w:r>
          </w:p>
        </w:tc>
        <w:tc>
          <w:tcPr>
            <w:tcW w:w="1955" w:type="dxa"/>
            <w:tcBorders>
              <w:right w:val="single" w:color="auto" w:sz="4" w:space="0"/>
            </w:tcBorders>
            <w:noWrap/>
            <w:vAlign w:val="center"/>
          </w:tcPr>
          <w:p>
            <w:pPr>
              <w:adjustRightInd w:val="0"/>
              <w:snapToGrid w:val="0"/>
              <w:jc w:val="both"/>
              <w:rPr>
                <w:rFonts w:hint="eastAsia" w:ascii="仿宋" w:hAnsi="仿宋" w:eastAsia="仿宋" w:cs="仿宋"/>
                <w:bCs/>
                <w:szCs w:val="21"/>
                <w:lang w:eastAsia="zh-CN"/>
              </w:rPr>
            </w:pPr>
            <w:r>
              <w:rPr>
                <w:rFonts w:hint="eastAsia" w:ascii="仿宋" w:hAnsi="仿宋" w:eastAsia="仿宋" w:cs="仿宋"/>
                <w:bCs/>
                <w:szCs w:val="21"/>
              </w:rPr>
              <w:t>水泥熟料生产、粉磨站、矿渣粉、水泥制品等工业（特种水泥行业除外）</w:t>
            </w:r>
            <w:r>
              <w:rPr>
                <w:rFonts w:hint="eastAsia" w:ascii="仿宋" w:hAnsi="仿宋" w:eastAsia="仿宋" w:cs="仿宋"/>
                <w:bCs/>
                <w:szCs w:val="21"/>
                <w:lang w:eastAsia="zh-CN"/>
              </w:rPr>
              <w:t>。</w:t>
            </w:r>
          </w:p>
        </w:tc>
        <w:tc>
          <w:tcPr>
            <w:tcW w:w="1738" w:type="dxa"/>
            <w:tcBorders>
              <w:left w:val="single" w:color="auto" w:sz="4" w:space="0"/>
            </w:tcBorders>
            <w:noWrap/>
            <w:vAlign w:val="center"/>
          </w:tcPr>
          <w:p>
            <w:pPr>
              <w:adjustRightInd w:val="0"/>
              <w:snapToGrid w:val="0"/>
              <w:jc w:val="left"/>
              <w:rPr>
                <w:rFonts w:ascii="仿宋" w:hAnsi="仿宋" w:eastAsia="仿宋" w:cs="仿宋"/>
                <w:bCs/>
                <w:szCs w:val="21"/>
              </w:rPr>
            </w:pPr>
          </w:p>
        </w:tc>
        <w:tc>
          <w:tcPr>
            <w:tcW w:w="3315" w:type="dxa"/>
            <w:noWrap/>
            <w:vAlign w:val="center"/>
          </w:tcPr>
          <w:p>
            <w:pPr>
              <w:adjustRightInd w:val="0"/>
              <w:snapToGrid w:val="0"/>
              <w:jc w:val="left"/>
              <w:rPr>
                <w:rFonts w:ascii="仿宋" w:hAnsi="仿宋" w:eastAsia="仿宋" w:cs="仿宋"/>
                <w:bCs/>
                <w:szCs w:val="21"/>
              </w:rPr>
            </w:pPr>
            <w:r>
              <w:rPr>
                <w:rFonts w:hint="eastAsia" w:ascii="仿宋" w:hAnsi="仿宋" w:eastAsia="仿宋" w:cs="仿宋"/>
                <w:bCs/>
                <w:szCs w:val="21"/>
              </w:rPr>
              <w:t>水泥制品、粉磨站停产；禁止使用国四及以下重型载货车辆（含燃气）进行物料运输。水泥熟料生产线停产。协同处置城市生活垃圾或危险废物的企业，日处理生活垃圾与污泥总量高于400 吨但低于600吨（含）、处理有毒有害废弃物总量高于熟料产能 4%但低于6%（含）的生产线，停产。</w:t>
            </w:r>
          </w:p>
        </w:tc>
        <w:tc>
          <w:tcPr>
            <w:tcW w:w="3221" w:type="dxa"/>
            <w:noWrap/>
            <w:vAlign w:val="center"/>
          </w:tcPr>
          <w:p>
            <w:pPr>
              <w:adjustRightInd w:val="0"/>
              <w:snapToGrid w:val="0"/>
              <w:jc w:val="left"/>
              <w:rPr>
                <w:rFonts w:ascii="仿宋" w:hAnsi="仿宋" w:eastAsia="仿宋" w:cs="仿宋"/>
                <w:bCs/>
                <w:szCs w:val="21"/>
              </w:rPr>
            </w:pPr>
            <w:r>
              <w:rPr>
                <w:rFonts w:hint="eastAsia" w:ascii="仿宋" w:hAnsi="仿宋" w:eastAsia="仿宋" w:cs="仿宋"/>
                <w:bCs/>
                <w:szCs w:val="21"/>
              </w:rPr>
              <w:t>水泥制品、粉磨站停产；禁止使用国四及以下重型载货车辆（含燃气）进行物料运输。水泥熟料生产线停产。协同处置城市生活垃圾或危险废物的企业，日处理生活垃圾与污泥总量低于400吨（含）、处理有毒有害废弃物总量低于熟料产能4%（含）的生产线，停产。</w:t>
            </w:r>
          </w:p>
        </w:tc>
        <w:tc>
          <w:tcPr>
            <w:tcW w:w="3389" w:type="dxa"/>
            <w:noWrap/>
            <w:vAlign w:val="center"/>
          </w:tcPr>
          <w:p>
            <w:pPr>
              <w:adjustRightInd w:val="0"/>
              <w:snapToGrid w:val="0"/>
              <w:jc w:val="left"/>
              <w:rPr>
                <w:rFonts w:ascii="仿宋" w:hAnsi="仿宋" w:eastAsia="仿宋" w:cs="仿宋"/>
                <w:bCs/>
                <w:szCs w:val="21"/>
              </w:rPr>
            </w:pPr>
            <w:r>
              <w:rPr>
                <w:rFonts w:hint="eastAsia" w:ascii="仿宋" w:hAnsi="仿宋" w:eastAsia="仿宋" w:cs="仿宋"/>
                <w:bCs/>
                <w:szCs w:val="21"/>
              </w:rPr>
              <w:t>水泥制品、粉磨站停产；禁止使用国四及以下重型载货车辆（含燃气）进行物料运输。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6" w:type="dxa"/>
          <w:trHeight w:val="913" w:hRule="atLeast"/>
          <w:jc w:val="center"/>
        </w:trPr>
        <w:tc>
          <w:tcPr>
            <w:tcW w:w="637" w:type="dxa"/>
            <w:noWrap/>
            <w:vAlign w:val="center"/>
          </w:tcPr>
          <w:p>
            <w:pPr>
              <w:adjustRightInd w:val="0"/>
              <w:snapToGrid w:val="0"/>
              <w:jc w:val="center"/>
              <w:rPr>
                <w:rFonts w:ascii="仿宋" w:hAnsi="仿宋" w:eastAsia="仿宋" w:cs="仿宋"/>
                <w:bCs/>
                <w:szCs w:val="21"/>
              </w:rPr>
            </w:pPr>
            <w:r>
              <w:rPr>
                <w:rFonts w:hint="eastAsia" w:ascii="仿宋" w:hAnsi="仿宋" w:eastAsia="仿宋" w:cs="仿宋"/>
                <w:bCs/>
                <w:szCs w:val="21"/>
              </w:rPr>
              <w:t>10</w:t>
            </w:r>
          </w:p>
        </w:tc>
        <w:tc>
          <w:tcPr>
            <w:tcW w:w="974" w:type="dxa"/>
            <w:noWrap/>
            <w:vAlign w:val="center"/>
          </w:tcPr>
          <w:p>
            <w:pPr>
              <w:adjustRightInd w:val="0"/>
              <w:snapToGrid w:val="0"/>
              <w:jc w:val="center"/>
              <w:rPr>
                <w:rFonts w:ascii="仿宋" w:hAnsi="仿宋" w:eastAsia="仿宋" w:cs="仿宋"/>
                <w:bCs/>
                <w:szCs w:val="21"/>
              </w:rPr>
            </w:pPr>
            <w:r>
              <w:rPr>
                <w:rFonts w:hint="eastAsia" w:ascii="仿宋" w:hAnsi="仿宋" w:eastAsia="仿宋" w:cs="仿宋"/>
                <w:bCs/>
                <w:szCs w:val="21"/>
              </w:rPr>
              <w:t>砖瓦窑</w:t>
            </w:r>
          </w:p>
        </w:tc>
        <w:tc>
          <w:tcPr>
            <w:tcW w:w="1955" w:type="dxa"/>
            <w:tcBorders>
              <w:right w:val="single" w:color="auto" w:sz="4" w:space="0"/>
            </w:tcBorders>
            <w:noWrap/>
            <w:vAlign w:val="center"/>
          </w:tcPr>
          <w:p>
            <w:pPr>
              <w:adjustRightInd w:val="0"/>
              <w:snapToGrid w:val="0"/>
              <w:jc w:val="both"/>
              <w:rPr>
                <w:rFonts w:hint="eastAsia" w:ascii="仿宋" w:hAnsi="仿宋" w:eastAsia="仿宋" w:cs="仿宋"/>
                <w:bCs/>
                <w:szCs w:val="21"/>
                <w:lang w:eastAsia="zh-CN"/>
              </w:rPr>
            </w:pPr>
            <w:r>
              <w:rPr>
                <w:rFonts w:hint="eastAsia" w:ascii="仿宋" w:hAnsi="仿宋" w:eastAsia="仿宋" w:cs="仿宋"/>
                <w:bCs/>
                <w:szCs w:val="21"/>
              </w:rPr>
              <w:t>烧结砖和非烧结砖等制造工业</w:t>
            </w:r>
            <w:r>
              <w:rPr>
                <w:rFonts w:hint="eastAsia" w:ascii="仿宋" w:hAnsi="仿宋" w:eastAsia="仿宋" w:cs="仿宋"/>
                <w:bCs/>
                <w:szCs w:val="21"/>
                <w:lang w:eastAsia="zh-CN"/>
              </w:rPr>
              <w:t>。</w:t>
            </w:r>
          </w:p>
        </w:tc>
        <w:tc>
          <w:tcPr>
            <w:tcW w:w="1738" w:type="dxa"/>
            <w:tcBorders>
              <w:left w:val="single" w:color="auto" w:sz="4" w:space="0"/>
            </w:tcBorders>
            <w:noWrap/>
            <w:vAlign w:val="center"/>
          </w:tcPr>
          <w:p>
            <w:pPr>
              <w:adjustRightInd w:val="0"/>
              <w:snapToGrid w:val="0"/>
              <w:jc w:val="left"/>
              <w:rPr>
                <w:rFonts w:ascii="仿宋" w:hAnsi="仿宋" w:eastAsia="仿宋" w:cs="仿宋"/>
                <w:bCs/>
                <w:szCs w:val="21"/>
              </w:rPr>
            </w:pPr>
          </w:p>
        </w:tc>
        <w:tc>
          <w:tcPr>
            <w:tcW w:w="3315" w:type="dxa"/>
            <w:noWrap/>
            <w:vAlign w:val="center"/>
          </w:tcPr>
          <w:p>
            <w:pPr>
              <w:adjustRightInd w:val="0"/>
              <w:snapToGrid w:val="0"/>
              <w:jc w:val="left"/>
              <w:rPr>
                <w:rFonts w:ascii="仿宋" w:hAnsi="仿宋" w:eastAsia="仿宋" w:cs="仿宋"/>
                <w:bCs/>
                <w:szCs w:val="21"/>
              </w:rPr>
            </w:pPr>
            <w:r>
              <w:rPr>
                <w:rFonts w:hint="eastAsia" w:ascii="仿宋" w:hAnsi="仿宋" w:eastAsia="仿宋" w:cs="仿宋"/>
                <w:bCs/>
                <w:szCs w:val="21"/>
              </w:rPr>
              <w:t>砖瓦窑企业停产；禁止运输。</w:t>
            </w:r>
          </w:p>
        </w:tc>
        <w:tc>
          <w:tcPr>
            <w:tcW w:w="3221" w:type="dxa"/>
            <w:noWrap/>
            <w:vAlign w:val="center"/>
          </w:tcPr>
          <w:p>
            <w:pPr>
              <w:adjustRightInd w:val="0"/>
              <w:snapToGrid w:val="0"/>
              <w:jc w:val="left"/>
              <w:rPr>
                <w:rFonts w:ascii="仿宋" w:hAnsi="仿宋" w:eastAsia="仿宋" w:cs="仿宋"/>
                <w:bCs/>
                <w:szCs w:val="21"/>
              </w:rPr>
            </w:pPr>
            <w:r>
              <w:rPr>
                <w:rFonts w:hint="eastAsia" w:ascii="仿宋" w:hAnsi="仿宋" w:eastAsia="仿宋" w:cs="仿宋"/>
                <w:bCs/>
                <w:szCs w:val="21"/>
              </w:rPr>
              <w:t>砖瓦窑企业停产；禁止运输。</w:t>
            </w:r>
          </w:p>
        </w:tc>
        <w:tc>
          <w:tcPr>
            <w:tcW w:w="3389" w:type="dxa"/>
            <w:noWrap/>
            <w:vAlign w:val="center"/>
          </w:tcPr>
          <w:p>
            <w:pPr>
              <w:adjustRightInd w:val="0"/>
              <w:snapToGrid w:val="0"/>
              <w:jc w:val="left"/>
              <w:rPr>
                <w:rFonts w:ascii="仿宋" w:hAnsi="仿宋" w:eastAsia="仿宋" w:cs="仿宋"/>
                <w:bCs/>
                <w:szCs w:val="21"/>
              </w:rPr>
            </w:pPr>
            <w:r>
              <w:rPr>
                <w:rFonts w:hint="eastAsia" w:ascii="仿宋" w:hAnsi="仿宋" w:eastAsia="仿宋" w:cs="仿宋"/>
                <w:bCs/>
                <w:szCs w:val="21"/>
              </w:rPr>
              <w:t>非隧道窑企业停产；禁止运输。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6" w:type="dxa"/>
          <w:trHeight w:val="146" w:hRule="atLeast"/>
          <w:jc w:val="center"/>
        </w:trPr>
        <w:tc>
          <w:tcPr>
            <w:tcW w:w="637" w:type="dxa"/>
            <w:vMerge w:val="restart"/>
            <w:noWrap/>
            <w:vAlign w:val="center"/>
          </w:tcPr>
          <w:p>
            <w:pPr>
              <w:adjustRightInd w:val="0"/>
              <w:snapToGrid w:val="0"/>
              <w:jc w:val="center"/>
              <w:rPr>
                <w:rFonts w:ascii="仿宋" w:hAnsi="仿宋" w:eastAsia="仿宋" w:cs="仿宋"/>
                <w:bCs/>
                <w:szCs w:val="21"/>
              </w:rPr>
            </w:pPr>
            <w:r>
              <w:rPr>
                <w:rFonts w:hint="eastAsia" w:ascii="仿宋" w:hAnsi="仿宋" w:eastAsia="仿宋" w:cs="仿宋"/>
                <w:bCs/>
                <w:szCs w:val="21"/>
              </w:rPr>
              <w:t>11</w:t>
            </w:r>
          </w:p>
        </w:tc>
        <w:tc>
          <w:tcPr>
            <w:tcW w:w="974" w:type="dxa"/>
            <w:vMerge w:val="restart"/>
            <w:noWrap/>
            <w:vAlign w:val="center"/>
          </w:tcPr>
          <w:p>
            <w:pPr>
              <w:adjustRightInd w:val="0"/>
              <w:snapToGrid w:val="0"/>
              <w:jc w:val="center"/>
              <w:rPr>
                <w:rFonts w:hint="eastAsia" w:ascii="仿宋" w:hAnsi="仿宋" w:eastAsia="仿宋" w:cs="仿宋"/>
                <w:bCs/>
                <w:szCs w:val="21"/>
              </w:rPr>
            </w:pPr>
            <w:r>
              <w:rPr>
                <w:rFonts w:hint="eastAsia" w:ascii="仿宋" w:hAnsi="仿宋" w:eastAsia="仿宋" w:cs="仿宋"/>
                <w:bCs/>
                <w:szCs w:val="21"/>
              </w:rPr>
              <w:t>家具</w:t>
            </w:r>
          </w:p>
          <w:p>
            <w:pPr>
              <w:adjustRightInd w:val="0"/>
              <w:snapToGrid w:val="0"/>
              <w:jc w:val="center"/>
              <w:rPr>
                <w:rFonts w:ascii="仿宋" w:hAnsi="仿宋" w:eastAsia="仿宋" w:cs="仿宋"/>
                <w:bCs/>
                <w:szCs w:val="21"/>
              </w:rPr>
            </w:pPr>
            <w:r>
              <w:rPr>
                <w:rFonts w:hint="eastAsia" w:ascii="仿宋" w:hAnsi="仿宋" w:eastAsia="仿宋" w:cs="仿宋"/>
                <w:bCs/>
                <w:szCs w:val="21"/>
              </w:rPr>
              <w:t>制造</w:t>
            </w:r>
          </w:p>
        </w:tc>
        <w:tc>
          <w:tcPr>
            <w:tcW w:w="1955" w:type="dxa"/>
            <w:vMerge w:val="restart"/>
            <w:tcBorders>
              <w:right w:val="single" w:color="auto" w:sz="4" w:space="0"/>
            </w:tcBorders>
            <w:noWrap/>
            <w:vAlign w:val="center"/>
          </w:tcPr>
          <w:p>
            <w:pPr>
              <w:adjustRightInd w:val="0"/>
              <w:snapToGrid w:val="0"/>
              <w:jc w:val="both"/>
              <w:rPr>
                <w:rFonts w:hint="eastAsia" w:ascii="仿宋" w:hAnsi="仿宋" w:eastAsia="仿宋" w:cs="仿宋"/>
                <w:bCs/>
                <w:szCs w:val="21"/>
                <w:lang w:eastAsia="zh-CN"/>
              </w:rPr>
            </w:pPr>
            <w:r>
              <w:rPr>
                <w:rFonts w:hint="eastAsia" w:ascii="仿宋" w:hAnsi="仿宋" w:eastAsia="仿宋" w:cs="仿宋"/>
                <w:bCs/>
                <w:szCs w:val="21"/>
              </w:rPr>
              <w:t>木质家具制造、竹藤家具制造、金属家具制造及其他家具制造</w:t>
            </w:r>
            <w:r>
              <w:rPr>
                <w:rFonts w:hint="eastAsia" w:ascii="仿宋" w:hAnsi="仿宋" w:eastAsia="仿宋" w:cs="仿宋"/>
                <w:bCs/>
                <w:szCs w:val="21"/>
                <w:lang w:eastAsia="zh-CN"/>
              </w:rPr>
              <w:t>。</w:t>
            </w:r>
          </w:p>
        </w:tc>
        <w:tc>
          <w:tcPr>
            <w:tcW w:w="1738" w:type="dxa"/>
            <w:tcBorders>
              <w:left w:val="single" w:color="auto" w:sz="4" w:space="0"/>
            </w:tcBorders>
            <w:noWrap/>
            <w:vAlign w:val="center"/>
          </w:tcPr>
          <w:p>
            <w:pPr>
              <w:adjustRightInd w:val="0"/>
              <w:snapToGrid w:val="0"/>
              <w:jc w:val="left"/>
              <w:rPr>
                <w:rFonts w:ascii="仿宋" w:hAnsi="仿宋" w:eastAsia="仿宋" w:cs="仿宋"/>
                <w:bCs/>
                <w:szCs w:val="21"/>
              </w:rPr>
            </w:pPr>
            <w:r>
              <w:rPr>
                <w:rFonts w:hint="eastAsia" w:ascii="仿宋" w:hAnsi="仿宋" w:eastAsia="仿宋" w:cs="仿宋"/>
                <w:bCs/>
                <w:szCs w:val="21"/>
              </w:rPr>
              <w:t>使用溶剂型涂料</w:t>
            </w:r>
          </w:p>
        </w:tc>
        <w:tc>
          <w:tcPr>
            <w:tcW w:w="3315" w:type="dxa"/>
            <w:noWrap/>
            <w:vAlign w:val="center"/>
          </w:tcPr>
          <w:p>
            <w:pPr>
              <w:adjustRightInd w:val="0"/>
              <w:snapToGrid w:val="0"/>
              <w:jc w:val="left"/>
              <w:rPr>
                <w:rFonts w:ascii="仿宋" w:hAnsi="仿宋" w:eastAsia="仿宋" w:cs="仿宋"/>
                <w:bCs/>
                <w:szCs w:val="21"/>
              </w:rPr>
            </w:pPr>
            <w:r>
              <w:rPr>
                <w:rFonts w:hint="eastAsia" w:ascii="仿宋" w:hAnsi="仿宋" w:eastAsia="仿宋" w:cs="仿宋"/>
                <w:bCs/>
                <w:szCs w:val="21"/>
              </w:rPr>
              <w:t>施胶、调漆、供漆、涂装、干燥/烘干等涉VOCs排放工序停产；禁止使用国四及以下重型载货车辆（含燃气）进行物料运输。</w:t>
            </w:r>
          </w:p>
        </w:tc>
        <w:tc>
          <w:tcPr>
            <w:tcW w:w="3221" w:type="dxa"/>
            <w:noWrap/>
            <w:vAlign w:val="center"/>
          </w:tcPr>
          <w:p>
            <w:pPr>
              <w:adjustRightInd w:val="0"/>
              <w:snapToGrid w:val="0"/>
              <w:jc w:val="left"/>
              <w:rPr>
                <w:rFonts w:ascii="仿宋" w:hAnsi="仿宋" w:eastAsia="仿宋" w:cs="仿宋"/>
                <w:bCs/>
                <w:szCs w:val="21"/>
              </w:rPr>
            </w:pPr>
            <w:r>
              <w:rPr>
                <w:rFonts w:hint="eastAsia" w:ascii="仿宋" w:hAnsi="仿宋" w:eastAsia="仿宋" w:cs="仿宋"/>
                <w:bCs/>
                <w:szCs w:val="21"/>
              </w:rPr>
              <w:t>停产，停产工序包括施胶、调漆、供漆、涂装、干燥/烘干等涉VOCs排放工序；禁止使用国四及以下重型载货车辆（含燃气）进行物料运输。</w:t>
            </w:r>
          </w:p>
        </w:tc>
        <w:tc>
          <w:tcPr>
            <w:tcW w:w="3389" w:type="dxa"/>
            <w:noWrap/>
            <w:vAlign w:val="center"/>
          </w:tcPr>
          <w:p>
            <w:pPr>
              <w:adjustRightInd w:val="0"/>
              <w:snapToGrid w:val="0"/>
              <w:jc w:val="left"/>
              <w:rPr>
                <w:rFonts w:ascii="仿宋" w:hAnsi="仿宋" w:eastAsia="仿宋" w:cs="仿宋"/>
                <w:bCs/>
                <w:szCs w:val="21"/>
              </w:rPr>
            </w:pPr>
            <w:r>
              <w:rPr>
                <w:rFonts w:hint="eastAsia" w:ascii="仿宋" w:hAnsi="仿宋" w:eastAsia="仿宋" w:cs="仿宋"/>
                <w:bCs/>
                <w:szCs w:val="21"/>
              </w:rPr>
              <w:t>停产，停产工序包括施胶、调漆、供漆、涂装、干燥/烘干等涉VOCs排放工序；禁止使用国四及以下重型载货车辆（含燃气）进行物料运输。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6" w:type="dxa"/>
          <w:trHeight w:val="146" w:hRule="atLeast"/>
          <w:jc w:val="center"/>
        </w:trPr>
        <w:tc>
          <w:tcPr>
            <w:tcW w:w="637" w:type="dxa"/>
            <w:vMerge w:val="continue"/>
            <w:noWrap/>
            <w:vAlign w:val="center"/>
          </w:tcPr>
          <w:p>
            <w:pPr>
              <w:adjustRightInd w:val="0"/>
              <w:snapToGrid w:val="0"/>
              <w:jc w:val="center"/>
              <w:rPr>
                <w:rFonts w:ascii="仿宋" w:hAnsi="仿宋" w:eastAsia="仿宋" w:cs="仿宋"/>
                <w:bCs/>
                <w:szCs w:val="21"/>
              </w:rPr>
            </w:pPr>
          </w:p>
        </w:tc>
        <w:tc>
          <w:tcPr>
            <w:tcW w:w="974" w:type="dxa"/>
            <w:vMerge w:val="continue"/>
            <w:noWrap/>
            <w:vAlign w:val="center"/>
          </w:tcPr>
          <w:p>
            <w:pPr>
              <w:adjustRightInd w:val="0"/>
              <w:snapToGrid w:val="0"/>
              <w:jc w:val="center"/>
              <w:rPr>
                <w:rFonts w:ascii="仿宋" w:hAnsi="仿宋" w:eastAsia="仿宋" w:cs="仿宋"/>
                <w:bCs/>
                <w:szCs w:val="21"/>
              </w:rPr>
            </w:pPr>
          </w:p>
        </w:tc>
        <w:tc>
          <w:tcPr>
            <w:tcW w:w="1955" w:type="dxa"/>
            <w:vMerge w:val="continue"/>
            <w:tcBorders>
              <w:right w:val="single" w:color="auto" w:sz="4" w:space="0"/>
            </w:tcBorders>
            <w:noWrap/>
            <w:vAlign w:val="center"/>
          </w:tcPr>
          <w:p>
            <w:pPr>
              <w:adjustRightInd w:val="0"/>
              <w:snapToGrid w:val="0"/>
              <w:jc w:val="both"/>
              <w:rPr>
                <w:rFonts w:ascii="仿宋" w:hAnsi="仿宋" w:eastAsia="仿宋" w:cs="仿宋"/>
                <w:bCs/>
                <w:szCs w:val="21"/>
              </w:rPr>
            </w:pPr>
          </w:p>
        </w:tc>
        <w:tc>
          <w:tcPr>
            <w:tcW w:w="1738" w:type="dxa"/>
            <w:tcBorders>
              <w:left w:val="single" w:color="auto" w:sz="4" w:space="0"/>
            </w:tcBorders>
            <w:noWrap/>
            <w:vAlign w:val="center"/>
          </w:tcPr>
          <w:p>
            <w:pPr>
              <w:adjustRightInd w:val="0"/>
              <w:snapToGrid w:val="0"/>
              <w:jc w:val="left"/>
              <w:rPr>
                <w:rFonts w:ascii="仿宋" w:hAnsi="仿宋" w:eastAsia="仿宋" w:cs="仿宋"/>
                <w:bCs/>
                <w:szCs w:val="21"/>
              </w:rPr>
            </w:pPr>
            <w:r>
              <w:rPr>
                <w:rFonts w:hint="eastAsia" w:ascii="仿宋" w:hAnsi="仿宋" w:eastAsia="仿宋" w:cs="仿宋"/>
                <w:bCs/>
                <w:szCs w:val="21"/>
              </w:rPr>
              <w:t>使用非溶剂型涂料</w:t>
            </w:r>
          </w:p>
        </w:tc>
        <w:tc>
          <w:tcPr>
            <w:tcW w:w="3315" w:type="dxa"/>
            <w:noWrap/>
            <w:vAlign w:val="center"/>
          </w:tcPr>
          <w:p>
            <w:pPr>
              <w:adjustRightInd w:val="0"/>
              <w:snapToGrid w:val="0"/>
              <w:jc w:val="left"/>
              <w:rPr>
                <w:rFonts w:ascii="仿宋" w:hAnsi="仿宋" w:eastAsia="仿宋" w:cs="仿宋"/>
                <w:bCs/>
                <w:szCs w:val="21"/>
              </w:rPr>
            </w:pPr>
            <w:r>
              <w:rPr>
                <w:rFonts w:hint="eastAsia" w:ascii="仿宋" w:hAnsi="仿宋" w:eastAsia="仿宋" w:cs="仿宋"/>
                <w:bCs/>
                <w:szCs w:val="21"/>
              </w:rPr>
              <w:t>施胶、调漆、供漆、涂装、干燥/烘干等涉VOCs 排放工序停产；禁止使用国四及以下重型载货车辆（含燃气）进行物料运输。</w:t>
            </w:r>
          </w:p>
        </w:tc>
        <w:tc>
          <w:tcPr>
            <w:tcW w:w="3221" w:type="dxa"/>
            <w:noWrap/>
            <w:vAlign w:val="center"/>
          </w:tcPr>
          <w:p>
            <w:pPr>
              <w:adjustRightInd w:val="0"/>
              <w:snapToGrid w:val="0"/>
              <w:jc w:val="left"/>
              <w:rPr>
                <w:rFonts w:ascii="仿宋" w:hAnsi="仿宋" w:eastAsia="仿宋" w:cs="仿宋"/>
                <w:bCs/>
                <w:szCs w:val="21"/>
              </w:rPr>
            </w:pPr>
            <w:r>
              <w:rPr>
                <w:rFonts w:hint="eastAsia" w:ascii="仿宋" w:hAnsi="仿宋" w:eastAsia="仿宋" w:cs="仿宋"/>
                <w:bCs/>
                <w:szCs w:val="21"/>
              </w:rPr>
              <w:t>停产50%（含）以上，以生产线计；禁止使用国四及以下重型载货车辆（含燃气）进行物料运输。</w:t>
            </w:r>
          </w:p>
        </w:tc>
        <w:tc>
          <w:tcPr>
            <w:tcW w:w="3389" w:type="dxa"/>
            <w:noWrap/>
            <w:vAlign w:val="center"/>
          </w:tcPr>
          <w:p>
            <w:pPr>
              <w:adjustRightInd w:val="0"/>
              <w:snapToGrid w:val="0"/>
              <w:jc w:val="left"/>
              <w:rPr>
                <w:rFonts w:ascii="仿宋" w:hAnsi="仿宋" w:eastAsia="仿宋" w:cs="仿宋"/>
                <w:bCs/>
                <w:szCs w:val="21"/>
              </w:rPr>
            </w:pPr>
            <w:r>
              <w:rPr>
                <w:rFonts w:hint="eastAsia" w:ascii="仿宋" w:hAnsi="仿宋" w:eastAsia="仿宋" w:cs="仿宋"/>
                <w:bCs/>
                <w:szCs w:val="21"/>
              </w:rPr>
              <w:t>禁止使用国四及以下重型载货车辆（含燃气）进行物料运输。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6" w:type="dxa"/>
          <w:trHeight w:val="1332" w:hRule="atLeast"/>
          <w:jc w:val="center"/>
        </w:trPr>
        <w:tc>
          <w:tcPr>
            <w:tcW w:w="637" w:type="dxa"/>
            <w:vMerge w:val="restart"/>
            <w:noWrap/>
            <w:vAlign w:val="center"/>
          </w:tcPr>
          <w:p>
            <w:pPr>
              <w:adjustRightInd w:val="0"/>
              <w:snapToGrid w:val="0"/>
              <w:jc w:val="center"/>
              <w:rPr>
                <w:rFonts w:ascii="仿宋" w:hAnsi="仿宋" w:eastAsia="仿宋" w:cs="仿宋"/>
                <w:bCs/>
                <w:szCs w:val="21"/>
              </w:rPr>
            </w:pPr>
            <w:r>
              <w:rPr>
                <w:rFonts w:hint="eastAsia" w:ascii="仿宋" w:hAnsi="仿宋" w:eastAsia="仿宋" w:cs="仿宋"/>
                <w:bCs/>
                <w:szCs w:val="21"/>
              </w:rPr>
              <w:t>12</w:t>
            </w:r>
          </w:p>
        </w:tc>
        <w:tc>
          <w:tcPr>
            <w:tcW w:w="974" w:type="dxa"/>
            <w:vMerge w:val="restart"/>
            <w:noWrap/>
            <w:vAlign w:val="center"/>
          </w:tcPr>
          <w:p>
            <w:pPr>
              <w:adjustRightInd w:val="0"/>
              <w:snapToGrid w:val="0"/>
              <w:jc w:val="center"/>
              <w:rPr>
                <w:rFonts w:hint="eastAsia" w:ascii="仿宋" w:hAnsi="仿宋" w:eastAsia="仿宋" w:cs="仿宋"/>
                <w:bCs/>
                <w:szCs w:val="21"/>
              </w:rPr>
            </w:pPr>
            <w:r>
              <w:rPr>
                <w:rFonts w:hint="eastAsia" w:ascii="仿宋" w:hAnsi="仿宋" w:eastAsia="仿宋" w:cs="仿宋"/>
                <w:bCs/>
                <w:szCs w:val="21"/>
              </w:rPr>
              <w:t>人造</w:t>
            </w:r>
          </w:p>
          <w:p>
            <w:pPr>
              <w:adjustRightInd w:val="0"/>
              <w:snapToGrid w:val="0"/>
              <w:jc w:val="center"/>
              <w:rPr>
                <w:rFonts w:hint="eastAsia" w:ascii="仿宋" w:hAnsi="仿宋" w:eastAsia="仿宋" w:cs="仿宋"/>
                <w:bCs/>
                <w:szCs w:val="21"/>
              </w:rPr>
            </w:pPr>
            <w:r>
              <w:rPr>
                <w:rFonts w:hint="eastAsia" w:ascii="仿宋" w:hAnsi="仿宋" w:eastAsia="仿宋" w:cs="仿宋"/>
                <w:bCs/>
                <w:szCs w:val="21"/>
              </w:rPr>
              <w:t>板制</w:t>
            </w:r>
          </w:p>
          <w:p>
            <w:pPr>
              <w:adjustRightInd w:val="0"/>
              <w:snapToGrid w:val="0"/>
              <w:jc w:val="center"/>
              <w:rPr>
                <w:rFonts w:ascii="仿宋" w:hAnsi="仿宋" w:eastAsia="仿宋" w:cs="仿宋"/>
                <w:bCs/>
                <w:szCs w:val="21"/>
              </w:rPr>
            </w:pPr>
            <w:r>
              <w:rPr>
                <w:rFonts w:hint="eastAsia" w:ascii="仿宋" w:hAnsi="仿宋" w:eastAsia="仿宋" w:cs="仿宋"/>
                <w:bCs/>
                <w:szCs w:val="21"/>
              </w:rPr>
              <w:t>造</w:t>
            </w:r>
          </w:p>
        </w:tc>
        <w:tc>
          <w:tcPr>
            <w:tcW w:w="1955" w:type="dxa"/>
            <w:vMerge w:val="restart"/>
            <w:tcBorders>
              <w:right w:val="single" w:color="auto" w:sz="4" w:space="0"/>
            </w:tcBorders>
            <w:noWrap/>
            <w:vAlign w:val="center"/>
          </w:tcPr>
          <w:p>
            <w:pPr>
              <w:adjustRightInd w:val="0"/>
              <w:snapToGrid w:val="0"/>
              <w:jc w:val="both"/>
              <w:rPr>
                <w:rFonts w:hint="eastAsia" w:ascii="仿宋" w:hAnsi="仿宋" w:eastAsia="仿宋" w:cs="仿宋"/>
                <w:bCs/>
                <w:szCs w:val="21"/>
                <w:lang w:eastAsia="zh-CN"/>
              </w:rPr>
            </w:pPr>
            <w:r>
              <w:rPr>
                <w:rFonts w:hint="eastAsia" w:ascii="仿宋" w:hAnsi="仿宋" w:eastAsia="仿宋" w:cs="仿宋"/>
                <w:bCs/>
                <w:szCs w:val="21"/>
              </w:rPr>
              <w:t>包括胶合板制造、纤维板制造、刨花板制造、细木工板制造等</w:t>
            </w:r>
            <w:r>
              <w:rPr>
                <w:rFonts w:hint="eastAsia" w:ascii="仿宋" w:hAnsi="仿宋" w:eastAsia="仿宋" w:cs="仿宋"/>
                <w:bCs/>
                <w:szCs w:val="21"/>
                <w:lang w:eastAsia="zh-CN"/>
              </w:rPr>
              <w:t>。</w:t>
            </w:r>
          </w:p>
        </w:tc>
        <w:tc>
          <w:tcPr>
            <w:tcW w:w="1738" w:type="dxa"/>
            <w:tcBorders>
              <w:left w:val="single" w:color="auto" w:sz="4" w:space="0"/>
            </w:tcBorders>
            <w:noWrap/>
            <w:vAlign w:val="center"/>
          </w:tcPr>
          <w:p>
            <w:pPr>
              <w:adjustRightInd w:val="0"/>
              <w:snapToGrid w:val="0"/>
              <w:jc w:val="left"/>
              <w:rPr>
                <w:rFonts w:ascii="仿宋" w:hAnsi="仿宋" w:eastAsia="仿宋" w:cs="仿宋"/>
                <w:bCs/>
                <w:szCs w:val="21"/>
              </w:rPr>
            </w:pPr>
            <w:r>
              <w:rPr>
                <w:rFonts w:hint="eastAsia" w:ascii="仿宋" w:hAnsi="仿宋" w:eastAsia="仿宋" w:cs="仿宋"/>
                <w:bCs/>
                <w:szCs w:val="21"/>
              </w:rPr>
              <w:t>未使用燃气（低氮燃烧）、电加热、生物质锅炉的企业</w:t>
            </w:r>
          </w:p>
        </w:tc>
        <w:tc>
          <w:tcPr>
            <w:tcW w:w="3315" w:type="dxa"/>
            <w:noWrap/>
            <w:vAlign w:val="center"/>
          </w:tcPr>
          <w:p>
            <w:pPr>
              <w:adjustRightInd w:val="0"/>
              <w:snapToGrid w:val="0"/>
              <w:jc w:val="left"/>
              <w:rPr>
                <w:rFonts w:ascii="仿宋" w:hAnsi="仿宋" w:eastAsia="仿宋" w:cs="仿宋"/>
                <w:bCs/>
                <w:szCs w:val="21"/>
              </w:rPr>
            </w:pPr>
            <w:r>
              <w:rPr>
                <w:rFonts w:hint="eastAsia" w:ascii="仿宋" w:hAnsi="仿宋" w:eastAsia="仿宋" w:cs="仿宋"/>
                <w:bCs/>
                <w:szCs w:val="21"/>
              </w:rPr>
              <w:t>调胶、施胶、预压、热压、干燥等涉VOCs 排放工序停产；禁止使用国四及以下重型载货车辆（含燃气）进行物料运输。</w:t>
            </w:r>
          </w:p>
        </w:tc>
        <w:tc>
          <w:tcPr>
            <w:tcW w:w="3221" w:type="dxa"/>
            <w:noWrap/>
            <w:vAlign w:val="center"/>
          </w:tcPr>
          <w:p>
            <w:pPr>
              <w:adjustRightInd w:val="0"/>
              <w:snapToGrid w:val="0"/>
              <w:jc w:val="left"/>
              <w:rPr>
                <w:rFonts w:ascii="仿宋" w:hAnsi="仿宋" w:eastAsia="仿宋" w:cs="仿宋"/>
                <w:bCs/>
                <w:szCs w:val="21"/>
              </w:rPr>
            </w:pPr>
            <w:r>
              <w:rPr>
                <w:rFonts w:hint="eastAsia" w:ascii="仿宋" w:hAnsi="仿宋" w:eastAsia="仿宋" w:cs="仿宋"/>
                <w:bCs/>
                <w:szCs w:val="21"/>
              </w:rPr>
              <w:t>调胶、施胶、预压、热压、干燥等涉VOCs 排放工序停产；禁止使用国四及以下重型载货车辆（含燃气）进行物料运输。</w:t>
            </w:r>
          </w:p>
        </w:tc>
        <w:tc>
          <w:tcPr>
            <w:tcW w:w="3389" w:type="dxa"/>
            <w:noWrap/>
            <w:vAlign w:val="center"/>
          </w:tcPr>
          <w:p>
            <w:pPr>
              <w:adjustRightInd w:val="0"/>
              <w:snapToGrid w:val="0"/>
              <w:jc w:val="left"/>
              <w:rPr>
                <w:rFonts w:ascii="仿宋" w:hAnsi="仿宋" w:eastAsia="仿宋" w:cs="仿宋"/>
                <w:bCs/>
                <w:szCs w:val="21"/>
              </w:rPr>
            </w:pPr>
            <w:r>
              <w:rPr>
                <w:rFonts w:hint="eastAsia" w:ascii="仿宋" w:hAnsi="仿宋" w:eastAsia="仿宋" w:cs="仿宋"/>
                <w:bCs/>
                <w:szCs w:val="21"/>
              </w:rPr>
              <w:t>调胶、施胶、预压、热压、干燥等涉 VOCs 排放工序停产；禁止使用国四及以下重型载货车辆（含燃气）进行物料运输。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6" w:type="dxa"/>
          <w:trHeight w:val="1521" w:hRule="atLeast"/>
          <w:jc w:val="center"/>
        </w:trPr>
        <w:tc>
          <w:tcPr>
            <w:tcW w:w="637" w:type="dxa"/>
            <w:vMerge w:val="continue"/>
            <w:noWrap/>
            <w:vAlign w:val="center"/>
          </w:tcPr>
          <w:p>
            <w:pPr>
              <w:adjustRightInd w:val="0"/>
              <w:snapToGrid w:val="0"/>
              <w:jc w:val="center"/>
              <w:rPr>
                <w:rFonts w:ascii="仿宋" w:hAnsi="仿宋" w:eastAsia="仿宋" w:cs="仿宋"/>
                <w:bCs/>
                <w:szCs w:val="21"/>
              </w:rPr>
            </w:pPr>
          </w:p>
        </w:tc>
        <w:tc>
          <w:tcPr>
            <w:tcW w:w="974" w:type="dxa"/>
            <w:vMerge w:val="continue"/>
            <w:noWrap/>
            <w:vAlign w:val="center"/>
          </w:tcPr>
          <w:p>
            <w:pPr>
              <w:adjustRightInd w:val="0"/>
              <w:snapToGrid w:val="0"/>
              <w:jc w:val="center"/>
              <w:rPr>
                <w:rFonts w:ascii="仿宋" w:hAnsi="仿宋" w:eastAsia="仿宋" w:cs="仿宋"/>
                <w:bCs/>
                <w:szCs w:val="21"/>
              </w:rPr>
            </w:pPr>
          </w:p>
        </w:tc>
        <w:tc>
          <w:tcPr>
            <w:tcW w:w="1955" w:type="dxa"/>
            <w:vMerge w:val="continue"/>
            <w:tcBorders>
              <w:right w:val="single" w:color="auto" w:sz="4" w:space="0"/>
            </w:tcBorders>
            <w:noWrap/>
            <w:vAlign w:val="center"/>
          </w:tcPr>
          <w:p>
            <w:pPr>
              <w:adjustRightInd w:val="0"/>
              <w:snapToGrid w:val="0"/>
              <w:jc w:val="both"/>
              <w:rPr>
                <w:rFonts w:ascii="仿宋" w:hAnsi="仿宋" w:eastAsia="仿宋" w:cs="仿宋"/>
                <w:bCs/>
                <w:szCs w:val="21"/>
              </w:rPr>
            </w:pPr>
          </w:p>
        </w:tc>
        <w:tc>
          <w:tcPr>
            <w:tcW w:w="1738" w:type="dxa"/>
            <w:tcBorders>
              <w:left w:val="single" w:color="auto" w:sz="4" w:space="0"/>
            </w:tcBorders>
            <w:noWrap/>
            <w:vAlign w:val="center"/>
          </w:tcPr>
          <w:p>
            <w:pPr>
              <w:adjustRightInd w:val="0"/>
              <w:snapToGrid w:val="0"/>
              <w:jc w:val="center"/>
              <w:rPr>
                <w:rFonts w:ascii="仿宋" w:hAnsi="仿宋" w:eastAsia="仿宋" w:cs="仿宋"/>
                <w:bCs/>
                <w:szCs w:val="21"/>
              </w:rPr>
            </w:pPr>
            <w:r>
              <w:rPr>
                <w:rFonts w:hint="eastAsia" w:ascii="仿宋" w:hAnsi="仿宋" w:eastAsia="仿宋" w:cs="仿宋"/>
                <w:bCs/>
                <w:szCs w:val="21"/>
              </w:rPr>
              <w:t>其他</w:t>
            </w:r>
          </w:p>
        </w:tc>
        <w:tc>
          <w:tcPr>
            <w:tcW w:w="3315" w:type="dxa"/>
            <w:noWrap/>
            <w:vAlign w:val="center"/>
          </w:tcPr>
          <w:p>
            <w:pPr>
              <w:adjustRightInd w:val="0"/>
              <w:snapToGrid w:val="0"/>
              <w:jc w:val="left"/>
              <w:rPr>
                <w:rFonts w:ascii="仿宋" w:hAnsi="仿宋" w:eastAsia="仿宋" w:cs="仿宋"/>
                <w:bCs/>
                <w:szCs w:val="21"/>
              </w:rPr>
            </w:pPr>
            <w:r>
              <w:rPr>
                <w:rFonts w:hint="eastAsia" w:ascii="仿宋" w:hAnsi="仿宋" w:eastAsia="仿宋" w:cs="仿宋"/>
                <w:bCs/>
                <w:szCs w:val="21"/>
              </w:rPr>
              <w:t>调胶、施胶、预压、热压、干燥等涉VOCs 排放工序停产；禁止使用国四及以下重型载货车辆（含燃气）进行物料运输。</w:t>
            </w:r>
          </w:p>
        </w:tc>
        <w:tc>
          <w:tcPr>
            <w:tcW w:w="3221" w:type="dxa"/>
            <w:noWrap/>
            <w:vAlign w:val="center"/>
          </w:tcPr>
          <w:p>
            <w:pPr>
              <w:adjustRightInd w:val="0"/>
              <w:snapToGrid w:val="0"/>
              <w:jc w:val="left"/>
              <w:rPr>
                <w:rFonts w:ascii="仿宋" w:hAnsi="仿宋" w:eastAsia="仿宋" w:cs="仿宋"/>
                <w:bCs/>
                <w:szCs w:val="21"/>
              </w:rPr>
            </w:pPr>
            <w:r>
              <w:rPr>
                <w:rFonts w:hint="eastAsia" w:ascii="仿宋" w:hAnsi="仿宋" w:eastAsia="仿宋" w:cs="仿宋"/>
                <w:bCs/>
                <w:szCs w:val="21"/>
              </w:rPr>
              <w:t>调胶、施胶、预压、热压、干燥等涉VOCs 排放工序停产；禁止使用国四及以下重型载货车辆（含燃气）进行物料运输。</w:t>
            </w:r>
          </w:p>
        </w:tc>
        <w:tc>
          <w:tcPr>
            <w:tcW w:w="3389" w:type="dxa"/>
            <w:noWrap/>
            <w:vAlign w:val="center"/>
          </w:tcPr>
          <w:p>
            <w:pPr>
              <w:adjustRightInd w:val="0"/>
              <w:snapToGrid w:val="0"/>
              <w:jc w:val="left"/>
              <w:rPr>
                <w:rFonts w:ascii="仿宋" w:hAnsi="仿宋" w:eastAsia="仿宋" w:cs="仿宋"/>
                <w:bCs/>
                <w:szCs w:val="21"/>
              </w:rPr>
            </w:pPr>
            <w:r>
              <w:rPr>
                <w:rFonts w:hint="eastAsia" w:ascii="仿宋" w:hAnsi="仿宋" w:eastAsia="仿宋" w:cs="仿宋"/>
                <w:bCs/>
                <w:szCs w:val="21"/>
              </w:rPr>
              <w:t>禁止使用国四及以下重型载货车辆（含燃气）进行物料运输。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6" w:type="dxa"/>
          <w:trHeight w:val="1276" w:hRule="atLeast"/>
          <w:jc w:val="center"/>
        </w:trPr>
        <w:tc>
          <w:tcPr>
            <w:tcW w:w="637" w:type="dxa"/>
            <w:noWrap/>
            <w:vAlign w:val="center"/>
          </w:tcPr>
          <w:p>
            <w:pPr>
              <w:adjustRightInd w:val="0"/>
              <w:snapToGrid w:val="0"/>
              <w:jc w:val="center"/>
              <w:rPr>
                <w:rFonts w:ascii="仿宋" w:hAnsi="仿宋" w:eastAsia="仿宋" w:cs="仿宋"/>
                <w:bCs/>
                <w:szCs w:val="21"/>
              </w:rPr>
            </w:pPr>
            <w:r>
              <w:rPr>
                <w:rFonts w:hint="eastAsia" w:ascii="仿宋" w:hAnsi="仿宋" w:eastAsia="仿宋" w:cs="仿宋"/>
                <w:bCs/>
                <w:szCs w:val="21"/>
              </w:rPr>
              <w:t>13</w:t>
            </w:r>
          </w:p>
        </w:tc>
        <w:tc>
          <w:tcPr>
            <w:tcW w:w="974" w:type="dxa"/>
            <w:noWrap/>
            <w:vAlign w:val="center"/>
          </w:tcPr>
          <w:p>
            <w:pPr>
              <w:adjustRightInd w:val="0"/>
              <w:snapToGrid w:val="0"/>
              <w:jc w:val="center"/>
              <w:rPr>
                <w:rFonts w:hint="eastAsia" w:ascii="仿宋" w:hAnsi="仿宋" w:eastAsia="仿宋" w:cs="仿宋"/>
                <w:bCs/>
                <w:szCs w:val="21"/>
              </w:rPr>
            </w:pPr>
            <w:r>
              <w:rPr>
                <w:rFonts w:hint="eastAsia" w:ascii="仿宋" w:hAnsi="仿宋" w:eastAsia="仿宋" w:cs="仿宋"/>
                <w:bCs/>
                <w:szCs w:val="21"/>
              </w:rPr>
              <w:t>塑料</w:t>
            </w:r>
          </w:p>
          <w:p>
            <w:pPr>
              <w:adjustRightInd w:val="0"/>
              <w:snapToGrid w:val="0"/>
              <w:jc w:val="center"/>
              <w:rPr>
                <w:rFonts w:ascii="仿宋" w:hAnsi="仿宋" w:eastAsia="仿宋" w:cs="仿宋"/>
                <w:bCs/>
                <w:szCs w:val="21"/>
              </w:rPr>
            </w:pPr>
            <w:r>
              <w:rPr>
                <w:rFonts w:hint="eastAsia" w:ascii="仿宋" w:hAnsi="仿宋" w:eastAsia="仿宋" w:cs="仿宋"/>
                <w:bCs/>
                <w:szCs w:val="21"/>
              </w:rPr>
              <w:t>制造</w:t>
            </w:r>
          </w:p>
        </w:tc>
        <w:tc>
          <w:tcPr>
            <w:tcW w:w="1955" w:type="dxa"/>
            <w:tcBorders>
              <w:right w:val="single" w:color="auto" w:sz="4" w:space="0"/>
            </w:tcBorders>
            <w:noWrap/>
            <w:vAlign w:val="center"/>
          </w:tcPr>
          <w:p>
            <w:pPr>
              <w:adjustRightInd w:val="0"/>
              <w:snapToGrid w:val="0"/>
              <w:jc w:val="both"/>
              <w:rPr>
                <w:rFonts w:hint="eastAsia" w:ascii="仿宋" w:hAnsi="仿宋" w:eastAsia="仿宋" w:cs="仿宋"/>
                <w:bCs/>
                <w:szCs w:val="21"/>
                <w:lang w:eastAsia="zh-CN"/>
              </w:rPr>
            </w:pPr>
            <w:r>
              <w:rPr>
                <w:rFonts w:hint="eastAsia" w:ascii="仿宋" w:hAnsi="仿宋" w:eastAsia="仿宋" w:cs="仿宋"/>
                <w:bCs/>
                <w:szCs w:val="21"/>
              </w:rPr>
              <w:t>包括再生塑料制造、塑料人造革制造、合成革制造</w:t>
            </w:r>
            <w:r>
              <w:rPr>
                <w:rFonts w:hint="eastAsia" w:ascii="仿宋" w:hAnsi="仿宋" w:eastAsia="仿宋" w:cs="仿宋"/>
                <w:bCs/>
                <w:szCs w:val="21"/>
                <w:lang w:eastAsia="zh-CN"/>
              </w:rPr>
              <w:t>。</w:t>
            </w:r>
          </w:p>
        </w:tc>
        <w:tc>
          <w:tcPr>
            <w:tcW w:w="1738" w:type="dxa"/>
            <w:tcBorders>
              <w:left w:val="single" w:color="auto" w:sz="4" w:space="0"/>
            </w:tcBorders>
            <w:noWrap/>
            <w:vAlign w:val="center"/>
          </w:tcPr>
          <w:p>
            <w:pPr>
              <w:adjustRightInd w:val="0"/>
              <w:snapToGrid w:val="0"/>
              <w:jc w:val="left"/>
              <w:rPr>
                <w:rFonts w:ascii="仿宋" w:hAnsi="仿宋" w:eastAsia="仿宋" w:cs="仿宋"/>
                <w:bCs/>
                <w:szCs w:val="21"/>
              </w:rPr>
            </w:pPr>
          </w:p>
        </w:tc>
        <w:tc>
          <w:tcPr>
            <w:tcW w:w="3315" w:type="dxa"/>
            <w:noWrap/>
            <w:vAlign w:val="center"/>
          </w:tcPr>
          <w:p>
            <w:pPr>
              <w:adjustRightInd w:val="0"/>
              <w:snapToGrid w:val="0"/>
              <w:jc w:val="left"/>
              <w:rPr>
                <w:rFonts w:ascii="仿宋" w:hAnsi="仿宋" w:eastAsia="仿宋" w:cs="仿宋"/>
                <w:bCs/>
                <w:szCs w:val="21"/>
              </w:rPr>
            </w:pPr>
            <w:r>
              <w:rPr>
                <w:rFonts w:hint="eastAsia" w:ascii="仿宋" w:hAnsi="仿宋" w:eastAsia="仿宋" w:cs="仿宋"/>
                <w:bCs/>
                <w:szCs w:val="21"/>
              </w:rPr>
              <w:t>停产；禁止使用国四及以下重型载货车辆（含燃气）进行物料运输。</w:t>
            </w:r>
          </w:p>
        </w:tc>
        <w:tc>
          <w:tcPr>
            <w:tcW w:w="3221" w:type="dxa"/>
            <w:noWrap/>
            <w:vAlign w:val="center"/>
          </w:tcPr>
          <w:p>
            <w:pPr>
              <w:adjustRightInd w:val="0"/>
              <w:snapToGrid w:val="0"/>
              <w:jc w:val="left"/>
              <w:rPr>
                <w:rFonts w:ascii="仿宋" w:hAnsi="仿宋" w:eastAsia="仿宋" w:cs="仿宋"/>
                <w:bCs/>
                <w:szCs w:val="21"/>
              </w:rPr>
            </w:pPr>
            <w:r>
              <w:rPr>
                <w:rFonts w:hint="eastAsia" w:ascii="仿宋" w:hAnsi="仿宋" w:eastAsia="仿宋" w:cs="仿宋"/>
                <w:bCs/>
                <w:szCs w:val="21"/>
              </w:rPr>
              <w:t>停产；禁止使用国四及以下重型载货车辆（含燃气）进行物料运输。</w:t>
            </w:r>
          </w:p>
        </w:tc>
        <w:tc>
          <w:tcPr>
            <w:tcW w:w="3389" w:type="dxa"/>
            <w:noWrap/>
            <w:vAlign w:val="center"/>
          </w:tcPr>
          <w:p>
            <w:pPr>
              <w:adjustRightInd w:val="0"/>
              <w:snapToGrid w:val="0"/>
              <w:jc w:val="left"/>
              <w:rPr>
                <w:rFonts w:ascii="仿宋" w:hAnsi="仿宋" w:eastAsia="仿宋" w:cs="仿宋"/>
                <w:bCs/>
                <w:szCs w:val="21"/>
              </w:rPr>
            </w:pPr>
            <w:r>
              <w:rPr>
                <w:rFonts w:hint="eastAsia" w:ascii="仿宋" w:hAnsi="仿宋" w:eastAsia="仿宋" w:cs="仿宋"/>
                <w:bCs/>
                <w:szCs w:val="21"/>
              </w:rPr>
              <w:t>停产 50%（含）以上，以生产线计；禁止使用国四及以下重型载货车辆（含燃气）进行物料运输。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6" w:type="dxa"/>
          <w:trHeight w:val="1410" w:hRule="atLeast"/>
          <w:jc w:val="center"/>
        </w:trPr>
        <w:tc>
          <w:tcPr>
            <w:tcW w:w="637" w:type="dxa"/>
            <w:vMerge w:val="restart"/>
            <w:noWrap/>
            <w:vAlign w:val="center"/>
          </w:tcPr>
          <w:p>
            <w:pPr>
              <w:adjustRightInd w:val="0"/>
              <w:snapToGrid w:val="0"/>
              <w:jc w:val="center"/>
              <w:rPr>
                <w:rFonts w:ascii="仿宋" w:hAnsi="仿宋" w:eastAsia="仿宋" w:cs="仿宋"/>
                <w:bCs/>
                <w:szCs w:val="21"/>
              </w:rPr>
            </w:pPr>
            <w:r>
              <w:rPr>
                <w:rFonts w:hint="eastAsia" w:ascii="仿宋" w:hAnsi="仿宋" w:eastAsia="仿宋" w:cs="仿宋"/>
                <w:bCs/>
                <w:szCs w:val="21"/>
              </w:rPr>
              <w:t>14</w:t>
            </w:r>
          </w:p>
        </w:tc>
        <w:tc>
          <w:tcPr>
            <w:tcW w:w="974" w:type="dxa"/>
            <w:vMerge w:val="restart"/>
            <w:noWrap/>
            <w:vAlign w:val="center"/>
          </w:tcPr>
          <w:p>
            <w:pPr>
              <w:adjustRightInd w:val="0"/>
              <w:snapToGrid w:val="0"/>
              <w:jc w:val="center"/>
              <w:rPr>
                <w:rFonts w:hint="eastAsia" w:ascii="仿宋" w:hAnsi="仿宋" w:eastAsia="仿宋" w:cs="仿宋"/>
                <w:bCs/>
                <w:szCs w:val="21"/>
              </w:rPr>
            </w:pPr>
            <w:r>
              <w:rPr>
                <w:rFonts w:hint="eastAsia" w:ascii="仿宋" w:hAnsi="仿宋" w:eastAsia="仿宋" w:cs="仿宋"/>
                <w:bCs/>
                <w:szCs w:val="21"/>
              </w:rPr>
              <w:t>工业</w:t>
            </w:r>
          </w:p>
          <w:p>
            <w:pPr>
              <w:adjustRightInd w:val="0"/>
              <w:snapToGrid w:val="0"/>
              <w:jc w:val="center"/>
              <w:rPr>
                <w:rFonts w:ascii="仿宋" w:hAnsi="仿宋" w:eastAsia="仿宋" w:cs="仿宋"/>
                <w:bCs/>
                <w:szCs w:val="21"/>
              </w:rPr>
            </w:pPr>
            <w:r>
              <w:rPr>
                <w:rFonts w:hint="eastAsia" w:ascii="仿宋" w:hAnsi="仿宋" w:eastAsia="仿宋" w:cs="仿宋"/>
                <w:bCs/>
                <w:szCs w:val="21"/>
              </w:rPr>
              <w:t>涂装</w:t>
            </w:r>
          </w:p>
        </w:tc>
        <w:tc>
          <w:tcPr>
            <w:tcW w:w="1955" w:type="dxa"/>
            <w:vMerge w:val="restart"/>
            <w:tcBorders>
              <w:right w:val="single" w:color="auto" w:sz="4" w:space="0"/>
            </w:tcBorders>
            <w:noWrap/>
            <w:vAlign w:val="center"/>
          </w:tcPr>
          <w:p>
            <w:pPr>
              <w:adjustRightInd w:val="0"/>
              <w:snapToGrid w:val="0"/>
              <w:jc w:val="both"/>
              <w:rPr>
                <w:rFonts w:ascii="仿宋" w:hAnsi="仿宋" w:eastAsia="仿宋" w:cs="仿宋"/>
                <w:bCs/>
                <w:szCs w:val="21"/>
              </w:rPr>
            </w:pPr>
            <w:r>
              <w:rPr>
                <w:rFonts w:hint="eastAsia" w:ascii="仿宋" w:hAnsi="仿宋" w:eastAsia="仿宋" w:cs="仿宋"/>
                <w:bCs/>
                <w:szCs w:val="21"/>
              </w:rPr>
              <w:t>金属制品业、通用设备制造业、专用设备制造业、塑料制品、电气机械及器材制造业、通信设备、计算机及其电子设备制造业等行业的工业涂装工序。不包括汽车整车制造、集成电路、汽车修理等行业的工业涂装工序。</w:t>
            </w:r>
          </w:p>
        </w:tc>
        <w:tc>
          <w:tcPr>
            <w:tcW w:w="1738" w:type="dxa"/>
            <w:tcBorders>
              <w:left w:val="single" w:color="auto" w:sz="4" w:space="0"/>
            </w:tcBorders>
            <w:noWrap/>
            <w:vAlign w:val="center"/>
          </w:tcPr>
          <w:p>
            <w:pPr>
              <w:adjustRightInd w:val="0"/>
              <w:snapToGrid w:val="0"/>
              <w:jc w:val="left"/>
              <w:rPr>
                <w:rFonts w:ascii="仿宋" w:hAnsi="仿宋" w:eastAsia="仿宋" w:cs="仿宋"/>
                <w:bCs/>
                <w:szCs w:val="21"/>
              </w:rPr>
            </w:pPr>
            <w:r>
              <w:rPr>
                <w:rFonts w:hint="eastAsia" w:ascii="仿宋" w:hAnsi="仿宋" w:eastAsia="仿宋" w:cs="仿宋"/>
                <w:bCs/>
                <w:szCs w:val="21"/>
              </w:rPr>
              <w:t>使用溶剂型涂料的企业</w:t>
            </w:r>
          </w:p>
        </w:tc>
        <w:tc>
          <w:tcPr>
            <w:tcW w:w="3315" w:type="dxa"/>
            <w:noWrap/>
            <w:vAlign w:val="center"/>
          </w:tcPr>
          <w:p>
            <w:pPr>
              <w:adjustRightInd w:val="0"/>
              <w:snapToGrid w:val="0"/>
              <w:jc w:val="left"/>
              <w:rPr>
                <w:rFonts w:ascii="仿宋" w:hAnsi="仿宋" w:eastAsia="仿宋" w:cs="仿宋"/>
                <w:bCs/>
                <w:szCs w:val="21"/>
              </w:rPr>
            </w:pPr>
            <w:r>
              <w:rPr>
                <w:rFonts w:hint="eastAsia" w:ascii="仿宋" w:hAnsi="仿宋" w:eastAsia="仿宋" w:cs="仿宋"/>
                <w:bCs/>
                <w:szCs w:val="21"/>
              </w:rPr>
              <w:t>调漆、供漆、涂装、干燥/烘干等涉VOCs放工序停产；禁止使用国四及以下重型载货车辆（含燃气）进行物料运输。</w:t>
            </w:r>
          </w:p>
        </w:tc>
        <w:tc>
          <w:tcPr>
            <w:tcW w:w="3221" w:type="dxa"/>
            <w:noWrap/>
            <w:vAlign w:val="center"/>
          </w:tcPr>
          <w:p>
            <w:pPr>
              <w:adjustRightInd w:val="0"/>
              <w:snapToGrid w:val="0"/>
              <w:jc w:val="left"/>
              <w:rPr>
                <w:rFonts w:ascii="仿宋" w:hAnsi="仿宋" w:eastAsia="仿宋" w:cs="仿宋"/>
                <w:bCs/>
                <w:szCs w:val="21"/>
              </w:rPr>
            </w:pPr>
            <w:r>
              <w:rPr>
                <w:rFonts w:hint="eastAsia" w:ascii="仿宋" w:hAnsi="仿宋" w:eastAsia="仿宋" w:cs="仿宋"/>
                <w:bCs/>
                <w:szCs w:val="21"/>
              </w:rPr>
              <w:t>调漆、供漆、涂装、干燥/烘干等涉VOCs排放工序停产；禁止使用国四及以下重型载货车辆（含燃气）进行物料运输。</w:t>
            </w:r>
          </w:p>
        </w:tc>
        <w:tc>
          <w:tcPr>
            <w:tcW w:w="3389" w:type="dxa"/>
            <w:noWrap/>
            <w:vAlign w:val="center"/>
          </w:tcPr>
          <w:p>
            <w:pPr>
              <w:adjustRightInd w:val="0"/>
              <w:snapToGrid w:val="0"/>
              <w:jc w:val="left"/>
              <w:rPr>
                <w:rFonts w:ascii="仿宋" w:hAnsi="仿宋" w:eastAsia="仿宋" w:cs="仿宋"/>
                <w:bCs/>
                <w:szCs w:val="21"/>
              </w:rPr>
            </w:pPr>
            <w:r>
              <w:rPr>
                <w:rFonts w:hint="eastAsia" w:ascii="仿宋" w:hAnsi="仿宋" w:eastAsia="仿宋" w:cs="仿宋"/>
                <w:bCs/>
                <w:szCs w:val="21"/>
              </w:rPr>
              <w:t>调漆、供漆、涂装、干燥/烘干等涉VOCs排放工序停产；禁止使用国四及以下重型载货车辆（含燃气）进行物料运输。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6" w:type="dxa"/>
          <w:trHeight w:val="146" w:hRule="atLeast"/>
          <w:jc w:val="center"/>
        </w:trPr>
        <w:tc>
          <w:tcPr>
            <w:tcW w:w="637" w:type="dxa"/>
            <w:vMerge w:val="continue"/>
            <w:noWrap/>
            <w:vAlign w:val="center"/>
          </w:tcPr>
          <w:p>
            <w:pPr>
              <w:adjustRightInd w:val="0"/>
              <w:snapToGrid w:val="0"/>
              <w:jc w:val="center"/>
              <w:rPr>
                <w:rFonts w:ascii="仿宋" w:hAnsi="仿宋" w:eastAsia="仿宋" w:cs="仿宋"/>
                <w:bCs/>
                <w:szCs w:val="21"/>
              </w:rPr>
            </w:pPr>
          </w:p>
        </w:tc>
        <w:tc>
          <w:tcPr>
            <w:tcW w:w="974" w:type="dxa"/>
            <w:vMerge w:val="continue"/>
            <w:noWrap/>
            <w:vAlign w:val="center"/>
          </w:tcPr>
          <w:p>
            <w:pPr>
              <w:adjustRightInd w:val="0"/>
              <w:snapToGrid w:val="0"/>
              <w:jc w:val="center"/>
              <w:rPr>
                <w:rFonts w:ascii="仿宋" w:hAnsi="仿宋" w:eastAsia="仿宋" w:cs="仿宋"/>
                <w:bCs/>
                <w:szCs w:val="21"/>
              </w:rPr>
            </w:pPr>
          </w:p>
        </w:tc>
        <w:tc>
          <w:tcPr>
            <w:tcW w:w="1955" w:type="dxa"/>
            <w:vMerge w:val="continue"/>
            <w:tcBorders>
              <w:right w:val="single" w:color="auto" w:sz="4" w:space="0"/>
            </w:tcBorders>
            <w:noWrap/>
            <w:vAlign w:val="center"/>
          </w:tcPr>
          <w:p>
            <w:pPr>
              <w:adjustRightInd w:val="0"/>
              <w:snapToGrid w:val="0"/>
              <w:jc w:val="both"/>
              <w:rPr>
                <w:rFonts w:ascii="仿宋" w:hAnsi="仿宋" w:eastAsia="仿宋" w:cs="仿宋"/>
                <w:bCs/>
                <w:szCs w:val="21"/>
              </w:rPr>
            </w:pPr>
          </w:p>
        </w:tc>
        <w:tc>
          <w:tcPr>
            <w:tcW w:w="1738" w:type="dxa"/>
            <w:tcBorders>
              <w:left w:val="single" w:color="auto" w:sz="4" w:space="0"/>
            </w:tcBorders>
            <w:noWrap/>
            <w:vAlign w:val="center"/>
          </w:tcPr>
          <w:p>
            <w:pPr>
              <w:adjustRightInd w:val="0"/>
              <w:snapToGrid w:val="0"/>
              <w:jc w:val="left"/>
              <w:rPr>
                <w:rFonts w:ascii="仿宋" w:hAnsi="仿宋" w:eastAsia="仿宋" w:cs="仿宋"/>
                <w:bCs/>
                <w:szCs w:val="21"/>
              </w:rPr>
            </w:pPr>
            <w:r>
              <w:rPr>
                <w:rFonts w:hint="eastAsia" w:ascii="仿宋" w:hAnsi="仿宋" w:eastAsia="仿宋" w:cs="仿宋"/>
                <w:bCs/>
                <w:szCs w:val="21"/>
              </w:rPr>
              <w:t>使用粉末、水性、高固体分、紫外光固化等低VOCs 含量涂料的企业</w:t>
            </w:r>
          </w:p>
        </w:tc>
        <w:tc>
          <w:tcPr>
            <w:tcW w:w="3315" w:type="dxa"/>
            <w:noWrap/>
            <w:vAlign w:val="center"/>
          </w:tcPr>
          <w:p>
            <w:pPr>
              <w:adjustRightInd w:val="0"/>
              <w:snapToGrid w:val="0"/>
              <w:jc w:val="left"/>
              <w:rPr>
                <w:rFonts w:ascii="仿宋" w:hAnsi="仿宋" w:eastAsia="仿宋" w:cs="仿宋"/>
                <w:bCs/>
                <w:szCs w:val="21"/>
              </w:rPr>
            </w:pPr>
            <w:r>
              <w:rPr>
                <w:rFonts w:hint="eastAsia" w:ascii="仿宋" w:hAnsi="仿宋" w:eastAsia="仿宋" w:cs="仿宋"/>
                <w:bCs/>
                <w:szCs w:val="21"/>
              </w:rPr>
              <w:t>调漆、供漆、涂装、干燥/烘干等涉VOCs排放工序停产；禁止使用国四及以下重型载货车辆（含燃气）进行物料运输。</w:t>
            </w:r>
          </w:p>
        </w:tc>
        <w:tc>
          <w:tcPr>
            <w:tcW w:w="3221" w:type="dxa"/>
            <w:noWrap/>
            <w:vAlign w:val="center"/>
          </w:tcPr>
          <w:p>
            <w:pPr>
              <w:adjustRightInd w:val="0"/>
              <w:snapToGrid w:val="0"/>
              <w:jc w:val="left"/>
              <w:rPr>
                <w:rFonts w:ascii="仿宋" w:hAnsi="仿宋" w:eastAsia="仿宋" w:cs="仿宋"/>
                <w:bCs/>
                <w:szCs w:val="21"/>
              </w:rPr>
            </w:pPr>
            <w:r>
              <w:rPr>
                <w:rFonts w:hint="eastAsia" w:ascii="仿宋" w:hAnsi="仿宋" w:eastAsia="仿宋" w:cs="仿宋"/>
                <w:bCs/>
                <w:szCs w:val="21"/>
              </w:rPr>
              <w:t>调漆、供漆、涂装、干燥/烘干等涉VOCs排放工序停产50%（含）以上，以生产线计；禁止使用国四及以下重型载货车辆（含燃气）进行物料运输。</w:t>
            </w:r>
          </w:p>
        </w:tc>
        <w:tc>
          <w:tcPr>
            <w:tcW w:w="3389" w:type="dxa"/>
            <w:noWrap/>
            <w:vAlign w:val="center"/>
          </w:tcPr>
          <w:p>
            <w:pPr>
              <w:adjustRightInd w:val="0"/>
              <w:snapToGrid w:val="0"/>
              <w:jc w:val="left"/>
              <w:rPr>
                <w:rFonts w:ascii="仿宋" w:hAnsi="仿宋" w:eastAsia="仿宋" w:cs="仿宋"/>
                <w:bCs/>
                <w:szCs w:val="21"/>
              </w:rPr>
            </w:pPr>
            <w:r>
              <w:rPr>
                <w:rFonts w:hint="eastAsia" w:ascii="仿宋" w:hAnsi="仿宋" w:eastAsia="仿宋" w:cs="仿宋"/>
                <w:bCs/>
                <w:szCs w:val="21"/>
              </w:rPr>
              <w:t>禁止使用国四及以下重型载货车辆（含燃气）进行物料运输。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6" w:type="dxa"/>
          <w:trHeight w:val="3197" w:hRule="atLeast"/>
          <w:jc w:val="center"/>
        </w:trPr>
        <w:tc>
          <w:tcPr>
            <w:tcW w:w="637" w:type="dxa"/>
            <w:vMerge w:val="restart"/>
            <w:noWrap/>
            <w:vAlign w:val="center"/>
          </w:tcPr>
          <w:p>
            <w:pPr>
              <w:adjustRightInd w:val="0"/>
              <w:snapToGrid w:val="0"/>
              <w:jc w:val="center"/>
              <w:rPr>
                <w:rFonts w:ascii="仿宋" w:hAnsi="仿宋" w:eastAsia="仿宋" w:cs="仿宋"/>
                <w:bCs/>
                <w:szCs w:val="21"/>
              </w:rPr>
            </w:pPr>
            <w:r>
              <w:rPr>
                <w:rFonts w:hint="eastAsia" w:ascii="仿宋" w:hAnsi="仿宋" w:eastAsia="仿宋" w:cs="仿宋"/>
                <w:bCs/>
                <w:szCs w:val="21"/>
              </w:rPr>
              <w:t>15</w:t>
            </w:r>
          </w:p>
        </w:tc>
        <w:tc>
          <w:tcPr>
            <w:tcW w:w="974" w:type="dxa"/>
            <w:vMerge w:val="restart"/>
            <w:noWrap/>
            <w:vAlign w:val="center"/>
          </w:tcPr>
          <w:p>
            <w:pPr>
              <w:adjustRightInd w:val="0"/>
              <w:snapToGrid w:val="0"/>
              <w:jc w:val="center"/>
              <w:rPr>
                <w:rFonts w:hint="eastAsia" w:ascii="仿宋" w:hAnsi="仿宋" w:eastAsia="仿宋" w:cs="仿宋"/>
                <w:bCs/>
                <w:szCs w:val="21"/>
              </w:rPr>
            </w:pPr>
            <w:r>
              <w:rPr>
                <w:rFonts w:hint="eastAsia" w:ascii="仿宋" w:hAnsi="仿宋" w:eastAsia="仿宋" w:cs="仿宋"/>
                <w:bCs/>
                <w:szCs w:val="21"/>
              </w:rPr>
              <w:t>饲料</w:t>
            </w:r>
          </w:p>
          <w:p>
            <w:pPr>
              <w:adjustRightInd w:val="0"/>
              <w:snapToGrid w:val="0"/>
              <w:jc w:val="center"/>
              <w:rPr>
                <w:rFonts w:ascii="仿宋" w:hAnsi="仿宋" w:eastAsia="仿宋" w:cs="仿宋"/>
                <w:bCs/>
                <w:szCs w:val="21"/>
              </w:rPr>
            </w:pPr>
            <w:r>
              <w:rPr>
                <w:rFonts w:hint="eastAsia" w:ascii="仿宋" w:hAnsi="仿宋" w:eastAsia="仿宋" w:cs="仿宋"/>
                <w:bCs/>
                <w:szCs w:val="21"/>
              </w:rPr>
              <w:t>加工</w:t>
            </w:r>
          </w:p>
        </w:tc>
        <w:tc>
          <w:tcPr>
            <w:tcW w:w="1955" w:type="dxa"/>
            <w:vMerge w:val="restart"/>
            <w:tcBorders>
              <w:right w:val="single" w:color="auto" w:sz="4" w:space="0"/>
            </w:tcBorders>
            <w:noWrap/>
            <w:vAlign w:val="center"/>
          </w:tcPr>
          <w:p>
            <w:pPr>
              <w:adjustRightInd w:val="0"/>
              <w:snapToGrid w:val="0"/>
              <w:jc w:val="both"/>
              <w:rPr>
                <w:rFonts w:ascii="仿宋" w:hAnsi="仿宋" w:eastAsia="仿宋" w:cs="仿宋"/>
                <w:bCs/>
                <w:szCs w:val="21"/>
              </w:rPr>
            </w:pPr>
            <w:r>
              <w:rPr>
                <w:rFonts w:hint="eastAsia" w:ascii="仿宋" w:hAnsi="仿宋" w:eastAsia="仿宋" w:cs="仿宋"/>
                <w:bCs/>
                <w:szCs w:val="21"/>
              </w:rPr>
              <w:t>包括单一饲料、混合饲料、浓缩饲料、添加剂预混合饲料、混合饲料添加剂、宠物饲料等。</w:t>
            </w:r>
          </w:p>
        </w:tc>
        <w:tc>
          <w:tcPr>
            <w:tcW w:w="1738" w:type="dxa"/>
            <w:tcBorders>
              <w:left w:val="single" w:color="auto" w:sz="4" w:space="0"/>
            </w:tcBorders>
            <w:noWrap/>
            <w:vAlign w:val="center"/>
          </w:tcPr>
          <w:p>
            <w:pPr>
              <w:adjustRightInd w:val="0"/>
              <w:snapToGrid w:val="0"/>
              <w:jc w:val="left"/>
              <w:rPr>
                <w:rFonts w:ascii="仿宋" w:hAnsi="仿宋" w:eastAsia="仿宋" w:cs="仿宋"/>
                <w:bCs/>
                <w:szCs w:val="21"/>
              </w:rPr>
            </w:pPr>
            <w:r>
              <w:rPr>
                <w:rFonts w:hint="eastAsia" w:ascii="仿宋" w:hAnsi="仿宋" w:eastAsia="仿宋" w:cs="仿宋"/>
                <w:bCs/>
                <w:szCs w:val="21"/>
              </w:rPr>
              <w:t>以电、天然气、液化石油气、管道热源（集中供热）为能源，以及以煤为燃料达到超低排放限值；且粉碎、配料、混合、包装等工序颗粒物排放浓度达到10mg/m3以下的饲料加工企业</w:t>
            </w:r>
          </w:p>
        </w:tc>
        <w:tc>
          <w:tcPr>
            <w:tcW w:w="3315" w:type="dxa"/>
            <w:noWrap/>
            <w:vAlign w:val="center"/>
          </w:tcPr>
          <w:p>
            <w:pPr>
              <w:adjustRightInd w:val="0"/>
              <w:snapToGrid w:val="0"/>
              <w:jc w:val="left"/>
              <w:rPr>
                <w:rFonts w:ascii="仿宋" w:hAnsi="仿宋" w:eastAsia="仿宋" w:cs="仿宋"/>
                <w:bCs/>
                <w:szCs w:val="21"/>
              </w:rPr>
            </w:pPr>
            <w:r>
              <w:rPr>
                <w:rFonts w:hint="eastAsia" w:ascii="仿宋" w:hAnsi="仿宋" w:eastAsia="仿宋" w:cs="仿宋"/>
                <w:bCs/>
                <w:szCs w:val="21"/>
              </w:rPr>
              <w:t>禁止使用国四及以下重型载货车辆（含燃气）运输原辅材料和产品。</w:t>
            </w:r>
          </w:p>
        </w:tc>
        <w:tc>
          <w:tcPr>
            <w:tcW w:w="3221" w:type="dxa"/>
            <w:noWrap/>
            <w:vAlign w:val="center"/>
          </w:tcPr>
          <w:p>
            <w:pPr>
              <w:adjustRightInd w:val="0"/>
              <w:snapToGrid w:val="0"/>
              <w:jc w:val="left"/>
              <w:rPr>
                <w:rFonts w:ascii="仿宋" w:hAnsi="仿宋" w:eastAsia="仿宋" w:cs="仿宋"/>
                <w:bCs/>
                <w:szCs w:val="21"/>
              </w:rPr>
            </w:pPr>
            <w:r>
              <w:rPr>
                <w:rFonts w:hint="eastAsia" w:ascii="仿宋" w:hAnsi="仿宋" w:eastAsia="仿宋" w:cs="仿宋"/>
                <w:bCs/>
                <w:szCs w:val="21"/>
              </w:rPr>
              <w:t>禁止使用国四及以下重型载货车辆（含燃气）运输原辅材料和产品。</w:t>
            </w:r>
          </w:p>
        </w:tc>
        <w:tc>
          <w:tcPr>
            <w:tcW w:w="3389" w:type="dxa"/>
            <w:noWrap/>
            <w:vAlign w:val="center"/>
          </w:tcPr>
          <w:p>
            <w:pPr>
              <w:adjustRightInd w:val="0"/>
              <w:snapToGrid w:val="0"/>
              <w:jc w:val="left"/>
              <w:rPr>
                <w:rFonts w:ascii="仿宋" w:hAnsi="仿宋" w:eastAsia="仿宋" w:cs="仿宋"/>
                <w:bCs/>
                <w:szCs w:val="21"/>
              </w:rPr>
            </w:pPr>
            <w:r>
              <w:rPr>
                <w:rFonts w:hint="eastAsia" w:ascii="仿宋" w:hAnsi="仿宋" w:eastAsia="仿宋" w:cs="仿宋"/>
                <w:bCs/>
                <w:szCs w:val="21"/>
              </w:rPr>
              <w:t>禁止使用国四及以下重型载货车辆（含燃气）运输原辅材料和产品。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6" w:type="dxa"/>
          <w:trHeight w:val="146" w:hRule="atLeast"/>
          <w:jc w:val="center"/>
        </w:trPr>
        <w:tc>
          <w:tcPr>
            <w:tcW w:w="637" w:type="dxa"/>
            <w:vMerge w:val="continue"/>
            <w:noWrap/>
            <w:vAlign w:val="center"/>
          </w:tcPr>
          <w:p>
            <w:pPr>
              <w:adjustRightInd w:val="0"/>
              <w:snapToGrid w:val="0"/>
              <w:jc w:val="center"/>
              <w:rPr>
                <w:rFonts w:ascii="仿宋" w:hAnsi="仿宋" w:eastAsia="仿宋" w:cs="仿宋"/>
                <w:bCs/>
                <w:szCs w:val="21"/>
              </w:rPr>
            </w:pPr>
          </w:p>
        </w:tc>
        <w:tc>
          <w:tcPr>
            <w:tcW w:w="974" w:type="dxa"/>
            <w:vMerge w:val="continue"/>
            <w:noWrap/>
            <w:vAlign w:val="center"/>
          </w:tcPr>
          <w:p>
            <w:pPr>
              <w:adjustRightInd w:val="0"/>
              <w:snapToGrid w:val="0"/>
              <w:jc w:val="center"/>
              <w:rPr>
                <w:rFonts w:ascii="仿宋" w:hAnsi="仿宋" w:eastAsia="仿宋" w:cs="仿宋"/>
                <w:bCs/>
                <w:szCs w:val="21"/>
              </w:rPr>
            </w:pPr>
          </w:p>
        </w:tc>
        <w:tc>
          <w:tcPr>
            <w:tcW w:w="1955" w:type="dxa"/>
            <w:vMerge w:val="continue"/>
            <w:tcBorders>
              <w:right w:val="single" w:color="auto" w:sz="4" w:space="0"/>
            </w:tcBorders>
            <w:noWrap/>
            <w:vAlign w:val="center"/>
          </w:tcPr>
          <w:p>
            <w:pPr>
              <w:adjustRightInd w:val="0"/>
              <w:snapToGrid w:val="0"/>
              <w:jc w:val="both"/>
              <w:rPr>
                <w:rFonts w:ascii="仿宋" w:hAnsi="仿宋" w:eastAsia="仿宋" w:cs="仿宋"/>
                <w:bCs/>
                <w:szCs w:val="21"/>
              </w:rPr>
            </w:pPr>
          </w:p>
        </w:tc>
        <w:tc>
          <w:tcPr>
            <w:tcW w:w="1738" w:type="dxa"/>
            <w:tcBorders>
              <w:left w:val="single" w:color="auto" w:sz="4" w:space="0"/>
            </w:tcBorders>
            <w:noWrap/>
            <w:vAlign w:val="center"/>
          </w:tcPr>
          <w:p>
            <w:pPr>
              <w:adjustRightInd w:val="0"/>
              <w:snapToGrid w:val="0"/>
              <w:jc w:val="left"/>
              <w:rPr>
                <w:rFonts w:ascii="仿宋" w:hAnsi="仿宋" w:eastAsia="仿宋" w:cs="仿宋"/>
                <w:bCs/>
                <w:szCs w:val="21"/>
              </w:rPr>
            </w:pPr>
            <w:r>
              <w:rPr>
                <w:rFonts w:hint="eastAsia" w:ascii="仿宋" w:hAnsi="仿宋" w:eastAsia="仿宋" w:cs="仿宋"/>
                <w:bCs/>
                <w:szCs w:val="21"/>
              </w:rPr>
              <w:t>其他饲料加工企业</w:t>
            </w:r>
          </w:p>
        </w:tc>
        <w:tc>
          <w:tcPr>
            <w:tcW w:w="3315" w:type="dxa"/>
            <w:noWrap/>
            <w:vAlign w:val="center"/>
          </w:tcPr>
          <w:p>
            <w:pPr>
              <w:adjustRightInd w:val="0"/>
              <w:snapToGrid w:val="0"/>
              <w:jc w:val="left"/>
              <w:rPr>
                <w:rFonts w:ascii="仿宋" w:hAnsi="仿宋" w:eastAsia="仿宋" w:cs="仿宋"/>
                <w:bCs/>
                <w:szCs w:val="21"/>
              </w:rPr>
            </w:pPr>
            <w:r>
              <w:rPr>
                <w:rFonts w:hint="eastAsia" w:ascii="仿宋" w:hAnsi="仿宋" w:eastAsia="仿宋" w:cs="仿宋"/>
                <w:bCs/>
                <w:szCs w:val="21"/>
              </w:rPr>
              <w:t>粉碎、配料、混合、烘干、包装等工序停产；禁止使用国四及以下重型载货车辆（含燃气）运输原辅材料和产品。</w:t>
            </w:r>
          </w:p>
        </w:tc>
        <w:tc>
          <w:tcPr>
            <w:tcW w:w="3221" w:type="dxa"/>
            <w:noWrap/>
            <w:vAlign w:val="center"/>
          </w:tcPr>
          <w:p>
            <w:pPr>
              <w:adjustRightInd w:val="0"/>
              <w:snapToGrid w:val="0"/>
              <w:jc w:val="left"/>
              <w:rPr>
                <w:rFonts w:ascii="仿宋" w:hAnsi="仿宋" w:eastAsia="仿宋" w:cs="仿宋"/>
                <w:bCs/>
                <w:szCs w:val="21"/>
              </w:rPr>
            </w:pPr>
            <w:r>
              <w:rPr>
                <w:rFonts w:hint="eastAsia" w:ascii="仿宋" w:hAnsi="仿宋" w:eastAsia="仿宋" w:cs="仿宋"/>
                <w:bCs/>
                <w:szCs w:val="21"/>
              </w:rPr>
              <w:t>禁止使用国四及以下重型载货车辆（含燃气）运输原辅材料和产品。</w:t>
            </w:r>
          </w:p>
        </w:tc>
        <w:tc>
          <w:tcPr>
            <w:tcW w:w="3389" w:type="dxa"/>
            <w:noWrap/>
            <w:vAlign w:val="center"/>
          </w:tcPr>
          <w:p>
            <w:pPr>
              <w:adjustRightInd w:val="0"/>
              <w:snapToGrid w:val="0"/>
              <w:jc w:val="left"/>
              <w:rPr>
                <w:rFonts w:ascii="仿宋" w:hAnsi="仿宋" w:eastAsia="仿宋" w:cs="仿宋"/>
                <w:bCs/>
                <w:szCs w:val="21"/>
              </w:rPr>
            </w:pPr>
            <w:r>
              <w:rPr>
                <w:rFonts w:hint="eastAsia" w:ascii="仿宋" w:hAnsi="仿宋" w:eastAsia="仿宋" w:cs="仿宋"/>
                <w:bCs/>
                <w:szCs w:val="21"/>
              </w:rPr>
              <w:t>禁止使用国四及以下重型载货车辆（含燃气）运输原辅材料和产品。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6" w:type="dxa"/>
          <w:trHeight w:val="146" w:hRule="atLeast"/>
          <w:jc w:val="center"/>
        </w:trPr>
        <w:tc>
          <w:tcPr>
            <w:tcW w:w="637" w:type="dxa"/>
            <w:vMerge w:val="restart"/>
            <w:noWrap/>
            <w:vAlign w:val="center"/>
          </w:tcPr>
          <w:p>
            <w:pPr>
              <w:adjustRightInd w:val="0"/>
              <w:snapToGrid w:val="0"/>
              <w:jc w:val="center"/>
              <w:rPr>
                <w:rFonts w:ascii="仿宋" w:hAnsi="仿宋" w:eastAsia="仿宋" w:cs="仿宋"/>
                <w:bCs/>
                <w:szCs w:val="21"/>
              </w:rPr>
            </w:pPr>
            <w:r>
              <w:rPr>
                <w:rFonts w:hint="eastAsia" w:ascii="仿宋" w:hAnsi="仿宋" w:eastAsia="仿宋" w:cs="仿宋"/>
                <w:bCs/>
                <w:szCs w:val="21"/>
              </w:rPr>
              <w:t>16</w:t>
            </w:r>
          </w:p>
        </w:tc>
        <w:tc>
          <w:tcPr>
            <w:tcW w:w="974" w:type="dxa"/>
            <w:vMerge w:val="restart"/>
            <w:noWrap/>
            <w:vAlign w:val="center"/>
          </w:tcPr>
          <w:p>
            <w:pPr>
              <w:adjustRightInd w:val="0"/>
              <w:snapToGrid w:val="0"/>
              <w:jc w:val="center"/>
              <w:rPr>
                <w:rFonts w:hint="eastAsia" w:ascii="仿宋" w:hAnsi="仿宋" w:eastAsia="仿宋" w:cs="仿宋"/>
                <w:bCs/>
                <w:szCs w:val="21"/>
              </w:rPr>
            </w:pPr>
            <w:r>
              <w:rPr>
                <w:rFonts w:hint="eastAsia" w:ascii="仿宋" w:hAnsi="仿宋" w:eastAsia="仿宋" w:cs="仿宋"/>
                <w:bCs/>
                <w:szCs w:val="21"/>
              </w:rPr>
              <w:t>玻璃</w:t>
            </w:r>
          </w:p>
          <w:p>
            <w:pPr>
              <w:adjustRightInd w:val="0"/>
              <w:snapToGrid w:val="0"/>
              <w:jc w:val="center"/>
              <w:rPr>
                <w:rFonts w:hint="eastAsia" w:ascii="仿宋" w:hAnsi="仿宋" w:eastAsia="仿宋" w:cs="仿宋"/>
                <w:bCs/>
                <w:szCs w:val="21"/>
              </w:rPr>
            </w:pPr>
            <w:r>
              <w:rPr>
                <w:rFonts w:hint="eastAsia" w:ascii="仿宋" w:hAnsi="仿宋" w:eastAsia="仿宋" w:cs="仿宋"/>
                <w:bCs/>
                <w:szCs w:val="21"/>
              </w:rPr>
              <w:t>工艺</w:t>
            </w:r>
          </w:p>
          <w:p>
            <w:pPr>
              <w:adjustRightInd w:val="0"/>
              <w:snapToGrid w:val="0"/>
              <w:jc w:val="center"/>
              <w:rPr>
                <w:rFonts w:hint="eastAsia" w:ascii="仿宋" w:hAnsi="仿宋" w:eastAsia="仿宋" w:cs="仿宋"/>
                <w:bCs/>
                <w:szCs w:val="21"/>
              </w:rPr>
            </w:pPr>
            <w:r>
              <w:rPr>
                <w:rFonts w:hint="eastAsia" w:ascii="仿宋" w:hAnsi="仿宋" w:eastAsia="仿宋" w:cs="仿宋"/>
                <w:bCs/>
                <w:szCs w:val="21"/>
              </w:rPr>
              <w:t>品行</w:t>
            </w:r>
          </w:p>
          <w:p>
            <w:pPr>
              <w:adjustRightInd w:val="0"/>
              <w:snapToGrid w:val="0"/>
              <w:jc w:val="center"/>
              <w:rPr>
                <w:rFonts w:ascii="仿宋" w:hAnsi="仿宋" w:eastAsia="仿宋" w:cs="仿宋"/>
                <w:bCs/>
                <w:szCs w:val="21"/>
              </w:rPr>
            </w:pPr>
            <w:r>
              <w:rPr>
                <w:rFonts w:hint="eastAsia" w:ascii="仿宋" w:hAnsi="仿宋" w:eastAsia="仿宋" w:cs="仿宋"/>
                <w:bCs/>
                <w:szCs w:val="21"/>
              </w:rPr>
              <w:t>业</w:t>
            </w:r>
          </w:p>
        </w:tc>
        <w:tc>
          <w:tcPr>
            <w:tcW w:w="1955" w:type="dxa"/>
            <w:vMerge w:val="restart"/>
            <w:tcBorders>
              <w:right w:val="single" w:color="auto" w:sz="4" w:space="0"/>
            </w:tcBorders>
            <w:noWrap/>
            <w:vAlign w:val="center"/>
          </w:tcPr>
          <w:p>
            <w:pPr>
              <w:adjustRightInd w:val="0"/>
              <w:snapToGrid w:val="0"/>
              <w:jc w:val="both"/>
              <w:rPr>
                <w:rFonts w:ascii="仿宋" w:hAnsi="仿宋" w:eastAsia="仿宋" w:cs="仿宋"/>
                <w:bCs/>
                <w:szCs w:val="21"/>
              </w:rPr>
            </w:pPr>
            <w:r>
              <w:rPr>
                <w:rFonts w:hint="eastAsia" w:ascii="仿宋" w:hAnsi="仿宋" w:eastAsia="仿宋" w:cs="仿宋"/>
                <w:bCs/>
                <w:szCs w:val="21"/>
              </w:rPr>
              <w:t>无玻璃熔窑的熔融玻璃工艺品、灯工玻璃工艺品、琉璃工艺品的生产企业。</w:t>
            </w:r>
          </w:p>
        </w:tc>
        <w:tc>
          <w:tcPr>
            <w:tcW w:w="1738" w:type="dxa"/>
            <w:tcBorders>
              <w:left w:val="single" w:color="auto" w:sz="4" w:space="0"/>
            </w:tcBorders>
            <w:noWrap/>
            <w:vAlign w:val="center"/>
          </w:tcPr>
          <w:p>
            <w:pPr>
              <w:adjustRightInd w:val="0"/>
              <w:snapToGrid w:val="0"/>
              <w:jc w:val="left"/>
              <w:rPr>
                <w:rFonts w:ascii="仿宋" w:hAnsi="仿宋" w:eastAsia="仿宋" w:cs="仿宋"/>
                <w:bCs/>
                <w:szCs w:val="21"/>
              </w:rPr>
            </w:pPr>
            <w:r>
              <w:rPr>
                <w:rFonts w:hint="eastAsia" w:ascii="仿宋" w:hAnsi="仿宋" w:eastAsia="仿宋" w:cs="仿宋"/>
                <w:bCs/>
                <w:szCs w:val="21"/>
              </w:rPr>
              <w:t>以天然气、电为能源玻璃工艺品企业</w:t>
            </w:r>
          </w:p>
        </w:tc>
        <w:tc>
          <w:tcPr>
            <w:tcW w:w="3315" w:type="dxa"/>
            <w:noWrap/>
            <w:vAlign w:val="center"/>
          </w:tcPr>
          <w:p>
            <w:pPr>
              <w:adjustRightInd w:val="0"/>
              <w:snapToGrid w:val="0"/>
              <w:jc w:val="left"/>
              <w:rPr>
                <w:rFonts w:ascii="仿宋" w:hAnsi="仿宋" w:eastAsia="仿宋" w:cs="仿宋"/>
                <w:bCs/>
                <w:szCs w:val="21"/>
              </w:rPr>
            </w:pPr>
            <w:r>
              <w:rPr>
                <w:rFonts w:hint="eastAsia" w:ascii="仿宋" w:hAnsi="仿宋" w:eastAsia="仿宋" w:cs="仿宋"/>
                <w:bCs/>
                <w:szCs w:val="21"/>
              </w:rPr>
              <w:t>喷涂、烘干工序停产；禁止使用国四及以下重型载货车辆（含燃气）运输原辅材料和产品。</w:t>
            </w:r>
          </w:p>
        </w:tc>
        <w:tc>
          <w:tcPr>
            <w:tcW w:w="3221" w:type="dxa"/>
            <w:noWrap/>
            <w:vAlign w:val="center"/>
          </w:tcPr>
          <w:p>
            <w:pPr>
              <w:adjustRightInd w:val="0"/>
              <w:snapToGrid w:val="0"/>
              <w:jc w:val="left"/>
              <w:rPr>
                <w:rFonts w:ascii="仿宋" w:hAnsi="仿宋" w:eastAsia="仿宋" w:cs="仿宋"/>
                <w:bCs/>
                <w:szCs w:val="21"/>
              </w:rPr>
            </w:pPr>
            <w:r>
              <w:rPr>
                <w:rFonts w:hint="eastAsia" w:ascii="仿宋" w:hAnsi="仿宋" w:eastAsia="仿宋" w:cs="仿宋"/>
                <w:bCs/>
                <w:szCs w:val="21"/>
              </w:rPr>
              <w:t>喷涂、烘干工序停产；禁止使用国四及以下重型载货车辆（含燃气）运输原辅材料和产品。</w:t>
            </w:r>
          </w:p>
        </w:tc>
        <w:tc>
          <w:tcPr>
            <w:tcW w:w="3389" w:type="dxa"/>
            <w:noWrap/>
            <w:vAlign w:val="center"/>
          </w:tcPr>
          <w:p>
            <w:pPr>
              <w:adjustRightInd w:val="0"/>
              <w:snapToGrid w:val="0"/>
              <w:jc w:val="left"/>
              <w:rPr>
                <w:rFonts w:ascii="仿宋" w:hAnsi="仿宋" w:eastAsia="仿宋" w:cs="仿宋"/>
                <w:bCs/>
                <w:szCs w:val="21"/>
              </w:rPr>
            </w:pPr>
            <w:r>
              <w:rPr>
                <w:rFonts w:hint="eastAsia" w:ascii="仿宋" w:hAnsi="仿宋" w:eastAsia="仿宋" w:cs="仿宋"/>
                <w:bCs/>
                <w:szCs w:val="21"/>
              </w:rPr>
              <w:t>禁止使用国四及以下重型载货车辆（含燃气）运输原辅材料和产品。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6" w:type="dxa"/>
          <w:trHeight w:val="146" w:hRule="atLeast"/>
          <w:jc w:val="center"/>
        </w:trPr>
        <w:tc>
          <w:tcPr>
            <w:tcW w:w="637" w:type="dxa"/>
            <w:vMerge w:val="continue"/>
            <w:noWrap/>
            <w:vAlign w:val="center"/>
          </w:tcPr>
          <w:p>
            <w:pPr>
              <w:adjustRightInd w:val="0"/>
              <w:snapToGrid w:val="0"/>
              <w:jc w:val="center"/>
              <w:rPr>
                <w:rFonts w:ascii="仿宋" w:hAnsi="仿宋" w:eastAsia="仿宋" w:cs="仿宋"/>
                <w:bCs/>
                <w:szCs w:val="21"/>
              </w:rPr>
            </w:pPr>
          </w:p>
        </w:tc>
        <w:tc>
          <w:tcPr>
            <w:tcW w:w="974" w:type="dxa"/>
            <w:vMerge w:val="continue"/>
            <w:noWrap/>
            <w:vAlign w:val="center"/>
          </w:tcPr>
          <w:p>
            <w:pPr>
              <w:adjustRightInd w:val="0"/>
              <w:snapToGrid w:val="0"/>
              <w:jc w:val="center"/>
              <w:rPr>
                <w:rFonts w:ascii="仿宋" w:hAnsi="仿宋" w:eastAsia="仿宋" w:cs="仿宋"/>
                <w:bCs/>
                <w:szCs w:val="21"/>
              </w:rPr>
            </w:pPr>
          </w:p>
        </w:tc>
        <w:tc>
          <w:tcPr>
            <w:tcW w:w="1955" w:type="dxa"/>
            <w:vMerge w:val="continue"/>
            <w:tcBorders>
              <w:right w:val="single" w:color="auto" w:sz="4" w:space="0"/>
            </w:tcBorders>
            <w:noWrap/>
            <w:vAlign w:val="center"/>
          </w:tcPr>
          <w:p>
            <w:pPr>
              <w:adjustRightInd w:val="0"/>
              <w:snapToGrid w:val="0"/>
              <w:jc w:val="both"/>
              <w:rPr>
                <w:rFonts w:ascii="仿宋" w:hAnsi="仿宋" w:eastAsia="仿宋" w:cs="仿宋"/>
                <w:bCs/>
                <w:szCs w:val="21"/>
              </w:rPr>
            </w:pPr>
          </w:p>
        </w:tc>
        <w:tc>
          <w:tcPr>
            <w:tcW w:w="1738" w:type="dxa"/>
            <w:tcBorders>
              <w:left w:val="single" w:color="auto" w:sz="4" w:space="0"/>
            </w:tcBorders>
            <w:noWrap/>
            <w:vAlign w:val="center"/>
          </w:tcPr>
          <w:p>
            <w:pPr>
              <w:adjustRightInd w:val="0"/>
              <w:snapToGrid w:val="0"/>
              <w:jc w:val="left"/>
              <w:rPr>
                <w:rFonts w:ascii="仿宋" w:hAnsi="仿宋" w:eastAsia="仿宋" w:cs="仿宋"/>
                <w:bCs/>
                <w:szCs w:val="21"/>
              </w:rPr>
            </w:pPr>
            <w:r>
              <w:rPr>
                <w:rFonts w:hint="eastAsia" w:ascii="仿宋" w:hAnsi="仿宋" w:eastAsia="仿宋" w:cs="仿宋"/>
                <w:bCs/>
                <w:szCs w:val="21"/>
              </w:rPr>
              <w:t>其他玻璃工艺品企业</w:t>
            </w:r>
          </w:p>
        </w:tc>
        <w:tc>
          <w:tcPr>
            <w:tcW w:w="3315" w:type="dxa"/>
            <w:noWrap/>
            <w:vAlign w:val="center"/>
          </w:tcPr>
          <w:p>
            <w:pPr>
              <w:adjustRightInd w:val="0"/>
              <w:snapToGrid w:val="0"/>
              <w:jc w:val="left"/>
              <w:rPr>
                <w:rFonts w:ascii="仿宋" w:hAnsi="仿宋" w:eastAsia="仿宋" w:cs="仿宋"/>
                <w:bCs/>
                <w:szCs w:val="21"/>
              </w:rPr>
            </w:pPr>
            <w:r>
              <w:rPr>
                <w:rFonts w:hint="eastAsia" w:ascii="仿宋" w:hAnsi="仿宋" w:eastAsia="仿宋" w:cs="仿宋"/>
                <w:bCs/>
                <w:szCs w:val="21"/>
              </w:rPr>
              <w:t>涉气工序停产，禁止使用国四及以下重型载货车辆（含燃气）运输原辅材料和产品。</w:t>
            </w:r>
          </w:p>
        </w:tc>
        <w:tc>
          <w:tcPr>
            <w:tcW w:w="3221" w:type="dxa"/>
            <w:noWrap/>
            <w:vAlign w:val="center"/>
          </w:tcPr>
          <w:p>
            <w:pPr>
              <w:adjustRightInd w:val="0"/>
              <w:snapToGrid w:val="0"/>
              <w:jc w:val="left"/>
              <w:rPr>
                <w:rFonts w:ascii="仿宋" w:hAnsi="仿宋" w:eastAsia="仿宋" w:cs="仿宋"/>
                <w:bCs/>
                <w:szCs w:val="21"/>
              </w:rPr>
            </w:pPr>
            <w:r>
              <w:rPr>
                <w:rFonts w:hint="eastAsia" w:ascii="仿宋" w:hAnsi="仿宋" w:eastAsia="仿宋" w:cs="仿宋"/>
                <w:bCs/>
                <w:szCs w:val="21"/>
              </w:rPr>
              <w:t>涉气工序停产，禁止使用国四及以下重型载货车辆（含燃气）运输原辅材料和产品。</w:t>
            </w:r>
          </w:p>
        </w:tc>
        <w:tc>
          <w:tcPr>
            <w:tcW w:w="3389" w:type="dxa"/>
            <w:noWrap/>
            <w:vAlign w:val="center"/>
          </w:tcPr>
          <w:p>
            <w:pPr>
              <w:adjustRightInd w:val="0"/>
              <w:snapToGrid w:val="0"/>
              <w:jc w:val="left"/>
              <w:rPr>
                <w:rFonts w:ascii="仿宋" w:hAnsi="仿宋" w:eastAsia="仿宋" w:cs="仿宋"/>
                <w:bCs/>
                <w:szCs w:val="21"/>
              </w:rPr>
            </w:pPr>
            <w:r>
              <w:rPr>
                <w:rFonts w:hint="eastAsia" w:ascii="仿宋" w:hAnsi="仿宋" w:eastAsia="仿宋" w:cs="仿宋"/>
                <w:bCs/>
                <w:szCs w:val="21"/>
              </w:rPr>
              <w:t>喷涂、烘干工序停产，禁止使用国四及以下重型载货车辆（含燃气）运输原辅材料和产品。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6" w:type="dxa"/>
          <w:trHeight w:val="146" w:hRule="atLeast"/>
          <w:jc w:val="center"/>
        </w:trPr>
        <w:tc>
          <w:tcPr>
            <w:tcW w:w="637" w:type="dxa"/>
            <w:noWrap/>
            <w:vAlign w:val="center"/>
          </w:tcPr>
          <w:p>
            <w:pPr>
              <w:adjustRightInd w:val="0"/>
              <w:snapToGrid w:val="0"/>
              <w:jc w:val="center"/>
              <w:rPr>
                <w:rFonts w:ascii="仿宋" w:hAnsi="仿宋" w:eastAsia="仿宋" w:cs="仿宋"/>
                <w:bCs/>
                <w:szCs w:val="21"/>
              </w:rPr>
            </w:pPr>
            <w:r>
              <w:rPr>
                <w:rFonts w:hint="eastAsia" w:ascii="仿宋" w:hAnsi="仿宋" w:eastAsia="仿宋" w:cs="仿宋"/>
                <w:bCs/>
                <w:szCs w:val="21"/>
              </w:rPr>
              <w:t>17</w:t>
            </w:r>
          </w:p>
        </w:tc>
        <w:tc>
          <w:tcPr>
            <w:tcW w:w="974" w:type="dxa"/>
            <w:noWrap/>
            <w:vAlign w:val="center"/>
          </w:tcPr>
          <w:p>
            <w:pPr>
              <w:adjustRightInd w:val="0"/>
              <w:snapToGrid w:val="0"/>
              <w:jc w:val="center"/>
              <w:rPr>
                <w:rFonts w:hint="eastAsia" w:ascii="仿宋" w:hAnsi="仿宋" w:eastAsia="仿宋" w:cs="仿宋"/>
                <w:bCs/>
                <w:szCs w:val="21"/>
              </w:rPr>
            </w:pPr>
            <w:r>
              <w:rPr>
                <w:rFonts w:hint="eastAsia" w:ascii="仿宋" w:hAnsi="仿宋" w:eastAsia="仿宋" w:cs="仿宋"/>
                <w:bCs/>
                <w:szCs w:val="21"/>
              </w:rPr>
              <w:t>其他</w:t>
            </w:r>
          </w:p>
          <w:p>
            <w:pPr>
              <w:adjustRightInd w:val="0"/>
              <w:snapToGrid w:val="0"/>
              <w:jc w:val="center"/>
              <w:rPr>
                <w:rFonts w:hint="eastAsia" w:ascii="仿宋" w:hAnsi="仿宋" w:eastAsia="仿宋" w:cs="仿宋"/>
                <w:bCs/>
                <w:szCs w:val="21"/>
              </w:rPr>
            </w:pPr>
            <w:r>
              <w:rPr>
                <w:rFonts w:hint="eastAsia" w:ascii="仿宋" w:hAnsi="仿宋" w:eastAsia="仿宋" w:cs="仿宋"/>
                <w:bCs/>
                <w:szCs w:val="21"/>
              </w:rPr>
              <w:t>塑料</w:t>
            </w:r>
          </w:p>
          <w:p>
            <w:pPr>
              <w:adjustRightInd w:val="0"/>
              <w:snapToGrid w:val="0"/>
              <w:jc w:val="center"/>
              <w:rPr>
                <w:rFonts w:hint="eastAsia" w:ascii="仿宋" w:hAnsi="仿宋" w:eastAsia="仿宋" w:cs="仿宋"/>
                <w:bCs/>
                <w:szCs w:val="21"/>
              </w:rPr>
            </w:pPr>
            <w:r>
              <w:rPr>
                <w:rFonts w:hint="eastAsia" w:ascii="仿宋" w:hAnsi="仿宋" w:eastAsia="仿宋" w:cs="仿宋"/>
                <w:bCs/>
                <w:szCs w:val="21"/>
              </w:rPr>
              <w:t>制品</w:t>
            </w:r>
          </w:p>
          <w:p>
            <w:pPr>
              <w:adjustRightInd w:val="0"/>
              <w:snapToGrid w:val="0"/>
              <w:jc w:val="center"/>
              <w:rPr>
                <w:rFonts w:ascii="仿宋" w:hAnsi="仿宋" w:eastAsia="仿宋" w:cs="仿宋"/>
                <w:bCs/>
                <w:szCs w:val="21"/>
              </w:rPr>
            </w:pPr>
            <w:r>
              <w:rPr>
                <w:rFonts w:hint="eastAsia" w:ascii="仿宋" w:hAnsi="仿宋" w:eastAsia="仿宋" w:cs="仿宋"/>
                <w:bCs/>
                <w:szCs w:val="21"/>
              </w:rPr>
              <w:t>行</w:t>
            </w:r>
          </w:p>
        </w:tc>
        <w:tc>
          <w:tcPr>
            <w:tcW w:w="1955" w:type="dxa"/>
            <w:tcBorders>
              <w:right w:val="single" w:color="auto" w:sz="4" w:space="0"/>
            </w:tcBorders>
            <w:noWrap/>
            <w:vAlign w:val="center"/>
          </w:tcPr>
          <w:p>
            <w:pPr>
              <w:adjustRightInd w:val="0"/>
              <w:snapToGrid w:val="0"/>
              <w:jc w:val="both"/>
              <w:rPr>
                <w:rFonts w:hint="eastAsia" w:ascii="仿宋" w:hAnsi="仿宋" w:eastAsia="仿宋" w:cs="仿宋"/>
                <w:bCs/>
                <w:szCs w:val="21"/>
                <w:lang w:eastAsia="zh-CN"/>
              </w:rPr>
            </w:pPr>
            <w:r>
              <w:rPr>
                <w:rFonts w:hint="eastAsia" w:ascii="仿宋" w:hAnsi="仿宋" w:eastAsia="仿宋" w:cs="仿宋"/>
                <w:bCs/>
                <w:szCs w:val="21"/>
              </w:rPr>
              <w:t>包括日用塑料用品、泡沫、海绵、汽车内饰等塑料制品</w:t>
            </w:r>
            <w:r>
              <w:rPr>
                <w:rFonts w:hint="eastAsia" w:ascii="仿宋" w:hAnsi="仿宋" w:eastAsia="仿宋" w:cs="仿宋"/>
                <w:bCs/>
                <w:szCs w:val="21"/>
                <w:lang w:eastAsia="zh-CN"/>
              </w:rPr>
              <w:t>。</w:t>
            </w:r>
          </w:p>
        </w:tc>
        <w:tc>
          <w:tcPr>
            <w:tcW w:w="1738" w:type="dxa"/>
            <w:tcBorders>
              <w:left w:val="single" w:color="auto" w:sz="4" w:space="0"/>
            </w:tcBorders>
            <w:noWrap/>
            <w:vAlign w:val="center"/>
          </w:tcPr>
          <w:p>
            <w:pPr>
              <w:adjustRightInd w:val="0"/>
              <w:snapToGrid w:val="0"/>
              <w:jc w:val="left"/>
              <w:rPr>
                <w:rFonts w:ascii="仿宋" w:hAnsi="仿宋" w:eastAsia="仿宋" w:cs="仿宋"/>
                <w:bCs/>
                <w:szCs w:val="21"/>
              </w:rPr>
            </w:pPr>
          </w:p>
        </w:tc>
        <w:tc>
          <w:tcPr>
            <w:tcW w:w="3315" w:type="dxa"/>
            <w:noWrap/>
            <w:vAlign w:val="center"/>
          </w:tcPr>
          <w:p>
            <w:pPr>
              <w:adjustRightInd w:val="0"/>
              <w:snapToGrid w:val="0"/>
              <w:jc w:val="left"/>
              <w:rPr>
                <w:rFonts w:ascii="仿宋" w:hAnsi="仿宋" w:eastAsia="仿宋" w:cs="仿宋"/>
                <w:bCs/>
                <w:szCs w:val="21"/>
              </w:rPr>
            </w:pPr>
            <w:r>
              <w:rPr>
                <w:rFonts w:hint="eastAsia" w:ascii="仿宋" w:hAnsi="仿宋" w:eastAsia="仿宋" w:cs="仿宋"/>
                <w:bCs/>
                <w:szCs w:val="21"/>
              </w:rPr>
              <w:t>使用再生料和非再生料的涉气工序停产；禁止使用国四及以下重型载货车辆（含燃气）进行物料运输。</w:t>
            </w:r>
          </w:p>
          <w:p>
            <w:pPr>
              <w:adjustRightInd w:val="0"/>
              <w:snapToGrid w:val="0"/>
              <w:jc w:val="left"/>
              <w:rPr>
                <w:rFonts w:ascii="仿宋" w:hAnsi="仿宋" w:eastAsia="仿宋" w:cs="仿宋"/>
                <w:bCs/>
                <w:szCs w:val="21"/>
              </w:rPr>
            </w:pPr>
          </w:p>
        </w:tc>
        <w:tc>
          <w:tcPr>
            <w:tcW w:w="3221" w:type="dxa"/>
            <w:noWrap/>
            <w:vAlign w:val="center"/>
          </w:tcPr>
          <w:p>
            <w:pPr>
              <w:adjustRightInd w:val="0"/>
              <w:snapToGrid w:val="0"/>
              <w:jc w:val="left"/>
              <w:rPr>
                <w:rFonts w:ascii="仿宋" w:hAnsi="仿宋" w:eastAsia="仿宋" w:cs="仿宋"/>
                <w:bCs/>
                <w:szCs w:val="21"/>
              </w:rPr>
            </w:pPr>
            <w:r>
              <w:rPr>
                <w:rFonts w:hint="eastAsia" w:ascii="仿宋" w:hAnsi="仿宋" w:eastAsia="仿宋" w:cs="仿宋"/>
                <w:bCs/>
                <w:szCs w:val="21"/>
              </w:rPr>
              <w:t>使用再生料的涉VOCS工序停产；使用非再生料的停产30%（含）以上，以生产线或设备计，只有一条生产线或设备的涉VOCS工序停产。</w:t>
            </w:r>
          </w:p>
        </w:tc>
        <w:tc>
          <w:tcPr>
            <w:tcW w:w="3389" w:type="dxa"/>
            <w:noWrap/>
            <w:vAlign w:val="center"/>
          </w:tcPr>
          <w:p>
            <w:pPr>
              <w:adjustRightInd w:val="0"/>
              <w:snapToGrid w:val="0"/>
              <w:jc w:val="left"/>
              <w:rPr>
                <w:rFonts w:ascii="仿宋" w:hAnsi="仿宋" w:eastAsia="仿宋" w:cs="仿宋"/>
                <w:bCs/>
                <w:szCs w:val="21"/>
              </w:rPr>
            </w:pPr>
            <w:r>
              <w:rPr>
                <w:rFonts w:hint="eastAsia" w:ascii="仿宋" w:hAnsi="仿宋" w:eastAsia="仿宋" w:cs="仿宋"/>
                <w:bCs/>
                <w:szCs w:val="21"/>
              </w:rPr>
              <w:t>使用再生料的停产50%（含）以上，以生产线或设备计，只有一条生产线或设备的涉VOCS工序停产；使用非再生料的停产20%（含）以上，以生产线或设备计，只有一条生产线或设备的涉VOCS工序停产；禁止使用国四及以下重型载货车辆（含燃气）进行物料运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6" w:type="dxa"/>
          <w:trHeight w:val="1714" w:hRule="atLeast"/>
          <w:jc w:val="center"/>
        </w:trPr>
        <w:tc>
          <w:tcPr>
            <w:tcW w:w="637" w:type="dxa"/>
            <w:noWrap/>
            <w:vAlign w:val="center"/>
          </w:tcPr>
          <w:p>
            <w:pPr>
              <w:adjustRightInd w:val="0"/>
              <w:snapToGrid w:val="0"/>
              <w:jc w:val="center"/>
              <w:rPr>
                <w:rFonts w:ascii="仿宋" w:hAnsi="仿宋" w:eastAsia="仿宋" w:cs="仿宋"/>
                <w:bCs/>
                <w:szCs w:val="21"/>
              </w:rPr>
            </w:pPr>
            <w:r>
              <w:rPr>
                <w:rFonts w:hint="eastAsia" w:ascii="仿宋" w:hAnsi="仿宋" w:eastAsia="仿宋" w:cs="仿宋"/>
                <w:bCs/>
                <w:szCs w:val="21"/>
              </w:rPr>
              <w:t>18</w:t>
            </w:r>
          </w:p>
        </w:tc>
        <w:tc>
          <w:tcPr>
            <w:tcW w:w="974" w:type="dxa"/>
            <w:noWrap/>
            <w:vAlign w:val="center"/>
          </w:tcPr>
          <w:p>
            <w:pPr>
              <w:adjustRightInd w:val="0"/>
              <w:snapToGrid w:val="0"/>
              <w:jc w:val="center"/>
              <w:rPr>
                <w:rFonts w:hint="eastAsia" w:ascii="仿宋" w:hAnsi="仿宋" w:eastAsia="仿宋" w:cs="仿宋"/>
                <w:bCs/>
                <w:szCs w:val="21"/>
              </w:rPr>
            </w:pPr>
            <w:r>
              <w:rPr>
                <w:rFonts w:hint="eastAsia" w:ascii="仿宋" w:hAnsi="仿宋" w:eastAsia="仿宋" w:cs="仿宋"/>
                <w:bCs/>
                <w:szCs w:val="21"/>
              </w:rPr>
              <w:t>机械</w:t>
            </w:r>
          </w:p>
          <w:p>
            <w:pPr>
              <w:adjustRightInd w:val="0"/>
              <w:snapToGrid w:val="0"/>
              <w:jc w:val="center"/>
              <w:rPr>
                <w:rFonts w:hint="eastAsia" w:ascii="仿宋" w:hAnsi="仿宋" w:eastAsia="仿宋" w:cs="仿宋"/>
                <w:bCs/>
                <w:szCs w:val="21"/>
              </w:rPr>
            </w:pPr>
            <w:r>
              <w:rPr>
                <w:rFonts w:hint="eastAsia" w:ascii="仿宋" w:hAnsi="仿宋" w:eastAsia="仿宋" w:cs="仿宋"/>
                <w:bCs/>
                <w:szCs w:val="21"/>
              </w:rPr>
              <w:t>加工</w:t>
            </w:r>
          </w:p>
          <w:p>
            <w:pPr>
              <w:adjustRightInd w:val="0"/>
              <w:snapToGrid w:val="0"/>
              <w:jc w:val="center"/>
              <w:rPr>
                <w:rFonts w:ascii="仿宋" w:hAnsi="仿宋" w:eastAsia="仿宋" w:cs="仿宋"/>
                <w:bCs/>
                <w:szCs w:val="21"/>
              </w:rPr>
            </w:pPr>
            <w:r>
              <w:rPr>
                <w:rFonts w:hint="eastAsia" w:ascii="仿宋" w:hAnsi="仿宋" w:eastAsia="仿宋" w:cs="仿宋"/>
                <w:bCs/>
                <w:szCs w:val="21"/>
              </w:rPr>
              <w:t>行业</w:t>
            </w:r>
          </w:p>
        </w:tc>
        <w:tc>
          <w:tcPr>
            <w:tcW w:w="1955" w:type="dxa"/>
            <w:tcBorders>
              <w:right w:val="single" w:color="auto" w:sz="4" w:space="0"/>
            </w:tcBorders>
            <w:noWrap/>
            <w:vAlign w:val="center"/>
          </w:tcPr>
          <w:p>
            <w:pPr>
              <w:adjustRightInd w:val="0"/>
              <w:snapToGrid w:val="0"/>
              <w:jc w:val="both"/>
              <w:rPr>
                <w:rFonts w:ascii="仿宋" w:hAnsi="仿宋" w:eastAsia="仿宋" w:cs="仿宋"/>
                <w:bCs/>
                <w:szCs w:val="21"/>
              </w:rPr>
            </w:pPr>
            <w:r>
              <w:rPr>
                <w:rFonts w:hint="eastAsia" w:ascii="仿宋" w:hAnsi="仿宋" w:eastAsia="仿宋" w:cs="仿宋"/>
                <w:bCs/>
                <w:szCs w:val="21"/>
              </w:rPr>
              <w:t>包括金属农具、日用金属制品制造等。</w:t>
            </w:r>
          </w:p>
          <w:p>
            <w:pPr>
              <w:adjustRightInd w:val="0"/>
              <w:snapToGrid w:val="0"/>
              <w:jc w:val="both"/>
              <w:rPr>
                <w:rFonts w:ascii="仿宋" w:hAnsi="仿宋" w:eastAsia="仿宋" w:cs="仿宋"/>
                <w:bCs/>
                <w:szCs w:val="21"/>
              </w:rPr>
            </w:pPr>
          </w:p>
        </w:tc>
        <w:tc>
          <w:tcPr>
            <w:tcW w:w="1738" w:type="dxa"/>
            <w:tcBorders>
              <w:left w:val="single" w:color="auto" w:sz="4" w:space="0"/>
            </w:tcBorders>
            <w:noWrap/>
            <w:vAlign w:val="center"/>
          </w:tcPr>
          <w:p>
            <w:pPr>
              <w:adjustRightInd w:val="0"/>
              <w:snapToGrid w:val="0"/>
              <w:jc w:val="left"/>
              <w:rPr>
                <w:rFonts w:ascii="仿宋" w:hAnsi="仿宋" w:eastAsia="仿宋" w:cs="仿宋"/>
                <w:bCs/>
                <w:szCs w:val="21"/>
              </w:rPr>
            </w:pPr>
          </w:p>
        </w:tc>
        <w:tc>
          <w:tcPr>
            <w:tcW w:w="3315" w:type="dxa"/>
            <w:noWrap/>
            <w:vAlign w:val="center"/>
          </w:tcPr>
          <w:p>
            <w:pPr>
              <w:adjustRightInd w:val="0"/>
              <w:snapToGrid w:val="0"/>
              <w:jc w:val="left"/>
              <w:rPr>
                <w:rFonts w:hint="eastAsia" w:ascii="仿宋" w:hAnsi="仿宋" w:eastAsia="仿宋" w:cs="仿宋"/>
                <w:bCs/>
                <w:szCs w:val="21"/>
                <w:lang w:eastAsia="zh-CN"/>
              </w:rPr>
            </w:pPr>
            <w:r>
              <w:rPr>
                <w:rFonts w:hint="eastAsia" w:ascii="仿宋" w:hAnsi="仿宋" w:eastAsia="仿宋" w:cs="仿宋"/>
                <w:bCs/>
                <w:szCs w:val="21"/>
              </w:rPr>
              <w:t>含VOCS工序的企业停涉气工序，有酸洗池的进行覆盖；只有打磨、焊接等工序的企业，红色预警停产，禁止使用国四及以下重型载货车辆（含燃气）进行物料运输</w:t>
            </w:r>
            <w:r>
              <w:rPr>
                <w:rFonts w:hint="eastAsia" w:ascii="仿宋" w:hAnsi="仿宋" w:eastAsia="仿宋" w:cs="仿宋"/>
                <w:bCs/>
                <w:szCs w:val="21"/>
                <w:lang w:eastAsia="zh-CN"/>
              </w:rPr>
              <w:t>。</w:t>
            </w:r>
          </w:p>
        </w:tc>
        <w:tc>
          <w:tcPr>
            <w:tcW w:w="3221" w:type="dxa"/>
            <w:noWrap/>
            <w:vAlign w:val="center"/>
          </w:tcPr>
          <w:p>
            <w:pPr>
              <w:adjustRightInd w:val="0"/>
              <w:snapToGrid w:val="0"/>
              <w:jc w:val="left"/>
              <w:rPr>
                <w:rFonts w:ascii="仿宋" w:hAnsi="仿宋" w:eastAsia="仿宋" w:cs="仿宋"/>
                <w:bCs/>
                <w:szCs w:val="21"/>
              </w:rPr>
            </w:pPr>
            <w:r>
              <w:rPr>
                <w:rFonts w:hint="eastAsia" w:ascii="仿宋" w:hAnsi="仿宋" w:eastAsia="仿宋" w:cs="仿宋"/>
                <w:bCs/>
                <w:szCs w:val="21"/>
              </w:rPr>
              <w:t>含VOCS工序的企业停涉气工序，有酸洗池的进行覆盖；只有打磨、焊接等工序的企业，停产，禁止使用国四及以下重型载货车辆（含燃气）进行物料运输。</w:t>
            </w:r>
          </w:p>
        </w:tc>
        <w:tc>
          <w:tcPr>
            <w:tcW w:w="3389" w:type="dxa"/>
            <w:noWrap/>
            <w:vAlign w:val="center"/>
          </w:tcPr>
          <w:p>
            <w:pPr>
              <w:adjustRightInd w:val="0"/>
              <w:snapToGrid w:val="0"/>
              <w:jc w:val="left"/>
              <w:rPr>
                <w:rFonts w:ascii="仿宋" w:hAnsi="仿宋" w:eastAsia="仿宋" w:cs="仿宋"/>
                <w:bCs/>
                <w:szCs w:val="21"/>
              </w:rPr>
            </w:pPr>
            <w:r>
              <w:rPr>
                <w:rFonts w:hint="eastAsia" w:ascii="仿宋" w:hAnsi="仿宋" w:eastAsia="仿宋" w:cs="仿宋"/>
                <w:bCs/>
                <w:szCs w:val="21"/>
              </w:rPr>
              <w:t>含VOCS工序的企业停涉气工序，有酸洗池的进行覆盖；只有打磨、焊接等工序的企业，停产，禁止使用国四及以下重型载货车辆（含燃气）进行物料运输。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6" w:type="dxa"/>
          <w:trHeight w:val="146" w:hRule="atLeast"/>
          <w:jc w:val="center"/>
        </w:trPr>
        <w:tc>
          <w:tcPr>
            <w:tcW w:w="637" w:type="dxa"/>
            <w:noWrap/>
            <w:vAlign w:val="center"/>
          </w:tcPr>
          <w:p>
            <w:pPr>
              <w:adjustRightInd w:val="0"/>
              <w:snapToGrid w:val="0"/>
              <w:jc w:val="center"/>
              <w:rPr>
                <w:rFonts w:ascii="仿宋" w:hAnsi="仿宋" w:eastAsia="仿宋" w:cs="仿宋"/>
                <w:bCs/>
                <w:szCs w:val="21"/>
              </w:rPr>
            </w:pPr>
            <w:r>
              <w:rPr>
                <w:rFonts w:hint="eastAsia" w:ascii="仿宋" w:hAnsi="仿宋" w:eastAsia="仿宋" w:cs="仿宋"/>
                <w:bCs/>
                <w:szCs w:val="21"/>
              </w:rPr>
              <w:t>19</w:t>
            </w:r>
          </w:p>
        </w:tc>
        <w:tc>
          <w:tcPr>
            <w:tcW w:w="974" w:type="dxa"/>
            <w:noWrap/>
            <w:vAlign w:val="center"/>
          </w:tcPr>
          <w:p>
            <w:pPr>
              <w:adjustRightInd w:val="0"/>
              <w:snapToGrid w:val="0"/>
              <w:jc w:val="center"/>
              <w:rPr>
                <w:rFonts w:hint="eastAsia" w:ascii="仿宋" w:hAnsi="仿宋" w:eastAsia="仿宋" w:cs="仿宋"/>
                <w:bCs/>
                <w:szCs w:val="21"/>
              </w:rPr>
            </w:pPr>
            <w:r>
              <w:rPr>
                <w:rFonts w:hint="eastAsia" w:ascii="仿宋" w:hAnsi="仿宋" w:eastAsia="仿宋" w:cs="仿宋"/>
                <w:bCs/>
                <w:szCs w:val="21"/>
              </w:rPr>
              <w:t>石材</w:t>
            </w:r>
          </w:p>
          <w:p>
            <w:pPr>
              <w:adjustRightInd w:val="0"/>
              <w:snapToGrid w:val="0"/>
              <w:jc w:val="center"/>
              <w:rPr>
                <w:rFonts w:hint="eastAsia" w:ascii="仿宋" w:hAnsi="仿宋" w:eastAsia="仿宋" w:cs="仿宋"/>
                <w:bCs/>
                <w:szCs w:val="21"/>
              </w:rPr>
            </w:pPr>
            <w:r>
              <w:rPr>
                <w:rFonts w:hint="eastAsia" w:ascii="仿宋" w:hAnsi="仿宋" w:eastAsia="仿宋" w:cs="仿宋"/>
                <w:bCs/>
                <w:szCs w:val="21"/>
              </w:rPr>
              <w:t>加工</w:t>
            </w:r>
          </w:p>
          <w:p>
            <w:pPr>
              <w:adjustRightInd w:val="0"/>
              <w:snapToGrid w:val="0"/>
              <w:jc w:val="center"/>
              <w:rPr>
                <w:rFonts w:ascii="仿宋" w:hAnsi="仿宋" w:eastAsia="仿宋" w:cs="仿宋"/>
                <w:bCs/>
                <w:szCs w:val="21"/>
              </w:rPr>
            </w:pPr>
            <w:r>
              <w:rPr>
                <w:rFonts w:hint="eastAsia" w:ascii="仿宋" w:hAnsi="仿宋" w:eastAsia="仿宋" w:cs="仿宋"/>
                <w:bCs/>
                <w:szCs w:val="21"/>
              </w:rPr>
              <w:t>行业</w:t>
            </w:r>
          </w:p>
          <w:p>
            <w:pPr>
              <w:adjustRightInd w:val="0"/>
              <w:snapToGrid w:val="0"/>
              <w:jc w:val="center"/>
              <w:rPr>
                <w:rFonts w:ascii="仿宋" w:hAnsi="仿宋" w:eastAsia="仿宋" w:cs="仿宋"/>
                <w:bCs/>
                <w:szCs w:val="21"/>
              </w:rPr>
            </w:pPr>
          </w:p>
        </w:tc>
        <w:tc>
          <w:tcPr>
            <w:tcW w:w="1955" w:type="dxa"/>
            <w:tcBorders>
              <w:right w:val="single" w:color="auto" w:sz="4" w:space="0"/>
            </w:tcBorders>
            <w:noWrap/>
            <w:vAlign w:val="center"/>
          </w:tcPr>
          <w:p>
            <w:pPr>
              <w:adjustRightInd w:val="0"/>
              <w:snapToGrid w:val="0"/>
              <w:jc w:val="both"/>
              <w:rPr>
                <w:rFonts w:ascii="仿宋" w:hAnsi="仿宋" w:eastAsia="仿宋" w:cs="仿宋"/>
                <w:bCs/>
                <w:szCs w:val="21"/>
              </w:rPr>
            </w:pPr>
            <w:r>
              <w:rPr>
                <w:rFonts w:hint="eastAsia" w:ascii="仿宋" w:hAnsi="仿宋" w:eastAsia="仿宋" w:cs="仿宋"/>
                <w:bCs/>
                <w:szCs w:val="21"/>
              </w:rPr>
              <w:t>包括石料加工（含雕刻）、砂石料厂、矿山开采等。</w:t>
            </w:r>
          </w:p>
          <w:p>
            <w:pPr>
              <w:adjustRightInd w:val="0"/>
              <w:snapToGrid w:val="0"/>
              <w:jc w:val="both"/>
              <w:rPr>
                <w:rFonts w:ascii="仿宋" w:hAnsi="仿宋" w:eastAsia="仿宋" w:cs="仿宋"/>
                <w:bCs/>
                <w:szCs w:val="21"/>
              </w:rPr>
            </w:pPr>
          </w:p>
        </w:tc>
        <w:tc>
          <w:tcPr>
            <w:tcW w:w="1738" w:type="dxa"/>
            <w:tcBorders>
              <w:left w:val="single" w:color="auto" w:sz="4" w:space="0"/>
            </w:tcBorders>
            <w:noWrap/>
            <w:vAlign w:val="center"/>
          </w:tcPr>
          <w:p>
            <w:pPr>
              <w:adjustRightInd w:val="0"/>
              <w:snapToGrid w:val="0"/>
              <w:jc w:val="left"/>
              <w:rPr>
                <w:rFonts w:ascii="仿宋" w:hAnsi="仿宋" w:eastAsia="仿宋" w:cs="仿宋"/>
                <w:bCs/>
                <w:szCs w:val="21"/>
              </w:rPr>
            </w:pPr>
          </w:p>
        </w:tc>
        <w:tc>
          <w:tcPr>
            <w:tcW w:w="3315" w:type="dxa"/>
            <w:noWrap/>
            <w:vAlign w:val="center"/>
          </w:tcPr>
          <w:p>
            <w:pPr>
              <w:adjustRightInd w:val="0"/>
              <w:snapToGrid w:val="0"/>
              <w:jc w:val="left"/>
              <w:rPr>
                <w:rFonts w:ascii="仿宋" w:hAnsi="仿宋" w:eastAsia="仿宋" w:cs="仿宋"/>
                <w:bCs/>
                <w:szCs w:val="21"/>
              </w:rPr>
            </w:pPr>
            <w:r>
              <w:rPr>
                <w:rFonts w:hint="eastAsia" w:ascii="仿宋" w:hAnsi="仿宋" w:eastAsia="仿宋" w:cs="仿宋"/>
                <w:bCs/>
                <w:szCs w:val="21"/>
              </w:rPr>
              <w:t>石材加工行业停产；禁止使用国四及以下重型载货车辆（含燃气）进行物料运输。</w:t>
            </w:r>
          </w:p>
          <w:p>
            <w:pPr>
              <w:adjustRightInd w:val="0"/>
              <w:snapToGrid w:val="0"/>
              <w:jc w:val="left"/>
              <w:rPr>
                <w:rFonts w:ascii="仿宋" w:hAnsi="仿宋" w:eastAsia="仿宋" w:cs="仿宋"/>
                <w:bCs/>
                <w:szCs w:val="21"/>
              </w:rPr>
            </w:pPr>
            <w:r>
              <w:rPr>
                <w:rFonts w:hint="eastAsia" w:ascii="仿宋" w:hAnsi="仿宋" w:eastAsia="仿宋" w:cs="仿宋"/>
                <w:bCs/>
                <w:szCs w:val="21"/>
              </w:rPr>
              <w:t>砂石料厂、矿山开采等行业停产；禁止车辆运输。</w:t>
            </w:r>
          </w:p>
        </w:tc>
        <w:tc>
          <w:tcPr>
            <w:tcW w:w="3221" w:type="dxa"/>
            <w:noWrap/>
            <w:vAlign w:val="center"/>
          </w:tcPr>
          <w:p>
            <w:pPr>
              <w:adjustRightInd w:val="0"/>
              <w:snapToGrid w:val="0"/>
              <w:jc w:val="left"/>
              <w:rPr>
                <w:rFonts w:ascii="仿宋" w:hAnsi="仿宋" w:eastAsia="仿宋" w:cs="仿宋"/>
                <w:bCs/>
                <w:szCs w:val="21"/>
              </w:rPr>
            </w:pPr>
            <w:r>
              <w:rPr>
                <w:rFonts w:hint="eastAsia" w:ascii="仿宋" w:hAnsi="仿宋" w:eastAsia="仿宋" w:cs="仿宋"/>
                <w:bCs/>
                <w:szCs w:val="21"/>
              </w:rPr>
              <w:t>石材加工（含雕刻）涉VOCS工序停产；禁止露天作业和干法作业；禁止使用国四及以下重型载货车辆（含燃气）进行物料运输。</w:t>
            </w:r>
          </w:p>
          <w:p>
            <w:pPr>
              <w:adjustRightInd w:val="0"/>
              <w:snapToGrid w:val="0"/>
              <w:jc w:val="left"/>
              <w:rPr>
                <w:rFonts w:ascii="仿宋" w:hAnsi="仿宋" w:eastAsia="仿宋" w:cs="仿宋"/>
                <w:bCs/>
                <w:szCs w:val="21"/>
              </w:rPr>
            </w:pPr>
            <w:r>
              <w:rPr>
                <w:rFonts w:hint="eastAsia" w:ascii="仿宋" w:hAnsi="仿宋" w:eastAsia="仿宋" w:cs="仿宋"/>
                <w:bCs/>
                <w:szCs w:val="21"/>
              </w:rPr>
              <w:t>砂石料厂、矿山开采等行业停产；禁止车辆运输。</w:t>
            </w:r>
          </w:p>
        </w:tc>
        <w:tc>
          <w:tcPr>
            <w:tcW w:w="3389" w:type="dxa"/>
            <w:noWrap/>
            <w:vAlign w:val="center"/>
          </w:tcPr>
          <w:p>
            <w:pPr>
              <w:adjustRightInd w:val="0"/>
              <w:snapToGrid w:val="0"/>
              <w:jc w:val="left"/>
              <w:rPr>
                <w:rFonts w:ascii="仿宋" w:hAnsi="仿宋" w:eastAsia="仿宋" w:cs="仿宋"/>
                <w:bCs/>
                <w:szCs w:val="21"/>
              </w:rPr>
            </w:pPr>
            <w:r>
              <w:rPr>
                <w:rFonts w:hint="eastAsia" w:ascii="仿宋" w:hAnsi="仿宋" w:eastAsia="仿宋" w:cs="仿宋"/>
                <w:bCs/>
                <w:szCs w:val="21"/>
              </w:rPr>
              <w:t>石材加工（含雕刻）涉VOCS工序停产；禁止露天作业和干法作业；禁止使用国四及以下重型载货车辆（含燃气）进行物料运输。</w:t>
            </w:r>
          </w:p>
          <w:p>
            <w:pPr>
              <w:adjustRightInd w:val="0"/>
              <w:snapToGrid w:val="0"/>
              <w:jc w:val="left"/>
              <w:rPr>
                <w:rFonts w:ascii="仿宋" w:hAnsi="仿宋" w:eastAsia="仿宋" w:cs="仿宋"/>
                <w:bCs/>
                <w:szCs w:val="21"/>
              </w:rPr>
            </w:pPr>
            <w:r>
              <w:rPr>
                <w:rFonts w:hint="eastAsia" w:ascii="仿宋" w:hAnsi="仿宋" w:eastAsia="仿宋" w:cs="仿宋"/>
                <w:bCs/>
                <w:szCs w:val="21"/>
              </w:rPr>
              <w:t>砂石料厂、矿山开采等行业停产；禁止车辆运输。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6" w:type="dxa"/>
          <w:trHeight w:val="1893" w:hRule="atLeast"/>
          <w:jc w:val="center"/>
        </w:trPr>
        <w:tc>
          <w:tcPr>
            <w:tcW w:w="637" w:type="dxa"/>
            <w:noWrap/>
            <w:vAlign w:val="center"/>
          </w:tcPr>
          <w:p>
            <w:pPr>
              <w:adjustRightInd w:val="0"/>
              <w:snapToGrid w:val="0"/>
              <w:jc w:val="center"/>
              <w:rPr>
                <w:rFonts w:ascii="仿宋" w:hAnsi="仿宋" w:eastAsia="仿宋" w:cs="仿宋"/>
                <w:bCs/>
                <w:szCs w:val="21"/>
              </w:rPr>
            </w:pPr>
            <w:r>
              <w:rPr>
                <w:rFonts w:hint="eastAsia" w:ascii="仿宋" w:hAnsi="仿宋" w:eastAsia="仿宋" w:cs="仿宋"/>
                <w:bCs/>
                <w:szCs w:val="21"/>
              </w:rPr>
              <w:t>20</w:t>
            </w:r>
          </w:p>
        </w:tc>
        <w:tc>
          <w:tcPr>
            <w:tcW w:w="974" w:type="dxa"/>
            <w:noWrap/>
            <w:vAlign w:val="center"/>
          </w:tcPr>
          <w:p>
            <w:pPr>
              <w:adjustRightInd w:val="0"/>
              <w:snapToGrid w:val="0"/>
              <w:jc w:val="center"/>
              <w:rPr>
                <w:rFonts w:hint="eastAsia" w:ascii="仿宋" w:hAnsi="仿宋" w:eastAsia="仿宋" w:cs="仿宋"/>
                <w:bCs/>
                <w:szCs w:val="21"/>
              </w:rPr>
            </w:pPr>
            <w:r>
              <w:rPr>
                <w:rFonts w:hint="eastAsia" w:ascii="仿宋" w:hAnsi="仿宋" w:eastAsia="仿宋" w:cs="仿宋"/>
                <w:bCs/>
                <w:szCs w:val="21"/>
              </w:rPr>
              <w:t>石膏</w:t>
            </w:r>
          </w:p>
          <w:p>
            <w:pPr>
              <w:adjustRightInd w:val="0"/>
              <w:snapToGrid w:val="0"/>
              <w:jc w:val="center"/>
              <w:rPr>
                <w:rFonts w:hint="eastAsia" w:ascii="仿宋" w:hAnsi="仿宋" w:eastAsia="仿宋" w:cs="仿宋"/>
                <w:bCs/>
                <w:szCs w:val="21"/>
              </w:rPr>
            </w:pPr>
            <w:r>
              <w:rPr>
                <w:rFonts w:hint="eastAsia" w:ascii="仿宋" w:hAnsi="仿宋" w:eastAsia="仿宋" w:cs="仿宋"/>
                <w:bCs/>
                <w:szCs w:val="21"/>
              </w:rPr>
              <w:t>和石</w:t>
            </w:r>
          </w:p>
          <w:p>
            <w:pPr>
              <w:adjustRightInd w:val="0"/>
              <w:snapToGrid w:val="0"/>
              <w:jc w:val="center"/>
              <w:rPr>
                <w:rFonts w:hint="eastAsia" w:ascii="仿宋" w:hAnsi="仿宋" w:eastAsia="仿宋" w:cs="仿宋"/>
                <w:bCs/>
                <w:szCs w:val="21"/>
              </w:rPr>
            </w:pPr>
            <w:r>
              <w:rPr>
                <w:rFonts w:hint="eastAsia" w:ascii="仿宋" w:hAnsi="仿宋" w:eastAsia="仿宋" w:cs="仿宋"/>
                <w:bCs/>
                <w:szCs w:val="21"/>
              </w:rPr>
              <w:t>膏板</w:t>
            </w:r>
          </w:p>
          <w:p>
            <w:pPr>
              <w:adjustRightInd w:val="0"/>
              <w:snapToGrid w:val="0"/>
              <w:jc w:val="center"/>
              <w:rPr>
                <w:rFonts w:hint="eastAsia" w:ascii="仿宋" w:hAnsi="仿宋" w:eastAsia="仿宋" w:cs="仿宋"/>
                <w:bCs/>
                <w:szCs w:val="21"/>
              </w:rPr>
            </w:pPr>
            <w:r>
              <w:rPr>
                <w:rFonts w:hint="eastAsia" w:ascii="仿宋" w:hAnsi="仿宋" w:eastAsia="仿宋" w:cs="仿宋"/>
                <w:bCs/>
                <w:szCs w:val="21"/>
              </w:rPr>
              <w:t>制造</w:t>
            </w:r>
          </w:p>
          <w:p>
            <w:pPr>
              <w:adjustRightInd w:val="0"/>
              <w:snapToGrid w:val="0"/>
              <w:jc w:val="center"/>
              <w:rPr>
                <w:rFonts w:ascii="仿宋" w:hAnsi="仿宋" w:eastAsia="仿宋" w:cs="仿宋"/>
                <w:bCs/>
                <w:szCs w:val="21"/>
              </w:rPr>
            </w:pPr>
            <w:r>
              <w:rPr>
                <w:rFonts w:hint="eastAsia" w:ascii="仿宋" w:hAnsi="仿宋" w:eastAsia="仿宋" w:cs="仿宋"/>
                <w:bCs/>
                <w:szCs w:val="21"/>
              </w:rPr>
              <w:t>行业</w:t>
            </w:r>
          </w:p>
        </w:tc>
        <w:tc>
          <w:tcPr>
            <w:tcW w:w="1955" w:type="dxa"/>
            <w:tcBorders>
              <w:right w:val="single" w:color="auto" w:sz="4" w:space="0"/>
            </w:tcBorders>
            <w:noWrap/>
            <w:vAlign w:val="center"/>
          </w:tcPr>
          <w:p>
            <w:pPr>
              <w:adjustRightInd w:val="0"/>
              <w:snapToGrid w:val="0"/>
              <w:jc w:val="both"/>
              <w:rPr>
                <w:rFonts w:ascii="仿宋" w:hAnsi="仿宋" w:eastAsia="仿宋" w:cs="仿宋"/>
                <w:bCs/>
                <w:szCs w:val="21"/>
              </w:rPr>
            </w:pPr>
          </w:p>
        </w:tc>
        <w:tc>
          <w:tcPr>
            <w:tcW w:w="1738" w:type="dxa"/>
            <w:tcBorders>
              <w:left w:val="single" w:color="auto" w:sz="4" w:space="0"/>
            </w:tcBorders>
            <w:noWrap/>
            <w:vAlign w:val="center"/>
          </w:tcPr>
          <w:p>
            <w:pPr>
              <w:adjustRightInd w:val="0"/>
              <w:snapToGrid w:val="0"/>
              <w:jc w:val="left"/>
              <w:rPr>
                <w:rFonts w:ascii="仿宋" w:hAnsi="仿宋" w:eastAsia="仿宋" w:cs="仿宋"/>
                <w:bCs/>
                <w:szCs w:val="21"/>
              </w:rPr>
            </w:pPr>
          </w:p>
        </w:tc>
        <w:tc>
          <w:tcPr>
            <w:tcW w:w="3315" w:type="dxa"/>
            <w:noWrap/>
            <w:vAlign w:val="center"/>
          </w:tcPr>
          <w:p>
            <w:pPr>
              <w:adjustRightInd w:val="0"/>
              <w:snapToGrid w:val="0"/>
              <w:jc w:val="left"/>
              <w:rPr>
                <w:rFonts w:ascii="仿宋" w:hAnsi="仿宋" w:eastAsia="仿宋" w:cs="仿宋"/>
                <w:bCs/>
                <w:szCs w:val="21"/>
              </w:rPr>
            </w:pPr>
            <w:r>
              <w:rPr>
                <w:rFonts w:hint="eastAsia" w:ascii="仿宋" w:hAnsi="仿宋" w:eastAsia="仿宋" w:cs="仿宋"/>
                <w:bCs/>
                <w:szCs w:val="21"/>
              </w:rPr>
              <w:t>停产；禁止使用国四及以下重型载货车辆（含燃气）进行物料运输。</w:t>
            </w:r>
          </w:p>
        </w:tc>
        <w:tc>
          <w:tcPr>
            <w:tcW w:w="3221" w:type="dxa"/>
            <w:noWrap/>
            <w:vAlign w:val="center"/>
          </w:tcPr>
          <w:p>
            <w:pPr>
              <w:adjustRightInd w:val="0"/>
              <w:snapToGrid w:val="0"/>
              <w:jc w:val="left"/>
              <w:rPr>
                <w:rFonts w:ascii="仿宋" w:hAnsi="仿宋" w:eastAsia="仿宋" w:cs="仿宋"/>
                <w:bCs/>
                <w:szCs w:val="21"/>
              </w:rPr>
            </w:pPr>
            <w:r>
              <w:rPr>
                <w:rFonts w:hint="eastAsia" w:ascii="仿宋" w:hAnsi="仿宋" w:eastAsia="仿宋" w:cs="仿宋"/>
                <w:bCs/>
                <w:szCs w:val="21"/>
              </w:rPr>
              <w:t>使用天然气或电为能源的停产50%（含）以上，以生产线或设备计，只有一条生产线或设备的停产；使用其他能源的停产；禁止使用国四及以下重型载货车辆（含燃气）进行物料运输。</w:t>
            </w:r>
          </w:p>
        </w:tc>
        <w:tc>
          <w:tcPr>
            <w:tcW w:w="3389" w:type="dxa"/>
            <w:noWrap/>
            <w:vAlign w:val="center"/>
          </w:tcPr>
          <w:p>
            <w:pPr>
              <w:adjustRightInd w:val="0"/>
              <w:snapToGrid w:val="0"/>
              <w:jc w:val="left"/>
              <w:rPr>
                <w:rFonts w:ascii="仿宋" w:hAnsi="仿宋" w:eastAsia="仿宋" w:cs="仿宋"/>
                <w:bCs/>
                <w:szCs w:val="21"/>
              </w:rPr>
            </w:pPr>
            <w:r>
              <w:rPr>
                <w:rFonts w:hint="eastAsia" w:ascii="仿宋" w:hAnsi="仿宋" w:eastAsia="仿宋" w:cs="仿宋"/>
                <w:bCs/>
                <w:szCs w:val="21"/>
              </w:rPr>
              <w:t>使用天然气或电为能源的停产50%（含）以上，以生产线或设备计，只有一条生产线或设备的停产；使用其他能源的停产；禁止使用国四及以下重型载货车辆（含燃气）进行物料运输。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6" w:type="dxa"/>
          <w:trHeight w:val="1494" w:hRule="atLeast"/>
          <w:jc w:val="center"/>
        </w:trPr>
        <w:tc>
          <w:tcPr>
            <w:tcW w:w="637" w:type="dxa"/>
            <w:noWrap/>
            <w:vAlign w:val="center"/>
          </w:tcPr>
          <w:p>
            <w:pPr>
              <w:adjustRightInd w:val="0"/>
              <w:snapToGrid w:val="0"/>
              <w:jc w:val="center"/>
              <w:rPr>
                <w:rFonts w:ascii="仿宋" w:hAnsi="仿宋" w:eastAsia="仿宋" w:cs="仿宋"/>
                <w:bCs/>
                <w:szCs w:val="21"/>
              </w:rPr>
            </w:pPr>
            <w:r>
              <w:rPr>
                <w:rFonts w:hint="eastAsia" w:ascii="仿宋" w:hAnsi="仿宋" w:eastAsia="仿宋" w:cs="仿宋"/>
                <w:bCs/>
                <w:szCs w:val="21"/>
              </w:rPr>
              <w:t>21</w:t>
            </w:r>
          </w:p>
        </w:tc>
        <w:tc>
          <w:tcPr>
            <w:tcW w:w="974" w:type="dxa"/>
            <w:noWrap/>
            <w:vAlign w:val="center"/>
          </w:tcPr>
          <w:p>
            <w:pPr>
              <w:adjustRightInd w:val="0"/>
              <w:snapToGrid w:val="0"/>
              <w:jc w:val="center"/>
              <w:rPr>
                <w:rFonts w:hint="eastAsia" w:ascii="仿宋" w:hAnsi="仿宋" w:eastAsia="仿宋" w:cs="仿宋"/>
                <w:bCs/>
                <w:szCs w:val="21"/>
              </w:rPr>
            </w:pPr>
            <w:r>
              <w:rPr>
                <w:rFonts w:hint="eastAsia" w:ascii="仿宋" w:hAnsi="仿宋" w:eastAsia="仿宋" w:cs="仿宋"/>
                <w:bCs/>
                <w:szCs w:val="21"/>
              </w:rPr>
              <w:t>金属</w:t>
            </w:r>
          </w:p>
          <w:p>
            <w:pPr>
              <w:adjustRightInd w:val="0"/>
              <w:snapToGrid w:val="0"/>
              <w:jc w:val="center"/>
              <w:rPr>
                <w:rFonts w:hint="eastAsia" w:ascii="仿宋" w:hAnsi="仿宋" w:eastAsia="仿宋" w:cs="仿宋"/>
                <w:bCs/>
                <w:szCs w:val="21"/>
              </w:rPr>
            </w:pPr>
            <w:r>
              <w:rPr>
                <w:rFonts w:hint="eastAsia" w:ascii="仿宋" w:hAnsi="仿宋" w:eastAsia="仿宋" w:cs="仿宋"/>
                <w:bCs/>
                <w:szCs w:val="21"/>
              </w:rPr>
              <w:t>表面</w:t>
            </w:r>
          </w:p>
          <w:p>
            <w:pPr>
              <w:adjustRightInd w:val="0"/>
              <w:snapToGrid w:val="0"/>
              <w:jc w:val="center"/>
              <w:rPr>
                <w:rFonts w:hint="eastAsia" w:ascii="仿宋" w:hAnsi="仿宋" w:eastAsia="仿宋" w:cs="仿宋"/>
                <w:bCs/>
                <w:szCs w:val="21"/>
              </w:rPr>
            </w:pPr>
            <w:r>
              <w:rPr>
                <w:rFonts w:hint="eastAsia" w:ascii="仿宋" w:hAnsi="仿宋" w:eastAsia="仿宋" w:cs="仿宋"/>
                <w:bCs/>
                <w:szCs w:val="21"/>
              </w:rPr>
              <w:t>处理</w:t>
            </w:r>
          </w:p>
          <w:p>
            <w:pPr>
              <w:adjustRightInd w:val="0"/>
              <w:snapToGrid w:val="0"/>
              <w:jc w:val="center"/>
              <w:rPr>
                <w:rFonts w:ascii="仿宋" w:hAnsi="仿宋" w:eastAsia="仿宋" w:cs="仿宋"/>
                <w:bCs/>
                <w:szCs w:val="21"/>
              </w:rPr>
            </w:pPr>
            <w:r>
              <w:rPr>
                <w:rFonts w:hint="eastAsia" w:ascii="仿宋" w:hAnsi="仿宋" w:eastAsia="仿宋" w:cs="仿宋"/>
                <w:bCs/>
                <w:szCs w:val="21"/>
              </w:rPr>
              <w:t>行业</w:t>
            </w:r>
          </w:p>
        </w:tc>
        <w:tc>
          <w:tcPr>
            <w:tcW w:w="1955" w:type="dxa"/>
            <w:tcBorders>
              <w:right w:val="single" w:color="auto" w:sz="4" w:space="0"/>
            </w:tcBorders>
            <w:noWrap/>
            <w:vAlign w:val="center"/>
          </w:tcPr>
          <w:p>
            <w:pPr>
              <w:adjustRightInd w:val="0"/>
              <w:snapToGrid w:val="0"/>
              <w:jc w:val="both"/>
              <w:rPr>
                <w:rFonts w:ascii="仿宋" w:hAnsi="仿宋" w:eastAsia="仿宋" w:cs="仿宋"/>
                <w:bCs/>
                <w:szCs w:val="21"/>
              </w:rPr>
            </w:pPr>
            <w:r>
              <w:rPr>
                <w:rFonts w:hint="eastAsia" w:ascii="仿宋" w:hAnsi="仿宋" w:eastAsia="仿宋" w:cs="仿宋"/>
                <w:bCs/>
                <w:szCs w:val="21"/>
              </w:rPr>
              <w:t>包括电镀、热镀锌等行业。</w:t>
            </w:r>
          </w:p>
          <w:p>
            <w:pPr>
              <w:adjustRightInd w:val="0"/>
              <w:snapToGrid w:val="0"/>
              <w:jc w:val="both"/>
              <w:rPr>
                <w:rFonts w:ascii="仿宋" w:hAnsi="仿宋" w:eastAsia="仿宋" w:cs="仿宋"/>
                <w:bCs/>
                <w:szCs w:val="21"/>
              </w:rPr>
            </w:pPr>
          </w:p>
        </w:tc>
        <w:tc>
          <w:tcPr>
            <w:tcW w:w="1738" w:type="dxa"/>
            <w:tcBorders>
              <w:left w:val="single" w:color="auto" w:sz="4" w:space="0"/>
            </w:tcBorders>
            <w:noWrap/>
            <w:vAlign w:val="center"/>
          </w:tcPr>
          <w:p>
            <w:pPr>
              <w:adjustRightInd w:val="0"/>
              <w:snapToGrid w:val="0"/>
              <w:jc w:val="left"/>
              <w:rPr>
                <w:rFonts w:ascii="仿宋" w:hAnsi="仿宋" w:eastAsia="仿宋" w:cs="仿宋"/>
                <w:bCs/>
                <w:szCs w:val="21"/>
              </w:rPr>
            </w:pPr>
          </w:p>
        </w:tc>
        <w:tc>
          <w:tcPr>
            <w:tcW w:w="3315" w:type="dxa"/>
            <w:noWrap/>
            <w:vAlign w:val="center"/>
          </w:tcPr>
          <w:p>
            <w:pPr>
              <w:adjustRightInd w:val="0"/>
              <w:snapToGrid w:val="0"/>
              <w:jc w:val="left"/>
              <w:rPr>
                <w:rFonts w:ascii="仿宋" w:hAnsi="仿宋" w:eastAsia="仿宋" w:cs="仿宋"/>
                <w:bCs/>
                <w:szCs w:val="21"/>
              </w:rPr>
            </w:pPr>
            <w:r>
              <w:rPr>
                <w:rFonts w:hint="eastAsia" w:ascii="仿宋" w:hAnsi="仿宋" w:eastAsia="仿宋" w:cs="仿宋"/>
                <w:bCs/>
                <w:szCs w:val="21"/>
              </w:rPr>
              <w:t>涉气工序停产，锌锅可停产保温,酸洗池进行覆盖；禁止使用国四及以下重型载货车辆（含燃气）进行物料运输。</w:t>
            </w:r>
          </w:p>
        </w:tc>
        <w:tc>
          <w:tcPr>
            <w:tcW w:w="3221" w:type="dxa"/>
            <w:noWrap/>
            <w:vAlign w:val="center"/>
          </w:tcPr>
          <w:p>
            <w:pPr>
              <w:adjustRightInd w:val="0"/>
              <w:snapToGrid w:val="0"/>
              <w:jc w:val="left"/>
              <w:rPr>
                <w:rFonts w:ascii="仿宋" w:hAnsi="仿宋" w:eastAsia="仿宋" w:cs="仿宋"/>
                <w:bCs/>
                <w:szCs w:val="21"/>
              </w:rPr>
            </w:pPr>
            <w:r>
              <w:rPr>
                <w:rFonts w:hint="eastAsia" w:ascii="仿宋" w:hAnsi="仿宋" w:eastAsia="仿宋" w:cs="仿宋"/>
                <w:bCs/>
                <w:szCs w:val="21"/>
              </w:rPr>
              <w:t>涉气工序停产，锌锅可停产保温,酸洗池进行覆盖；禁止使用国四及以下重型载货车辆（含燃气）进行物料运输。</w:t>
            </w:r>
          </w:p>
        </w:tc>
        <w:tc>
          <w:tcPr>
            <w:tcW w:w="3389" w:type="dxa"/>
            <w:noWrap/>
            <w:vAlign w:val="center"/>
          </w:tcPr>
          <w:p>
            <w:pPr>
              <w:adjustRightInd w:val="0"/>
              <w:snapToGrid w:val="0"/>
              <w:jc w:val="left"/>
              <w:rPr>
                <w:rFonts w:ascii="仿宋" w:hAnsi="仿宋" w:eastAsia="仿宋" w:cs="仿宋"/>
                <w:bCs/>
                <w:szCs w:val="21"/>
              </w:rPr>
            </w:pPr>
            <w:r>
              <w:rPr>
                <w:rFonts w:hint="eastAsia" w:ascii="仿宋" w:hAnsi="仿宋" w:eastAsia="仿宋" w:cs="仿宋"/>
                <w:bCs/>
                <w:szCs w:val="21"/>
              </w:rPr>
              <w:t>涉气工序停产，锌锅可停产保温,酸洗池进行覆盖；禁止使用国四及以下重型载货车辆（含燃气）进行物料运输。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6" w:type="dxa"/>
          <w:trHeight w:val="1604" w:hRule="atLeast"/>
          <w:jc w:val="center"/>
        </w:trPr>
        <w:tc>
          <w:tcPr>
            <w:tcW w:w="637" w:type="dxa"/>
            <w:noWrap/>
            <w:vAlign w:val="center"/>
          </w:tcPr>
          <w:p>
            <w:pPr>
              <w:adjustRightInd w:val="0"/>
              <w:snapToGrid w:val="0"/>
              <w:jc w:val="center"/>
              <w:rPr>
                <w:rFonts w:ascii="仿宋" w:hAnsi="仿宋" w:eastAsia="仿宋" w:cs="仿宋"/>
                <w:bCs/>
                <w:szCs w:val="21"/>
              </w:rPr>
            </w:pPr>
            <w:r>
              <w:rPr>
                <w:rFonts w:hint="eastAsia" w:ascii="仿宋" w:hAnsi="仿宋" w:eastAsia="仿宋" w:cs="仿宋"/>
                <w:bCs/>
                <w:szCs w:val="21"/>
              </w:rPr>
              <w:t>23</w:t>
            </w:r>
          </w:p>
        </w:tc>
        <w:tc>
          <w:tcPr>
            <w:tcW w:w="974" w:type="dxa"/>
            <w:noWrap/>
            <w:vAlign w:val="center"/>
          </w:tcPr>
          <w:p>
            <w:pPr>
              <w:adjustRightInd w:val="0"/>
              <w:snapToGrid w:val="0"/>
              <w:jc w:val="center"/>
              <w:rPr>
                <w:rFonts w:hint="eastAsia" w:ascii="仿宋" w:hAnsi="仿宋" w:eastAsia="仿宋" w:cs="仿宋"/>
                <w:bCs/>
                <w:szCs w:val="21"/>
              </w:rPr>
            </w:pPr>
            <w:r>
              <w:rPr>
                <w:rFonts w:hint="eastAsia" w:ascii="仿宋" w:hAnsi="仿宋" w:eastAsia="仿宋" w:cs="仿宋"/>
                <w:bCs/>
                <w:szCs w:val="21"/>
              </w:rPr>
              <w:t>日用化工、制</w:t>
            </w:r>
          </w:p>
          <w:p>
            <w:pPr>
              <w:adjustRightInd w:val="0"/>
              <w:snapToGrid w:val="0"/>
              <w:jc w:val="center"/>
              <w:rPr>
                <w:rFonts w:ascii="仿宋" w:hAnsi="仿宋" w:eastAsia="仿宋" w:cs="仿宋"/>
                <w:bCs/>
                <w:szCs w:val="21"/>
              </w:rPr>
            </w:pPr>
            <w:r>
              <w:rPr>
                <w:rFonts w:hint="eastAsia" w:ascii="仿宋" w:hAnsi="仿宋" w:eastAsia="仿宋" w:cs="仿宋"/>
                <w:bCs/>
                <w:szCs w:val="21"/>
              </w:rPr>
              <w:t>香行业</w:t>
            </w:r>
          </w:p>
        </w:tc>
        <w:tc>
          <w:tcPr>
            <w:tcW w:w="1955" w:type="dxa"/>
            <w:tcBorders>
              <w:right w:val="single" w:color="auto" w:sz="4" w:space="0"/>
            </w:tcBorders>
            <w:noWrap/>
            <w:vAlign w:val="center"/>
          </w:tcPr>
          <w:p>
            <w:pPr>
              <w:adjustRightInd w:val="0"/>
              <w:snapToGrid w:val="0"/>
              <w:jc w:val="both"/>
              <w:rPr>
                <w:rFonts w:ascii="仿宋" w:hAnsi="仿宋" w:eastAsia="仿宋" w:cs="仿宋"/>
                <w:bCs/>
                <w:szCs w:val="21"/>
              </w:rPr>
            </w:pPr>
            <w:r>
              <w:rPr>
                <w:rFonts w:hint="eastAsia" w:ascii="仿宋" w:hAnsi="仿宋" w:eastAsia="仿宋" w:cs="仿宋"/>
                <w:bCs/>
                <w:szCs w:val="21"/>
              </w:rPr>
              <w:t>包括蚊香、蚊香液、洗洁剂、空气清新剂、洗衣粉等制品行业。</w:t>
            </w:r>
          </w:p>
          <w:p>
            <w:pPr>
              <w:adjustRightInd w:val="0"/>
              <w:snapToGrid w:val="0"/>
              <w:jc w:val="both"/>
              <w:rPr>
                <w:rFonts w:ascii="仿宋" w:hAnsi="仿宋" w:eastAsia="仿宋" w:cs="仿宋"/>
                <w:bCs/>
                <w:szCs w:val="21"/>
              </w:rPr>
            </w:pPr>
          </w:p>
        </w:tc>
        <w:tc>
          <w:tcPr>
            <w:tcW w:w="1738" w:type="dxa"/>
            <w:tcBorders>
              <w:left w:val="single" w:color="auto" w:sz="4" w:space="0"/>
            </w:tcBorders>
            <w:noWrap/>
            <w:vAlign w:val="center"/>
          </w:tcPr>
          <w:p>
            <w:pPr>
              <w:adjustRightInd w:val="0"/>
              <w:snapToGrid w:val="0"/>
              <w:jc w:val="left"/>
              <w:rPr>
                <w:rFonts w:ascii="仿宋" w:hAnsi="仿宋" w:eastAsia="仿宋" w:cs="仿宋"/>
                <w:bCs/>
                <w:szCs w:val="21"/>
              </w:rPr>
            </w:pPr>
          </w:p>
        </w:tc>
        <w:tc>
          <w:tcPr>
            <w:tcW w:w="3315" w:type="dxa"/>
            <w:noWrap/>
            <w:vAlign w:val="center"/>
          </w:tcPr>
          <w:p>
            <w:pPr>
              <w:adjustRightInd w:val="0"/>
              <w:snapToGrid w:val="0"/>
              <w:jc w:val="left"/>
              <w:rPr>
                <w:rFonts w:ascii="仿宋" w:hAnsi="仿宋" w:eastAsia="仿宋" w:cs="仿宋"/>
                <w:bCs/>
                <w:szCs w:val="21"/>
              </w:rPr>
            </w:pPr>
            <w:r>
              <w:rPr>
                <w:rFonts w:hint="eastAsia" w:ascii="仿宋" w:hAnsi="仿宋" w:eastAsia="仿宋" w:cs="仿宋"/>
                <w:bCs/>
                <w:szCs w:val="21"/>
              </w:rPr>
              <w:t>停产；禁止使用国四及以下重型载货车辆（含燃气）进行物料运输。</w:t>
            </w:r>
          </w:p>
          <w:p>
            <w:pPr>
              <w:adjustRightInd w:val="0"/>
              <w:snapToGrid w:val="0"/>
              <w:jc w:val="left"/>
              <w:rPr>
                <w:rFonts w:ascii="仿宋" w:hAnsi="仿宋" w:eastAsia="仿宋" w:cs="仿宋"/>
                <w:bCs/>
                <w:szCs w:val="21"/>
              </w:rPr>
            </w:pPr>
          </w:p>
        </w:tc>
        <w:tc>
          <w:tcPr>
            <w:tcW w:w="3221" w:type="dxa"/>
            <w:noWrap/>
            <w:vAlign w:val="center"/>
          </w:tcPr>
          <w:p>
            <w:pPr>
              <w:adjustRightInd w:val="0"/>
              <w:snapToGrid w:val="0"/>
              <w:jc w:val="left"/>
              <w:rPr>
                <w:rFonts w:ascii="仿宋" w:hAnsi="仿宋" w:eastAsia="仿宋" w:cs="仿宋"/>
                <w:bCs/>
                <w:szCs w:val="21"/>
              </w:rPr>
            </w:pPr>
            <w:r>
              <w:rPr>
                <w:rFonts w:hint="eastAsia" w:ascii="仿宋" w:hAnsi="仿宋" w:eastAsia="仿宋" w:cs="仿宋"/>
                <w:bCs/>
                <w:szCs w:val="21"/>
              </w:rPr>
              <w:t>停产50%（含）以上，以生产线或设备计，只有一条生产线或设备的涉气工序停产；禁止使用国四及以下重型载货车辆（含燃气）进行物料运输。</w:t>
            </w:r>
          </w:p>
        </w:tc>
        <w:tc>
          <w:tcPr>
            <w:tcW w:w="3389" w:type="dxa"/>
            <w:noWrap/>
            <w:vAlign w:val="center"/>
          </w:tcPr>
          <w:p>
            <w:pPr>
              <w:adjustRightInd w:val="0"/>
              <w:snapToGrid w:val="0"/>
              <w:jc w:val="left"/>
              <w:rPr>
                <w:rFonts w:ascii="仿宋" w:hAnsi="仿宋" w:eastAsia="仿宋" w:cs="仿宋"/>
                <w:bCs/>
                <w:szCs w:val="21"/>
              </w:rPr>
            </w:pPr>
            <w:r>
              <w:rPr>
                <w:rFonts w:hint="eastAsia" w:ascii="仿宋" w:hAnsi="仿宋" w:eastAsia="仿宋" w:cs="仿宋"/>
                <w:bCs/>
                <w:szCs w:val="21"/>
              </w:rPr>
              <w:t>停产50%（含）以上，以生产线或设备计，只有一条生产线或设备的涉气工序停产；禁止使用国四及以下重型载货车辆（含燃气）进行物料运输。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6" w:type="dxa"/>
          <w:trHeight w:val="146" w:hRule="atLeast"/>
          <w:jc w:val="center"/>
        </w:trPr>
        <w:tc>
          <w:tcPr>
            <w:tcW w:w="637" w:type="dxa"/>
            <w:noWrap/>
            <w:vAlign w:val="center"/>
          </w:tcPr>
          <w:p>
            <w:pPr>
              <w:adjustRightInd w:val="0"/>
              <w:snapToGrid w:val="0"/>
              <w:jc w:val="center"/>
              <w:rPr>
                <w:rFonts w:ascii="仿宋" w:hAnsi="仿宋" w:eastAsia="仿宋" w:cs="仿宋"/>
                <w:bCs/>
                <w:szCs w:val="21"/>
              </w:rPr>
            </w:pPr>
            <w:r>
              <w:rPr>
                <w:rFonts w:hint="eastAsia" w:ascii="仿宋" w:hAnsi="仿宋" w:eastAsia="仿宋" w:cs="仿宋"/>
                <w:bCs/>
                <w:szCs w:val="21"/>
              </w:rPr>
              <w:t>24</w:t>
            </w:r>
          </w:p>
        </w:tc>
        <w:tc>
          <w:tcPr>
            <w:tcW w:w="974" w:type="dxa"/>
            <w:noWrap/>
            <w:vAlign w:val="center"/>
          </w:tcPr>
          <w:p>
            <w:pPr>
              <w:adjustRightInd w:val="0"/>
              <w:snapToGrid w:val="0"/>
              <w:jc w:val="center"/>
              <w:rPr>
                <w:rFonts w:hint="eastAsia" w:ascii="仿宋" w:hAnsi="仿宋" w:eastAsia="仿宋" w:cs="仿宋"/>
                <w:bCs/>
                <w:szCs w:val="21"/>
              </w:rPr>
            </w:pPr>
            <w:r>
              <w:rPr>
                <w:rFonts w:hint="eastAsia" w:ascii="仿宋" w:hAnsi="仿宋" w:eastAsia="仿宋" w:cs="仿宋"/>
                <w:bCs/>
                <w:szCs w:val="21"/>
              </w:rPr>
              <w:t>平版</w:t>
            </w:r>
          </w:p>
          <w:p>
            <w:pPr>
              <w:adjustRightInd w:val="0"/>
              <w:snapToGrid w:val="0"/>
              <w:jc w:val="center"/>
              <w:rPr>
                <w:rFonts w:hint="eastAsia" w:ascii="仿宋" w:hAnsi="仿宋" w:eastAsia="仿宋" w:cs="仿宋"/>
                <w:bCs/>
                <w:szCs w:val="21"/>
              </w:rPr>
            </w:pPr>
            <w:r>
              <w:rPr>
                <w:rFonts w:hint="eastAsia" w:ascii="仿宋" w:hAnsi="仿宋" w:eastAsia="仿宋" w:cs="仿宋"/>
                <w:bCs/>
                <w:szCs w:val="21"/>
              </w:rPr>
              <w:t>胶印</w:t>
            </w:r>
          </w:p>
          <w:p>
            <w:pPr>
              <w:adjustRightInd w:val="0"/>
              <w:snapToGrid w:val="0"/>
              <w:jc w:val="center"/>
              <w:rPr>
                <w:rFonts w:ascii="仿宋" w:hAnsi="仿宋" w:eastAsia="仿宋" w:cs="仿宋"/>
                <w:bCs/>
                <w:szCs w:val="21"/>
              </w:rPr>
            </w:pPr>
            <w:r>
              <w:rPr>
                <w:rFonts w:hint="eastAsia" w:ascii="仿宋" w:hAnsi="仿宋" w:eastAsia="仿宋" w:cs="仿宋"/>
                <w:bCs/>
                <w:szCs w:val="21"/>
              </w:rPr>
              <w:t>行业</w:t>
            </w:r>
          </w:p>
        </w:tc>
        <w:tc>
          <w:tcPr>
            <w:tcW w:w="1955" w:type="dxa"/>
            <w:tcBorders>
              <w:right w:val="single" w:color="auto" w:sz="4" w:space="0"/>
            </w:tcBorders>
            <w:noWrap/>
            <w:vAlign w:val="center"/>
          </w:tcPr>
          <w:p>
            <w:pPr>
              <w:adjustRightInd w:val="0"/>
              <w:snapToGrid w:val="0"/>
              <w:jc w:val="both"/>
              <w:rPr>
                <w:rFonts w:ascii="仿宋" w:hAnsi="仿宋" w:eastAsia="仿宋" w:cs="仿宋"/>
                <w:bCs/>
                <w:szCs w:val="21"/>
              </w:rPr>
            </w:pPr>
          </w:p>
        </w:tc>
        <w:tc>
          <w:tcPr>
            <w:tcW w:w="1738" w:type="dxa"/>
            <w:tcBorders>
              <w:left w:val="single" w:color="auto" w:sz="4" w:space="0"/>
            </w:tcBorders>
            <w:noWrap/>
            <w:vAlign w:val="center"/>
          </w:tcPr>
          <w:p>
            <w:pPr>
              <w:adjustRightInd w:val="0"/>
              <w:snapToGrid w:val="0"/>
              <w:jc w:val="left"/>
              <w:rPr>
                <w:rFonts w:ascii="仿宋" w:hAnsi="仿宋" w:eastAsia="仿宋" w:cs="仿宋"/>
                <w:bCs/>
                <w:szCs w:val="21"/>
              </w:rPr>
            </w:pPr>
          </w:p>
        </w:tc>
        <w:tc>
          <w:tcPr>
            <w:tcW w:w="3315" w:type="dxa"/>
            <w:noWrap/>
            <w:vAlign w:val="center"/>
          </w:tcPr>
          <w:p>
            <w:pPr>
              <w:adjustRightInd w:val="0"/>
              <w:snapToGrid w:val="0"/>
              <w:jc w:val="left"/>
              <w:rPr>
                <w:rFonts w:ascii="仿宋" w:hAnsi="仿宋" w:eastAsia="仿宋" w:cs="仿宋"/>
                <w:bCs/>
                <w:szCs w:val="21"/>
              </w:rPr>
            </w:pPr>
            <w:r>
              <w:rPr>
                <w:rFonts w:hint="eastAsia" w:ascii="仿宋" w:hAnsi="仿宋" w:eastAsia="仿宋" w:cs="仿宋"/>
                <w:bCs/>
                <w:szCs w:val="21"/>
              </w:rPr>
              <w:t>使用油性墨和水性墨的涉VOC工序停产；禁止使用国四及以下重型载货车辆（含燃气）进行物料运输。</w:t>
            </w:r>
          </w:p>
        </w:tc>
        <w:tc>
          <w:tcPr>
            <w:tcW w:w="3221" w:type="dxa"/>
            <w:noWrap/>
            <w:vAlign w:val="center"/>
          </w:tcPr>
          <w:p>
            <w:pPr>
              <w:adjustRightInd w:val="0"/>
              <w:snapToGrid w:val="0"/>
              <w:jc w:val="left"/>
              <w:rPr>
                <w:rFonts w:ascii="仿宋" w:hAnsi="仿宋" w:eastAsia="仿宋" w:cs="仿宋"/>
                <w:bCs/>
                <w:szCs w:val="21"/>
              </w:rPr>
            </w:pPr>
            <w:r>
              <w:rPr>
                <w:rFonts w:hint="eastAsia" w:ascii="仿宋" w:hAnsi="仿宋" w:eastAsia="仿宋" w:cs="仿宋"/>
                <w:bCs/>
                <w:szCs w:val="21"/>
              </w:rPr>
              <w:t>使用油性墨的停产50%（含）以上，以生产线或设备计，只有一条生产线或设备的涉VOCS工序停产；禁止使用国四及以下重型载货车辆（含燃气）进行物料运输。</w:t>
            </w:r>
          </w:p>
        </w:tc>
        <w:tc>
          <w:tcPr>
            <w:tcW w:w="3389" w:type="dxa"/>
            <w:noWrap/>
            <w:vAlign w:val="center"/>
          </w:tcPr>
          <w:p>
            <w:pPr>
              <w:adjustRightInd w:val="0"/>
              <w:snapToGrid w:val="0"/>
              <w:jc w:val="left"/>
              <w:rPr>
                <w:rFonts w:ascii="仿宋" w:hAnsi="仿宋" w:eastAsia="仿宋" w:cs="仿宋"/>
                <w:bCs/>
                <w:szCs w:val="21"/>
              </w:rPr>
            </w:pPr>
            <w:r>
              <w:rPr>
                <w:rFonts w:hint="eastAsia" w:ascii="仿宋" w:hAnsi="仿宋" w:eastAsia="仿宋" w:cs="仿宋"/>
                <w:bCs/>
                <w:szCs w:val="21"/>
              </w:rPr>
              <w:t>使用油性墨停产30%（含）以上，以生产线或设备计，只有一条生产线或设备的涉VOCS工序停产；禁止使用国四及以下重型载货车辆（含燃气）进行物料运输。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6" w:type="dxa"/>
          <w:trHeight w:val="1113" w:hRule="atLeast"/>
          <w:jc w:val="center"/>
        </w:trPr>
        <w:tc>
          <w:tcPr>
            <w:tcW w:w="637" w:type="dxa"/>
            <w:noWrap/>
            <w:vAlign w:val="center"/>
          </w:tcPr>
          <w:p>
            <w:pPr>
              <w:adjustRightInd w:val="0"/>
              <w:snapToGrid w:val="0"/>
              <w:jc w:val="center"/>
              <w:rPr>
                <w:rFonts w:ascii="仿宋" w:hAnsi="仿宋" w:eastAsia="仿宋" w:cs="仿宋"/>
                <w:bCs/>
                <w:szCs w:val="21"/>
              </w:rPr>
            </w:pPr>
            <w:r>
              <w:rPr>
                <w:rFonts w:hint="eastAsia" w:ascii="仿宋" w:hAnsi="仿宋" w:eastAsia="仿宋" w:cs="仿宋"/>
                <w:bCs/>
                <w:szCs w:val="21"/>
              </w:rPr>
              <w:t>25</w:t>
            </w:r>
          </w:p>
        </w:tc>
        <w:tc>
          <w:tcPr>
            <w:tcW w:w="974" w:type="dxa"/>
            <w:noWrap/>
            <w:vAlign w:val="center"/>
          </w:tcPr>
          <w:p>
            <w:pPr>
              <w:adjustRightInd w:val="0"/>
              <w:snapToGrid w:val="0"/>
              <w:jc w:val="center"/>
              <w:rPr>
                <w:rFonts w:hint="eastAsia" w:ascii="仿宋" w:hAnsi="仿宋" w:eastAsia="仿宋" w:cs="仿宋"/>
                <w:bCs/>
                <w:szCs w:val="21"/>
              </w:rPr>
            </w:pPr>
            <w:r>
              <w:rPr>
                <w:rFonts w:hint="eastAsia" w:ascii="仿宋" w:hAnsi="仿宋" w:eastAsia="仿宋" w:cs="仿宋"/>
                <w:bCs/>
                <w:szCs w:val="21"/>
              </w:rPr>
              <w:t>钙粉</w:t>
            </w:r>
          </w:p>
          <w:p>
            <w:pPr>
              <w:adjustRightInd w:val="0"/>
              <w:snapToGrid w:val="0"/>
              <w:jc w:val="center"/>
              <w:rPr>
                <w:rFonts w:ascii="仿宋" w:hAnsi="仿宋" w:eastAsia="仿宋" w:cs="仿宋"/>
                <w:bCs/>
                <w:szCs w:val="21"/>
              </w:rPr>
            </w:pPr>
            <w:r>
              <w:rPr>
                <w:rFonts w:hint="eastAsia" w:ascii="仿宋" w:hAnsi="仿宋" w:eastAsia="仿宋" w:cs="仿宋"/>
                <w:bCs/>
                <w:szCs w:val="21"/>
              </w:rPr>
              <w:t>行业</w:t>
            </w:r>
          </w:p>
        </w:tc>
        <w:tc>
          <w:tcPr>
            <w:tcW w:w="1955" w:type="dxa"/>
            <w:tcBorders>
              <w:right w:val="single" w:color="auto" w:sz="4" w:space="0"/>
            </w:tcBorders>
            <w:noWrap/>
            <w:vAlign w:val="center"/>
          </w:tcPr>
          <w:p>
            <w:pPr>
              <w:adjustRightInd w:val="0"/>
              <w:snapToGrid w:val="0"/>
              <w:jc w:val="both"/>
              <w:rPr>
                <w:rFonts w:ascii="仿宋" w:hAnsi="仿宋" w:eastAsia="仿宋" w:cs="仿宋"/>
                <w:bCs/>
                <w:szCs w:val="21"/>
              </w:rPr>
            </w:pPr>
          </w:p>
        </w:tc>
        <w:tc>
          <w:tcPr>
            <w:tcW w:w="1738" w:type="dxa"/>
            <w:tcBorders>
              <w:left w:val="single" w:color="auto" w:sz="4" w:space="0"/>
            </w:tcBorders>
            <w:noWrap/>
            <w:vAlign w:val="center"/>
          </w:tcPr>
          <w:p>
            <w:pPr>
              <w:adjustRightInd w:val="0"/>
              <w:snapToGrid w:val="0"/>
              <w:jc w:val="left"/>
              <w:rPr>
                <w:rFonts w:ascii="仿宋" w:hAnsi="仿宋" w:eastAsia="仿宋" w:cs="仿宋"/>
                <w:bCs/>
                <w:szCs w:val="21"/>
              </w:rPr>
            </w:pPr>
          </w:p>
        </w:tc>
        <w:tc>
          <w:tcPr>
            <w:tcW w:w="3315" w:type="dxa"/>
            <w:noWrap/>
            <w:vAlign w:val="center"/>
          </w:tcPr>
          <w:p>
            <w:pPr>
              <w:adjustRightInd w:val="0"/>
              <w:snapToGrid w:val="0"/>
              <w:jc w:val="left"/>
              <w:rPr>
                <w:rFonts w:ascii="仿宋" w:hAnsi="仿宋" w:eastAsia="仿宋" w:cs="仿宋"/>
                <w:bCs/>
                <w:szCs w:val="21"/>
              </w:rPr>
            </w:pPr>
            <w:r>
              <w:rPr>
                <w:rFonts w:hint="eastAsia" w:ascii="仿宋" w:hAnsi="仿宋" w:eastAsia="仿宋" w:cs="仿宋"/>
                <w:bCs/>
                <w:szCs w:val="21"/>
              </w:rPr>
              <w:t>停产；禁止使用国四及以下重型载货车辆（含燃气）进行物料运输。</w:t>
            </w:r>
          </w:p>
        </w:tc>
        <w:tc>
          <w:tcPr>
            <w:tcW w:w="3221" w:type="dxa"/>
            <w:noWrap/>
            <w:vAlign w:val="center"/>
          </w:tcPr>
          <w:p>
            <w:pPr>
              <w:adjustRightInd w:val="0"/>
              <w:snapToGrid w:val="0"/>
              <w:jc w:val="left"/>
              <w:rPr>
                <w:rFonts w:ascii="仿宋" w:hAnsi="仿宋" w:eastAsia="仿宋" w:cs="仿宋"/>
                <w:bCs/>
                <w:szCs w:val="21"/>
              </w:rPr>
            </w:pPr>
            <w:r>
              <w:rPr>
                <w:rFonts w:hint="eastAsia" w:ascii="仿宋" w:hAnsi="仿宋" w:eastAsia="仿宋" w:cs="仿宋"/>
                <w:bCs/>
                <w:szCs w:val="21"/>
              </w:rPr>
              <w:t>停产；禁止使用国四及以下重型载货车辆（含燃气）进行物料运输。</w:t>
            </w:r>
          </w:p>
        </w:tc>
        <w:tc>
          <w:tcPr>
            <w:tcW w:w="3389" w:type="dxa"/>
            <w:noWrap/>
            <w:vAlign w:val="center"/>
          </w:tcPr>
          <w:p>
            <w:pPr>
              <w:adjustRightInd w:val="0"/>
              <w:snapToGrid w:val="0"/>
              <w:jc w:val="left"/>
              <w:rPr>
                <w:rFonts w:ascii="仿宋" w:hAnsi="仿宋" w:eastAsia="仿宋" w:cs="仿宋"/>
                <w:bCs/>
                <w:szCs w:val="21"/>
              </w:rPr>
            </w:pPr>
            <w:r>
              <w:rPr>
                <w:rFonts w:hint="eastAsia" w:ascii="仿宋" w:hAnsi="仿宋" w:eastAsia="仿宋" w:cs="仿宋"/>
                <w:bCs/>
                <w:szCs w:val="21"/>
              </w:rPr>
              <w:t>停产；禁止使用国四及以下重型载货车辆（含燃气）进行物料运输。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6" w:type="dxa"/>
          <w:trHeight w:val="146" w:hRule="atLeast"/>
          <w:jc w:val="center"/>
        </w:trPr>
        <w:tc>
          <w:tcPr>
            <w:tcW w:w="637" w:type="dxa"/>
            <w:noWrap/>
            <w:vAlign w:val="center"/>
          </w:tcPr>
          <w:p>
            <w:pPr>
              <w:adjustRightInd w:val="0"/>
              <w:snapToGrid w:val="0"/>
              <w:jc w:val="center"/>
              <w:rPr>
                <w:rFonts w:ascii="仿宋" w:hAnsi="仿宋" w:eastAsia="仿宋" w:cs="仿宋"/>
                <w:bCs/>
                <w:szCs w:val="21"/>
              </w:rPr>
            </w:pPr>
            <w:r>
              <w:rPr>
                <w:rFonts w:hint="eastAsia" w:ascii="仿宋" w:hAnsi="仿宋" w:eastAsia="仿宋" w:cs="仿宋"/>
                <w:bCs/>
                <w:szCs w:val="21"/>
              </w:rPr>
              <w:t>26</w:t>
            </w:r>
          </w:p>
        </w:tc>
        <w:tc>
          <w:tcPr>
            <w:tcW w:w="974" w:type="dxa"/>
            <w:noWrap/>
            <w:vAlign w:val="center"/>
          </w:tcPr>
          <w:p>
            <w:pPr>
              <w:adjustRightInd w:val="0"/>
              <w:snapToGrid w:val="0"/>
              <w:jc w:val="center"/>
              <w:rPr>
                <w:rFonts w:hint="eastAsia" w:ascii="仿宋" w:hAnsi="仿宋" w:eastAsia="仿宋" w:cs="仿宋"/>
                <w:bCs/>
                <w:szCs w:val="21"/>
              </w:rPr>
            </w:pPr>
            <w:r>
              <w:rPr>
                <w:rFonts w:hint="eastAsia" w:ascii="仿宋" w:hAnsi="仿宋" w:eastAsia="仿宋" w:cs="仿宋"/>
                <w:bCs/>
                <w:szCs w:val="21"/>
              </w:rPr>
              <w:t>包装</w:t>
            </w:r>
          </w:p>
          <w:p>
            <w:pPr>
              <w:adjustRightInd w:val="0"/>
              <w:snapToGrid w:val="0"/>
              <w:jc w:val="center"/>
              <w:rPr>
                <w:rFonts w:ascii="仿宋" w:hAnsi="仿宋" w:eastAsia="仿宋" w:cs="仿宋"/>
                <w:bCs/>
                <w:szCs w:val="21"/>
              </w:rPr>
            </w:pPr>
            <w:r>
              <w:rPr>
                <w:rFonts w:hint="eastAsia" w:ascii="仿宋" w:hAnsi="仿宋" w:eastAsia="仿宋" w:cs="仿宋"/>
                <w:bCs/>
                <w:szCs w:val="21"/>
              </w:rPr>
              <w:t>印刷</w:t>
            </w:r>
          </w:p>
        </w:tc>
        <w:tc>
          <w:tcPr>
            <w:tcW w:w="1955" w:type="dxa"/>
            <w:tcBorders>
              <w:right w:val="single" w:color="auto" w:sz="4" w:space="0"/>
            </w:tcBorders>
            <w:noWrap/>
            <w:vAlign w:val="center"/>
          </w:tcPr>
          <w:p>
            <w:pPr>
              <w:adjustRightInd w:val="0"/>
              <w:snapToGrid w:val="0"/>
              <w:jc w:val="both"/>
              <w:rPr>
                <w:rFonts w:ascii="仿宋" w:hAnsi="仿宋" w:eastAsia="仿宋" w:cs="仿宋"/>
                <w:bCs/>
                <w:szCs w:val="21"/>
              </w:rPr>
            </w:pPr>
            <w:r>
              <w:rPr>
                <w:rFonts w:hint="eastAsia" w:ascii="仿宋" w:hAnsi="仿宋" w:eastAsia="仿宋" w:cs="仿宋"/>
                <w:bCs/>
                <w:szCs w:val="21"/>
              </w:rPr>
              <w:t>包括塑料软包装印刷、彩盒印刷、印铁制罐、标签印刷，不适用于书报刊、本册平板印刷，无VOCS排放的数字印刷及其他生产工序。</w:t>
            </w:r>
          </w:p>
        </w:tc>
        <w:tc>
          <w:tcPr>
            <w:tcW w:w="1738" w:type="dxa"/>
            <w:tcBorders>
              <w:left w:val="single" w:color="auto" w:sz="4" w:space="0"/>
            </w:tcBorders>
            <w:noWrap/>
            <w:vAlign w:val="center"/>
          </w:tcPr>
          <w:p>
            <w:pPr>
              <w:adjustRightInd w:val="0"/>
              <w:snapToGrid w:val="0"/>
              <w:jc w:val="left"/>
              <w:rPr>
                <w:rFonts w:ascii="仿宋" w:hAnsi="仿宋" w:eastAsia="仿宋" w:cs="仿宋"/>
                <w:bCs/>
                <w:szCs w:val="21"/>
              </w:rPr>
            </w:pPr>
          </w:p>
        </w:tc>
        <w:tc>
          <w:tcPr>
            <w:tcW w:w="3315" w:type="dxa"/>
            <w:noWrap/>
            <w:vAlign w:val="center"/>
          </w:tcPr>
          <w:p>
            <w:pPr>
              <w:adjustRightInd w:val="0"/>
              <w:snapToGrid w:val="0"/>
              <w:jc w:val="left"/>
              <w:rPr>
                <w:rFonts w:ascii="仿宋" w:hAnsi="仿宋" w:eastAsia="仿宋" w:cs="仿宋"/>
                <w:bCs/>
                <w:szCs w:val="21"/>
              </w:rPr>
            </w:pPr>
            <w:r>
              <w:rPr>
                <w:rFonts w:hint="eastAsia" w:ascii="仿宋" w:hAnsi="仿宋" w:eastAsia="仿宋" w:cs="仿宋"/>
                <w:bCs/>
                <w:szCs w:val="21"/>
              </w:rPr>
              <w:t>供墨、涂布、印刷、覆膜、复合、上光、清洗等涉VOCs排放工序停产；禁止使用国四及以下重型载货车辆（含燃气）进行物料运输。</w:t>
            </w:r>
          </w:p>
          <w:p>
            <w:pPr>
              <w:adjustRightInd w:val="0"/>
              <w:snapToGrid w:val="0"/>
              <w:jc w:val="left"/>
              <w:rPr>
                <w:rFonts w:ascii="仿宋" w:hAnsi="仿宋" w:eastAsia="仿宋" w:cs="仿宋"/>
                <w:bCs/>
                <w:szCs w:val="21"/>
              </w:rPr>
            </w:pPr>
          </w:p>
        </w:tc>
        <w:tc>
          <w:tcPr>
            <w:tcW w:w="3221" w:type="dxa"/>
            <w:noWrap/>
            <w:vAlign w:val="center"/>
          </w:tcPr>
          <w:p>
            <w:pPr>
              <w:adjustRightInd w:val="0"/>
              <w:snapToGrid w:val="0"/>
              <w:jc w:val="left"/>
              <w:rPr>
                <w:rFonts w:ascii="仿宋" w:hAnsi="仿宋" w:eastAsia="仿宋" w:cs="仿宋"/>
                <w:bCs/>
                <w:szCs w:val="21"/>
              </w:rPr>
            </w:pPr>
            <w:r>
              <w:rPr>
                <w:rFonts w:hint="eastAsia" w:ascii="仿宋" w:hAnsi="仿宋" w:eastAsia="仿宋" w:cs="仿宋"/>
                <w:bCs/>
                <w:szCs w:val="21"/>
              </w:rPr>
              <w:t>使用非溶剂型油墨企业停产50%（含）以上，以印刷机数量计。使用溶剂型油墨的企业停产；禁止使用国四及以下重型载货车辆（含燃气）进行物料运输。</w:t>
            </w:r>
          </w:p>
          <w:p>
            <w:pPr>
              <w:adjustRightInd w:val="0"/>
              <w:snapToGrid w:val="0"/>
              <w:jc w:val="left"/>
              <w:rPr>
                <w:rFonts w:ascii="仿宋" w:hAnsi="仿宋" w:eastAsia="仿宋" w:cs="仿宋"/>
                <w:bCs/>
                <w:szCs w:val="21"/>
              </w:rPr>
            </w:pPr>
          </w:p>
        </w:tc>
        <w:tc>
          <w:tcPr>
            <w:tcW w:w="3389" w:type="dxa"/>
            <w:noWrap/>
            <w:vAlign w:val="center"/>
          </w:tcPr>
          <w:p>
            <w:pPr>
              <w:adjustRightInd w:val="0"/>
              <w:snapToGrid w:val="0"/>
              <w:jc w:val="left"/>
              <w:rPr>
                <w:rFonts w:ascii="仿宋" w:hAnsi="仿宋" w:eastAsia="仿宋" w:cs="仿宋"/>
                <w:bCs/>
                <w:szCs w:val="21"/>
              </w:rPr>
            </w:pPr>
            <w:r>
              <w:rPr>
                <w:rFonts w:hint="eastAsia" w:ascii="仿宋" w:hAnsi="仿宋" w:eastAsia="仿宋" w:cs="仿宋"/>
                <w:bCs/>
                <w:szCs w:val="21"/>
              </w:rPr>
              <w:t>黄色预警期间：使用溶剂型油墨企业停产；禁止使用国四及以下重型载货车辆（含燃气）进行物料运输。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6" w:type="dxa"/>
          <w:trHeight w:val="146" w:hRule="atLeast"/>
          <w:jc w:val="center"/>
        </w:trPr>
        <w:tc>
          <w:tcPr>
            <w:tcW w:w="637" w:type="dxa"/>
            <w:noWrap/>
            <w:vAlign w:val="center"/>
          </w:tcPr>
          <w:p>
            <w:pPr>
              <w:adjustRightInd w:val="0"/>
              <w:snapToGrid w:val="0"/>
              <w:jc w:val="center"/>
              <w:rPr>
                <w:rFonts w:ascii="仿宋" w:hAnsi="仿宋" w:eastAsia="仿宋" w:cs="仿宋"/>
                <w:bCs/>
                <w:szCs w:val="21"/>
              </w:rPr>
            </w:pPr>
            <w:r>
              <w:rPr>
                <w:rFonts w:hint="eastAsia" w:ascii="仿宋" w:hAnsi="仿宋" w:eastAsia="仿宋" w:cs="仿宋"/>
                <w:bCs/>
                <w:szCs w:val="21"/>
              </w:rPr>
              <w:t>27</w:t>
            </w:r>
          </w:p>
        </w:tc>
        <w:tc>
          <w:tcPr>
            <w:tcW w:w="974" w:type="dxa"/>
            <w:noWrap/>
            <w:vAlign w:val="center"/>
          </w:tcPr>
          <w:p>
            <w:pPr>
              <w:adjustRightInd w:val="0"/>
              <w:snapToGrid w:val="0"/>
              <w:jc w:val="center"/>
              <w:rPr>
                <w:rFonts w:hint="eastAsia" w:ascii="仿宋" w:hAnsi="仿宋" w:eastAsia="仿宋" w:cs="仿宋"/>
                <w:bCs/>
                <w:szCs w:val="21"/>
              </w:rPr>
            </w:pPr>
            <w:r>
              <w:rPr>
                <w:rFonts w:hint="eastAsia" w:ascii="仿宋" w:hAnsi="仿宋" w:eastAsia="仿宋" w:cs="仿宋"/>
                <w:bCs/>
                <w:szCs w:val="21"/>
              </w:rPr>
              <w:t>补充</w:t>
            </w:r>
          </w:p>
          <w:p>
            <w:pPr>
              <w:adjustRightInd w:val="0"/>
              <w:snapToGrid w:val="0"/>
              <w:jc w:val="center"/>
              <w:rPr>
                <w:rFonts w:ascii="仿宋" w:hAnsi="仿宋" w:eastAsia="仿宋" w:cs="仿宋"/>
                <w:bCs/>
                <w:szCs w:val="21"/>
              </w:rPr>
            </w:pPr>
            <w:r>
              <w:rPr>
                <w:rFonts w:hint="eastAsia" w:ascii="仿宋" w:hAnsi="仿宋" w:eastAsia="仿宋" w:cs="仿宋"/>
                <w:bCs/>
                <w:szCs w:val="21"/>
              </w:rPr>
              <w:t>规定</w:t>
            </w:r>
          </w:p>
        </w:tc>
        <w:tc>
          <w:tcPr>
            <w:tcW w:w="13618" w:type="dxa"/>
            <w:gridSpan w:val="5"/>
            <w:noWrap/>
            <w:vAlign w:val="center"/>
          </w:tcPr>
          <w:p>
            <w:pPr>
              <w:adjustRightInd w:val="0"/>
              <w:snapToGrid w:val="0"/>
              <w:jc w:val="both"/>
              <w:rPr>
                <w:rFonts w:hint="eastAsia" w:ascii="仿宋" w:hAnsi="仿宋" w:eastAsia="仿宋" w:cs="仿宋"/>
                <w:bCs/>
                <w:szCs w:val="21"/>
              </w:rPr>
            </w:pPr>
            <w:r>
              <w:rPr>
                <w:rFonts w:hint="eastAsia" w:ascii="仿宋" w:hAnsi="仿宋" w:eastAsia="仿宋" w:cs="仿宋"/>
                <w:bCs/>
                <w:szCs w:val="21"/>
              </w:rPr>
              <w:t>1.使用锅炉生产，其他工艺环节不排放大气污染物的企业，参照</w:t>
            </w:r>
            <w:r>
              <w:rPr>
                <w:rFonts w:hint="eastAsia" w:ascii="仿宋" w:hAnsi="仿宋" w:eastAsia="仿宋" w:cs="仿宋"/>
                <w:bCs/>
                <w:szCs w:val="21"/>
                <w:lang w:val="en-US" w:eastAsia="zh-CN"/>
              </w:rPr>
              <w:t>《</w:t>
            </w:r>
            <w:r>
              <w:rPr>
                <w:rFonts w:hint="eastAsia" w:ascii="仿宋" w:hAnsi="仿宋" w:eastAsia="仿宋" w:cs="仿宋"/>
                <w:bCs/>
                <w:szCs w:val="21"/>
                <w:lang w:eastAsia="zh-CN"/>
              </w:rPr>
              <w:t>保定市非重点行业重污染天气应急响应减排措施</w:t>
            </w:r>
            <w:r>
              <w:rPr>
                <w:rFonts w:hint="eastAsia" w:ascii="仿宋" w:hAnsi="仿宋" w:eastAsia="仿宋" w:cs="仿宋"/>
                <w:bCs/>
                <w:szCs w:val="21"/>
                <w:lang w:val="en-US" w:eastAsia="zh-CN"/>
              </w:rPr>
              <w:t>》中</w:t>
            </w:r>
            <w:r>
              <w:rPr>
                <w:rFonts w:hint="eastAsia" w:ascii="仿宋" w:hAnsi="仿宋" w:eastAsia="仿宋" w:cs="仿宋"/>
                <w:bCs/>
                <w:szCs w:val="21"/>
              </w:rPr>
              <w:t>“造纸行业”采取管控措施。</w:t>
            </w:r>
          </w:p>
          <w:p>
            <w:pPr>
              <w:adjustRightInd w:val="0"/>
              <w:snapToGrid w:val="0"/>
              <w:jc w:val="both"/>
              <w:rPr>
                <w:rFonts w:ascii="仿宋" w:hAnsi="仿宋" w:eastAsia="仿宋" w:cs="仿宋"/>
                <w:bCs/>
                <w:szCs w:val="21"/>
              </w:rPr>
            </w:pPr>
            <w:r>
              <w:rPr>
                <w:rFonts w:hint="eastAsia" w:ascii="仿宋" w:hAnsi="仿宋" w:eastAsia="仿宋" w:cs="仿宋"/>
                <w:bCs/>
                <w:szCs w:val="21"/>
              </w:rPr>
              <w:t>2.不需要绩效评级的行业，生产用燃煤、生物质锅炉稳定达到超低排放限值，燃气锅炉完成低氮改造并稳定达标（氮氧化物30毫克/立方米以下），不再评级，与生产系统挂钩即可，执行已规定的减排措施。</w:t>
            </w:r>
          </w:p>
          <w:p>
            <w:pPr>
              <w:adjustRightInd w:val="0"/>
              <w:snapToGrid w:val="0"/>
              <w:jc w:val="both"/>
              <w:rPr>
                <w:rFonts w:ascii="仿宋" w:hAnsi="仿宋" w:eastAsia="仿宋" w:cs="仿宋"/>
                <w:bCs/>
                <w:szCs w:val="21"/>
              </w:rPr>
            </w:pPr>
            <w:r>
              <w:rPr>
                <w:rFonts w:hint="eastAsia" w:ascii="仿宋" w:hAnsi="仿宋" w:eastAsia="仿宋" w:cs="仿宋"/>
                <w:bCs/>
                <w:szCs w:val="21"/>
              </w:rPr>
              <w:t>3.企业独立供暖锅炉，可不参与停限产。</w:t>
            </w:r>
          </w:p>
          <w:p>
            <w:pPr>
              <w:adjustRightInd w:val="0"/>
              <w:snapToGrid w:val="0"/>
              <w:jc w:val="both"/>
              <w:rPr>
                <w:rFonts w:ascii="仿宋" w:hAnsi="仿宋" w:eastAsia="仿宋" w:cs="仿宋"/>
                <w:bCs/>
                <w:szCs w:val="21"/>
              </w:rPr>
            </w:pPr>
            <w:r>
              <w:rPr>
                <w:rFonts w:hint="eastAsia" w:ascii="仿宋" w:hAnsi="仿宋" w:eastAsia="仿宋" w:cs="仿宋"/>
                <w:bCs/>
                <w:szCs w:val="21"/>
              </w:rPr>
              <w:t>4.生产工艺中大气污染物只排放烟粉尘（颗粒物）的企业，可参照“第</w:t>
            </w:r>
            <w:r>
              <w:rPr>
                <w:rFonts w:hint="eastAsia" w:ascii="仿宋" w:hAnsi="仿宋" w:eastAsia="仿宋" w:cs="仿宋"/>
                <w:bCs/>
                <w:szCs w:val="21"/>
                <w:lang w:eastAsia="zh-CN"/>
              </w:rPr>
              <w:t>二</w:t>
            </w:r>
            <w:r>
              <w:rPr>
                <w:rFonts w:hint="eastAsia" w:ascii="仿宋" w:hAnsi="仿宋" w:eastAsia="仿宋" w:cs="仿宋"/>
                <w:bCs/>
                <w:szCs w:val="21"/>
              </w:rPr>
              <w:t>十五项、钙粉行业”采取管控措施。</w:t>
            </w:r>
          </w:p>
          <w:p>
            <w:pPr>
              <w:adjustRightInd w:val="0"/>
              <w:snapToGrid w:val="0"/>
              <w:jc w:val="both"/>
              <w:rPr>
                <w:rFonts w:ascii="仿宋" w:hAnsi="仿宋" w:eastAsia="仿宋" w:cs="仿宋"/>
                <w:bCs/>
                <w:szCs w:val="21"/>
              </w:rPr>
            </w:pPr>
            <w:r>
              <w:rPr>
                <w:rFonts w:hint="eastAsia" w:ascii="仿宋" w:hAnsi="仿宋" w:eastAsia="仿宋" w:cs="仿宋"/>
                <w:bCs/>
                <w:szCs w:val="21"/>
              </w:rPr>
              <w:t>5.其他涉VOCS工序的行业参照“第</w:t>
            </w:r>
            <w:r>
              <w:rPr>
                <w:rFonts w:hint="eastAsia" w:ascii="仿宋" w:hAnsi="仿宋" w:eastAsia="仿宋" w:cs="仿宋"/>
                <w:bCs/>
                <w:szCs w:val="21"/>
                <w:lang w:eastAsia="zh-CN"/>
              </w:rPr>
              <w:t>十八项</w:t>
            </w:r>
            <w:r>
              <w:rPr>
                <w:rFonts w:hint="eastAsia" w:ascii="仿宋" w:hAnsi="仿宋" w:eastAsia="仿宋" w:cs="仿宋"/>
                <w:bCs/>
                <w:szCs w:val="21"/>
              </w:rPr>
              <w:t>、机械加工行业”采取管控措施。</w:t>
            </w:r>
          </w:p>
          <w:p>
            <w:pPr>
              <w:adjustRightInd w:val="0"/>
              <w:snapToGrid w:val="0"/>
              <w:jc w:val="both"/>
              <w:rPr>
                <w:rFonts w:ascii="仿宋" w:hAnsi="仿宋" w:eastAsia="仿宋" w:cs="仿宋"/>
                <w:bCs/>
                <w:szCs w:val="21"/>
              </w:rPr>
            </w:pPr>
            <w:r>
              <w:rPr>
                <w:rFonts w:hint="eastAsia" w:ascii="仿宋" w:hAnsi="仿宋" w:eastAsia="仿宋" w:cs="仿宋"/>
                <w:bCs/>
                <w:szCs w:val="21"/>
              </w:rPr>
              <w:t>6.热电、集中供热和热力供应企业，预警期间要“以热定电”和“以热定产”，并实行车辆管控。</w:t>
            </w:r>
          </w:p>
          <w:p>
            <w:pPr>
              <w:adjustRightInd w:val="0"/>
              <w:snapToGrid w:val="0"/>
              <w:jc w:val="both"/>
              <w:rPr>
                <w:rFonts w:ascii="仿宋" w:hAnsi="仿宋" w:eastAsia="仿宋" w:cs="仿宋"/>
                <w:bCs/>
                <w:szCs w:val="21"/>
              </w:rPr>
            </w:pPr>
            <w:r>
              <w:rPr>
                <w:rFonts w:hint="eastAsia" w:ascii="仿宋" w:hAnsi="仿宋" w:eastAsia="仿宋" w:cs="仿宋"/>
                <w:bCs/>
                <w:szCs w:val="21"/>
              </w:rPr>
              <w:t>7.粮食加工、型煤、乳制品、屠宰等行业生产锅炉达到国家和地方排放标准，可不参与停限产，但要实行车辆管控。</w:t>
            </w:r>
          </w:p>
          <w:p>
            <w:pPr>
              <w:adjustRightInd w:val="0"/>
              <w:snapToGrid w:val="0"/>
              <w:jc w:val="both"/>
              <w:rPr>
                <w:rFonts w:ascii="仿宋" w:hAnsi="仿宋" w:eastAsia="仿宋" w:cs="仿宋"/>
                <w:bCs/>
                <w:szCs w:val="21"/>
              </w:rPr>
            </w:pPr>
            <w:r>
              <w:rPr>
                <w:rFonts w:hint="eastAsia" w:ascii="仿宋" w:hAnsi="仿宋" w:eastAsia="仿宋" w:cs="仿宋"/>
                <w:bCs/>
                <w:szCs w:val="21"/>
              </w:rPr>
              <w:t>8.沥青搅拌站与水泥搅拌站的减排措施相同。</w:t>
            </w:r>
          </w:p>
          <w:p>
            <w:pPr>
              <w:adjustRightInd w:val="0"/>
              <w:snapToGrid w:val="0"/>
              <w:jc w:val="both"/>
              <w:rPr>
                <w:rFonts w:ascii="仿宋" w:hAnsi="仿宋" w:eastAsia="仿宋" w:cs="仿宋"/>
                <w:bCs/>
                <w:szCs w:val="21"/>
              </w:rPr>
            </w:pPr>
            <w:r>
              <w:rPr>
                <w:rFonts w:hint="eastAsia" w:ascii="仿宋" w:hAnsi="仿宋" w:eastAsia="仿宋" w:cs="仿宋"/>
                <w:bCs/>
                <w:szCs w:val="21"/>
              </w:rPr>
              <w:t>9.需要绩效评级的企业涉及跨行业、跨工序时，以所含行业或工序中绩效评价较低为准，对该企业进行整体评级。</w:t>
            </w:r>
          </w:p>
          <w:p>
            <w:pPr>
              <w:adjustRightInd w:val="0"/>
              <w:snapToGrid w:val="0"/>
              <w:jc w:val="both"/>
              <w:rPr>
                <w:rFonts w:ascii="仿宋" w:hAnsi="仿宋" w:eastAsia="仿宋" w:cs="仿宋"/>
                <w:bCs/>
                <w:szCs w:val="21"/>
              </w:rPr>
            </w:pPr>
            <w:r>
              <w:rPr>
                <w:rFonts w:hint="eastAsia" w:ascii="仿宋" w:hAnsi="仿宋" w:eastAsia="仿宋" w:cs="仿宋"/>
                <w:bCs/>
                <w:szCs w:val="21"/>
              </w:rPr>
              <w:t>10.不需要绩效评级的企业涉及跨行业、跨工序时，以所含行业、工序中主要行业或最严格的措施为准。</w:t>
            </w:r>
          </w:p>
          <w:p>
            <w:pPr>
              <w:adjustRightInd w:val="0"/>
              <w:snapToGrid w:val="0"/>
              <w:jc w:val="both"/>
              <w:rPr>
                <w:rFonts w:ascii="仿宋" w:hAnsi="仿宋" w:eastAsia="仿宋" w:cs="仿宋"/>
                <w:bCs/>
                <w:szCs w:val="21"/>
              </w:rPr>
            </w:pPr>
            <w:r>
              <w:rPr>
                <w:rFonts w:hint="eastAsia" w:ascii="仿宋" w:hAnsi="仿宋" w:eastAsia="仿宋" w:cs="仿宋"/>
                <w:bCs/>
                <w:szCs w:val="21"/>
              </w:rPr>
              <w:t>11.小微涉气企业是指单一大气污染物（PM、VOCS或PM+VOCS）排放量小于100千克/每年的涉气企业，黄色、橙色预警只采取车辆管控措施，红色预警停产，根据企业实际情况，企业规模较大，管理水平较低，不能列入小微涉气企业。</w:t>
            </w:r>
          </w:p>
          <w:p>
            <w:pPr>
              <w:adjustRightInd w:val="0"/>
              <w:snapToGrid w:val="0"/>
              <w:jc w:val="both"/>
              <w:rPr>
                <w:rFonts w:ascii="仿宋" w:hAnsi="仿宋" w:eastAsia="仿宋" w:cs="仿宋"/>
                <w:bCs/>
                <w:szCs w:val="21"/>
              </w:rPr>
            </w:pPr>
          </w:p>
        </w:tc>
      </w:tr>
    </w:tbl>
    <w:p>
      <w:pPr>
        <w:rPr>
          <w:rFonts w:ascii="仿宋" w:hAnsi="仿宋" w:eastAsia="仿宋" w:cs="仿宋"/>
          <w:sz w:val="32"/>
          <w:szCs w:val="32"/>
        </w:rPr>
      </w:pPr>
    </w:p>
    <w:p>
      <w:pPr>
        <w:rPr>
          <w:rFonts w:hint="eastAsia" w:ascii="黑体" w:hAnsi="黑体" w:eastAsia="黑体"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附件2</w:t>
      </w:r>
    </w:p>
    <w:p>
      <w:pPr>
        <w:spacing w:beforeLines="25" w:line="560" w:lineRule="exact"/>
        <w:jc w:val="center"/>
        <w:rPr>
          <w:rFonts w:ascii="方正小标宋简体" w:hAnsi="方正小标宋简体" w:eastAsia="方正小标宋简体" w:cs="方正小标宋简体"/>
          <w:bCs/>
          <w:w w:val="100"/>
          <w:sz w:val="44"/>
          <w:szCs w:val="44"/>
        </w:rPr>
      </w:pPr>
      <w:r>
        <w:rPr>
          <w:rFonts w:hint="eastAsia" w:ascii="方正小标宋简体" w:hAnsi="方正小标宋简体" w:eastAsia="方正小标宋简体" w:cs="方正小标宋简体"/>
          <w:bCs/>
          <w:w w:val="100"/>
          <w:sz w:val="44"/>
          <w:szCs w:val="44"/>
        </w:rPr>
        <w:t>涞水县重污染天气应急响应办公室成员单位职责</w:t>
      </w:r>
    </w:p>
    <w:tbl>
      <w:tblPr>
        <w:tblStyle w:val="10"/>
        <w:tblW w:w="137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5" w:type="dxa"/>
          <w:bottom w:w="0" w:type="dxa"/>
          <w:right w:w="15" w:type="dxa"/>
        </w:tblCellMar>
      </w:tblPr>
      <w:tblGrid>
        <w:gridCol w:w="1065"/>
        <w:gridCol w:w="2365"/>
        <w:gridCol w:w="103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5" w:type="dxa"/>
            <w:bottom w:w="0" w:type="dxa"/>
            <w:right w:w="15" w:type="dxa"/>
          </w:tblCellMar>
        </w:tblPrEx>
        <w:trPr>
          <w:cantSplit/>
          <w:trHeight w:val="548" w:hRule="atLeast"/>
          <w:tblHeader/>
          <w:jc w:val="center"/>
        </w:trPr>
        <w:tc>
          <w:tcPr>
            <w:tcW w:w="1065" w:type="dxa"/>
            <w:noWrap/>
            <w:vAlign w:val="center"/>
          </w:tcPr>
          <w:p>
            <w:pPr>
              <w:spacing w:line="420" w:lineRule="exact"/>
              <w:jc w:val="center"/>
              <w:textAlignment w:val="center"/>
              <w:rPr>
                <w:rFonts w:ascii="仿宋" w:hAnsi="仿宋" w:eastAsia="仿宋" w:cs="仿宋"/>
                <w:bCs/>
                <w:sz w:val="28"/>
                <w:szCs w:val="28"/>
              </w:rPr>
            </w:pPr>
            <w:r>
              <w:rPr>
                <w:rFonts w:hint="eastAsia" w:ascii="仿宋" w:hAnsi="仿宋" w:eastAsia="仿宋" w:cs="仿宋"/>
                <w:bCs/>
                <w:sz w:val="28"/>
                <w:szCs w:val="28"/>
              </w:rPr>
              <w:t>序号</w:t>
            </w:r>
          </w:p>
        </w:tc>
        <w:tc>
          <w:tcPr>
            <w:tcW w:w="2365" w:type="dxa"/>
            <w:noWrap/>
            <w:vAlign w:val="center"/>
          </w:tcPr>
          <w:p>
            <w:pPr>
              <w:spacing w:line="420" w:lineRule="exact"/>
              <w:jc w:val="center"/>
              <w:textAlignment w:val="center"/>
              <w:rPr>
                <w:rFonts w:ascii="仿宋" w:hAnsi="仿宋" w:eastAsia="仿宋" w:cs="仿宋"/>
                <w:bCs/>
                <w:sz w:val="28"/>
                <w:szCs w:val="28"/>
              </w:rPr>
            </w:pPr>
            <w:r>
              <w:rPr>
                <w:rFonts w:hint="eastAsia" w:ascii="仿宋" w:hAnsi="仿宋" w:eastAsia="仿宋" w:cs="仿宋"/>
                <w:bCs/>
                <w:sz w:val="28"/>
                <w:szCs w:val="28"/>
              </w:rPr>
              <w:t>单位名称</w:t>
            </w:r>
          </w:p>
        </w:tc>
        <w:tc>
          <w:tcPr>
            <w:tcW w:w="10354" w:type="dxa"/>
            <w:noWrap/>
            <w:vAlign w:val="center"/>
          </w:tcPr>
          <w:p>
            <w:pPr>
              <w:spacing w:line="420" w:lineRule="exact"/>
              <w:jc w:val="center"/>
              <w:textAlignment w:val="center"/>
              <w:rPr>
                <w:rFonts w:ascii="仿宋" w:hAnsi="仿宋" w:eastAsia="仿宋" w:cs="仿宋"/>
                <w:bCs/>
                <w:sz w:val="28"/>
                <w:szCs w:val="28"/>
              </w:rPr>
            </w:pPr>
            <w:r>
              <w:rPr>
                <w:rFonts w:hint="eastAsia" w:ascii="仿宋" w:hAnsi="仿宋" w:eastAsia="仿宋" w:cs="仿宋"/>
                <w:bCs/>
                <w:sz w:val="28"/>
                <w:szCs w:val="28"/>
              </w:rPr>
              <w:t>职          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5" w:type="dxa"/>
            <w:bottom w:w="0" w:type="dxa"/>
            <w:right w:w="15" w:type="dxa"/>
          </w:tblCellMar>
        </w:tblPrEx>
        <w:trPr>
          <w:cantSplit/>
          <w:jc w:val="center"/>
        </w:trPr>
        <w:tc>
          <w:tcPr>
            <w:tcW w:w="1065" w:type="dxa"/>
            <w:noWrap/>
            <w:vAlign w:val="center"/>
          </w:tcPr>
          <w:p>
            <w:pPr>
              <w:adjustRightInd w:val="0"/>
              <w:snapToGrid w:val="0"/>
              <w:spacing w:line="420" w:lineRule="exact"/>
              <w:jc w:val="center"/>
              <w:textAlignment w:val="center"/>
              <w:rPr>
                <w:rFonts w:ascii="仿宋" w:hAnsi="仿宋" w:eastAsia="仿宋" w:cs="仿宋"/>
                <w:sz w:val="28"/>
                <w:szCs w:val="28"/>
              </w:rPr>
            </w:pPr>
            <w:r>
              <w:rPr>
                <w:rFonts w:hint="eastAsia" w:ascii="仿宋" w:hAnsi="仿宋" w:eastAsia="仿宋" w:cs="仿宋"/>
                <w:sz w:val="28"/>
                <w:szCs w:val="28"/>
              </w:rPr>
              <w:t>1</w:t>
            </w:r>
          </w:p>
        </w:tc>
        <w:tc>
          <w:tcPr>
            <w:tcW w:w="2365" w:type="dxa"/>
            <w:noWrap/>
            <w:vAlign w:val="center"/>
          </w:tcPr>
          <w:p>
            <w:pPr>
              <w:adjustRightInd w:val="0"/>
              <w:snapToGrid w:val="0"/>
              <w:spacing w:line="420" w:lineRule="exact"/>
              <w:jc w:val="center"/>
              <w:textAlignment w:val="center"/>
              <w:rPr>
                <w:rFonts w:ascii="仿宋" w:hAnsi="仿宋" w:eastAsia="仿宋" w:cs="仿宋"/>
                <w:sz w:val="28"/>
                <w:szCs w:val="28"/>
              </w:rPr>
            </w:pPr>
            <w:r>
              <w:rPr>
                <w:rFonts w:hint="eastAsia" w:ascii="仿宋" w:hAnsi="仿宋" w:eastAsia="仿宋" w:cs="仿宋"/>
                <w:sz w:val="28"/>
                <w:szCs w:val="28"/>
              </w:rPr>
              <w:t>县政府</w:t>
            </w:r>
          </w:p>
        </w:tc>
        <w:tc>
          <w:tcPr>
            <w:tcW w:w="10354" w:type="dxa"/>
            <w:noWrap/>
            <w:vAlign w:val="center"/>
          </w:tcPr>
          <w:p>
            <w:pPr>
              <w:adjustRightInd w:val="0"/>
              <w:snapToGrid w:val="0"/>
              <w:spacing w:line="400" w:lineRule="exact"/>
              <w:ind w:left="52" w:leftChars="25" w:right="52" w:rightChars="25"/>
              <w:textAlignment w:val="center"/>
              <w:rPr>
                <w:rFonts w:ascii="仿宋" w:hAnsi="仿宋" w:eastAsia="仿宋" w:cs="仿宋"/>
                <w:sz w:val="28"/>
                <w:szCs w:val="28"/>
              </w:rPr>
            </w:pPr>
            <w:r>
              <w:rPr>
                <w:rFonts w:hint="eastAsia" w:ascii="仿宋" w:hAnsi="仿宋" w:eastAsia="仿宋" w:cs="仿宋"/>
                <w:sz w:val="28"/>
                <w:szCs w:val="28"/>
              </w:rPr>
              <w:t>编制本</w:t>
            </w:r>
            <w:r>
              <w:rPr>
                <w:rFonts w:hint="eastAsia" w:ascii="仿宋" w:hAnsi="仿宋" w:eastAsia="仿宋" w:cs="仿宋"/>
                <w:sz w:val="28"/>
                <w:szCs w:val="28"/>
                <w:lang w:eastAsia="zh-CN"/>
              </w:rPr>
              <w:t>县《</w:t>
            </w:r>
            <w:r>
              <w:rPr>
                <w:rFonts w:hint="eastAsia" w:ascii="仿宋" w:hAnsi="仿宋" w:eastAsia="仿宋" w:cs="仿宋"/>
                <w:sz w:val="28"/>
                <w:szCs w:val="28"/>
              </w:rPr>
              <w:t>重污染天气应急预案</w:t>
            </w:r>
            <w:r>
              <w:rPr>
                <w:rFonts w:hint="eastAsia" w:ascii="仿宋" w:hAnsi="仿宋" w:eastAsia="仿宋" w:cs="仿宋"/>
                <w:sz w:val="28"/>
                <w:szCs w:val="28"/>
                <w:lang w:eastAsia="zh-CN"/>
              </w:rPr>
              <w:t>》</w:t>
            </w:r>
            <w:r>
              <w:rPr>
                <w:rFonts w:hint="eastAsia" w:ascii="仿宋" w:hAnsi="仿宋" w:eastAsia="仿宋" w:cs="仿宋"/>
                <w:sz w:val="28"/>
                <w:szCs w:val="28"/>
              </w:rPr>
              <w:t>。应急预案启动后，组织各部门按应急响应要求实施应急措施；对辖区范围内的污染物排放重点企业派驻厂员，督促落实临时性限产、限排、停产等措施，减少污染物的排放；检查和禁止乡、镇、村秸秆燃烧；城中村改造及新民居工程施工扬尘治理工作；辖区内裸露土地的扬尘治理工作；禁止辖区内任何机关、企事业单位、个人燃放烟花爆竹，禁止举办烟火晚会以及其他大型焰火燃放活动。负责动员辖区内居民做好重污染天气下的各种防范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5" w:type="dxa"/>
            <w:bottom w:w="0" w:type="dxa"/>
            <w:right w:w="15" w:type="dxa"/>
          </w:tblCellMar>
        </w:tblPrEx>
        <w:trPr>
          <w:cantSplit/>
          <w:jc w:val="center"/>
        </w:trPr>
        <w:tc>
          <w:tcPr>
            <w:tcW w:w="1065" w:type="dxa"/>
            <w:noWrap/>
            <w:vAlign w:val="center"/>
          </w:tcPr>
          <w:p>
            <w:pPr>
              <w:spacing w:line="420" w:lineRule="exact"/>
              <w:jc w:val="center"/>
              <w:textAlignment w:val="center"/>
              <w:rPr>
                <w:rFonts w:ascii="仿宋" w:hAnsi="仿宋" w:eastAsia="仿宋" w:cs="仿宋"/>
                <w:sz w:val="28"/>
                <w:szCs w:val="28"/>
              </w:rPr>
            </w:pPr>
            <w:r>
              <w:rPr>
                <w:rFonts w:hint="eastAsia" w:ascii="仿宋" w:hAnsi="仿宋" w:eastAsia="仿宋" w:cs="仿宋"/>
                <w:sz w:val="28"/>
                <w:szCs w:val="28"/>
              </w:rPr>
              <w:t>2</w:t>
            </w:r>
          </w:p>
        </w:tc>
        <w:tc>
          <w:tcPr>
            <w:tcW w:w="2365" w:type="dxa"/>
            <w:noWrap/>
            <w:vAlign w:val="center"/>
          </w:tcPr>
          <w:p>
            <w:pPr>
              <w:spacing w:line="420" w:lineRule="exact"/>
              <w:jc w:val="center"/>
              <w:textAlignment w:val="center"/>
              <w:rPr>
                <w:rFonts w:ascii="仿宋" w:hAnsi="仿宋" w:eastAsia="仿宋" w:cs="仿宋"/>
                <w:sz w:val="28"/>
                <w:szCs w:val="28"/>
              </w:rPr>
            </w:pPr>
            <w:r>
              <w:rPr>
                <w:rFonts w:hint="eastAsia" w:ascii="仿宋" w:hAnsi="仿宋" w:eastAsia="仿宋" w:cs="仿宋"/>
                <w:sz w:val="28"/>
                <w:szCs w:val="28"/>
              </w:rPr>
              <w:t>县委宣传部</w:t>
            </w:r>
          </w:p>
        </w:tc>
        <w:tc>
          <w:tcPr>
            <w:tcW w:w="10354" w:type="dxa"/>
            <w:noWrap/>
            <w:vAlign w:val="center"/>
          </w:tcPr>
          <w:p>
            <w:pPr>
              <w:adjustRightInd w:val="0"/>
              <w:snapToGrid w:val="0"/>
              <w:spacing w:line="400" w:lineRule="exact"/>
              <w:ind w:left="52" w:leftChars="25" w:right="52" w:rightChars="25"/>
              <w:textAlignment w:val="center"/>
              <w:rPr>
                <w:rFonts w:ascii="仿宋" w:hAnsi="仿宋" w:eastAsia="仿宋" w:cs="仿宋"/>
                <w:sz w:val="28"/>
                <w:szCs w:val="28"/>
              </w:rPr>
            </w:pPr>
            <w:r>
              <w:rPr>
                <w:rFonts w:hint="eastAsia" w:ascii="仿宋" w:hAnsi="仿宋" w:eastAsia="仿宋" w:cs="仿宋"/>
                <w:sz w:val="28"/>
                <w:szCs w:val="28"/>
              </w:rPr>
              <w:t>编制本部门《重污染天气应急响应专项实施方案》；做好重污染天气应急宣传工作，负责组织、督导县广播电视台、各通信公司等部门，根据重污染天气预警等级及时准确向公众发布相应等级的预警、应急信息；</w:t>
            </w:r>
            <w:r>
              <w:rPr>
                <w:rFonts w:hint="eastAsia" w:ascii="仿宋_GB2312" w:hAnsi="仿宋" w:eastAsia="仿宋_GB2312" w:cs="仿宋_GB2312"/>
                <w:sz w:val="28"/>
                <w:szCs w:val="28"/>
              </w:rPr>
              <w:t>完成县大气污染防治工作领导小组交办的其他事项。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5" w:type="dxa"/>
            <w:bottom w:w="0" w:type="dxa"/>
            <w:right w:w="15" w:type="dxa"/>
          </w:tblCellMar>
        </w:tblPrEx>
        <w:trPr>
          <w:cantSplit/>
          <w:trHeight w:val="2148" w:hRule="atLeast"/>
          <w:jc w:val="center"/>
        </w:trPr>
        <w:tc>
          <w:tcPr>
            <w:tcW w:w="1065" w:type="dxa"/>
            <w:noWrap/>
            <w:vAlign w:val="center"/>
          </w:tcPr>
          <w:p>
            <w:pPr>
              <w:spacing w:line="420" w:lineRule="exact"/>
              <w:jc w:val="center"/>
              <w:textAlignment w:val="center"/>
              <w:rPr>
                <w:rFonts w:ascii="仿宋" w:hAnsi="仿宋" w:eastAsia="仿宋" w:cs="仿宋"/>
                <w:sz w:val="28"/>
                <w:szCs w:val="28"/>
              </w:rPr>
            </w:pPr>
            <w:r>
              <w:rPr>
                <w:rFonts w:hint="eastAsia" w:ascii="仿宋" w:hAnsi="仿宋" w:eastAsia="仿宋" w:cs="仿宋"/>
                <w:sz w:val="28"/>
                <w:szCs w:val="28"/>
              </w:rPr>
              <w:t>3</w:t>
            </w:r>
          </w:p>
        </w:tc>
        <w:tc>
          <w:tcPr>
            <w:tcW w:w="2365" w:type="dxa"/>
            <w:noWrap/>
            <w:vAlign w:val="center"/>
          </w:tcPr>
          <w:p>
            <w:pPr>
              <w:spacing w:line="420" w:lineRule="exact"/>
              <w:jc w:val="center"/>
              <w:textAlignment w:val="center"/>
              <w:rPr>
                <w:rFonts w:ascii="仿宋" w:hAnsi="仿宋" w:eastAsia="仿宋" w:cs="仿宋"/>
                <w:sz w:val="28"/>
                <w:szCs w:val="28"/>
              </w:rPr>
            </w:pPr>
            <w:r>
              <w:rPr>
                <w:rFonts w:hint="eastAsia" w:ascii="仿宋" w:hAnsi="仿宋" w:eastAsia="仿宋" w:cs="仿宋"/>
                <w:sz w:val="28"/>
                <w:szCs w:val="28"/>
              </w:rPr>
              <w:t>生态环境分局</w:t>
            </w:r>
          </w:p>
        </w:tc>
        <w:tc>
          <w:tcPr>
            <w:tcW w:w="10354" w:type="dxa"/>
            <w:noWrap/>
            <w:vAlign w:val="center"/>
          </w:tcPr>
          <w:p>
            <w:pPr>
              <w:adjustRightInd w:val="0"/>
              <w:snapToGrid w:val="0"/>
              <w:spacing w:line="400" w:lineRule="exact"/>
              <w:ind w:left="52" w:leftChars="25" w:right="52" w:rightChars="25"/>
              <w:textAlignment w:val="center"/>
              <w:rPr>
                <w:rFonts w:ascii="仿宋" w:hAnsi="仿宋" w:eastAsia="仿宋" w:cs="仿宋"/>
                <w:sz w:val="28"/>
                <w:szCs w:val="28"/>
              </w:rPr>
            </w:pPr>
            <w:r>
              <w:rPr>
                <w:rFonts w:hint="eastAsia" w:ascii="仿宋" w:hAnsi="仿宋" w:eastAsia="仿宋" w:cs="仿宋"/>
                <w:sz w:val="28"/>
                <w:szCs w:val="28"/>
              </w:rPr>
              <w:t>编制本部门《重污染天气应急响应专项实施方案》，修订工业企业减排措施清单，配合县大气办做好重污染天气应急响应指导工作及督导检查；指导涉气工业企业编制重污染天气应急响应“一厂一策”或公示牌；负责除搅拌站、露天矿山企业外的工业企业重污染天气应急响应措施的落实及督导检查；加大对加油站、储油库的油气回收设施正常使用情况的督导检查；</w:t>
            </w:r>
            <w:r>
              <w:rPr>
                <w:rFonts w:hint="eastAsia" w:ascii="仿宋" w:hAnsi="仿宋" w:eastAsia="仿宋" w:cs="仿宋"/>
                <w:sz w:val="28"/>
                <w:szCs w:val="28"/>
                <w:lang w:eastAsia="zh-CN"/>
              </w:rPr>
              <w:t>配合市场监管局做好餐饮行业油烟治理设施的巡查检查；</w:t>
            </w:r>
            <w:r>
              <w:rPr>
                <w:rFonts w:hint="eastAsia" w:ascii="仿宋_GB2312" w:hAnsi="仿宋" w:eastAsia="仿宋_GB2312" w:cs="仿宋_GB2312"/>
                <w:sz w:val="28"/>
                <w:szCs w:val="28"/>
              </w:rPr>
              <w:t>完成县大气办交办的其他事项。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5" w:type="dxa"/>
            <w:bottom w:w="0" w:type="dxa"/>
            <w:right w:w="15" w:type="dxa"/>
          </w:tblCellMar>
        </w:tblPrEx>
        <w:trPr>
          <w:cantSplit/>
          <w:trHeight w:val="2295" w:hRule="atLeast"/>
          <w:jc w:val="center"/>
        </w:trPr>
        <w:tc>
          <w:tcPr>
            <w:tcW w:w="1065" w:type="dxa"/>
            <w:noWrap/>
            <w:vAlign w:val="center"/>
          </w:tcPr>
          <w:p>
            <w:pPr>
              <w:spacing w:line="420" w:lineRule="exact"/>
              <w:jc w:val="center"/>
              <w:textAlignment w:val="center"/>
              <w:rPr>
                <w:rFonts w:ascii="仿宋" w:hAnsi="仿宋" w:eastAsia="仿宋" w:cs="仿宋"/>
                <w:sz w:val="28"/>
                <w:szCs w:val="28"/>
              </w:rPr>
            </w:pPr>
            <w:r>
              <w:rPr>
                <w:rFonts w:hint="eastAsia" w:ascii="仿宋" w:hAnsi="仿宋" w:eastAsia="仿宋" w:cs="仿宋"/>
                <w:sz w:val="28"/>
                <w:szCs w:val="28"/>
              </w:rPr>
              <w:t>4</w:t>
            </w:r>
          </w:p>
        </w:tc>
        <w:tc>
          <w:tcPr>
            <w:tcW w:w="2365" w:type="dxa"/>
            <w:noWrap/>
            <w:vAlign w:val="center"/>
          </w:tcPr>
          <w:p>
            <w:pPr>
              <w:spacing w:line="420" w:lineRule="exact"/>
              <w:jc w:val="center"/>
              <w:textAlignment w:val="center"/>
              <w:rPr>
                <w:rFonts w:ascii="仿宋" w:hAnsi="仿宋" w:eastAsia="仿宋" w:cs="仿宋"/>
                <w:sz w:val="28"/>
                <w:szCs w:val="28"/>
              </w:rPr>
            </w:pPr>
            <w:r>
              <w:rPr>
                <w:rFonts w:hint="eastAsia" w:ascii="仿宋" w:hAnsi="仿宋" w:eastAsia="仿宋" w:cs="仿宋"/>
                <w:sz w:val="28"/>
                <w:szCs w:val="28"/>
              </w:rPr>
              <w:t>发改局</w:t>
            </w:r>
          </w:p>
        </w:tc>
        <w:tc>
          <w:tcPr>
            <w:tcW w:w="10354" w:type="dxa"/>
            <w:noWrap/>
            <w:vAlign w:val="center"/>
          </w:tcPr>
          <w:p>
            <w:pPr>
              <w:adjustRightInd w:val="0"/>
              <w:snapToGrid w:val="0"/>
              <w:spacing w:line="420" w:lineRule="exact"/>
              <w:ind w:left="52" w:leftChars="25" w:right="52" w:rightChars="25"/>
              <w:textAlignment w:val="center"/>
              <w:rPr>
                <w:rFonts w:ascii="仿宋" w:hAnsi="仿宋" w:eastAsia="仿宋" w:cs="仿宋"/>
                <w:sz w:val="28"/>
                <w:szCs w:val="28"/>
              </w:rPr>
            </w:pPr>
            <w:r>
              <w:rPr>
                <w:rFonts w:hint="eastAsia" w:ascii="仿宋" w:hAnsi="仿宋" w:eastAsia="仿宋" w:cs="仿宋"/>
                <w:sz w:val="28"/>
                <w:szCs w:val="28"/>
              </w:rPr>
              <w:t>编制本部门《重污染天气应急响应专项实施方案》</w:t>
            </w:r>
            <w:r>
              <w:rPr>
                <w:rFonts w:hint="eastAsia" w:ascii="仿宋" w:hAnsi="仿宋" w:eastAsia="仿宋" w:cs="仿宋"/>
                <w:sz w:val="28"/>
                <w:szCs w:val="28"/>
                <w:lang w:eastAsia="zh-CN"/>
              </w:rPr>
              <w:t>；</w:t>
            </w:r>
            <w:r>
              <w:rPr>
                <w:rFonts w:hint="eastAsia" w:ascii="仿宋" w:hAnsi="仿宋" w:eastAsia="仿宋" w:cs="仿宋"/>
                <w:sz w:val="28"/>
                <w:szCs w:val="28"/>
              </w:rPr>
              <w:t>推进产业结构、能源结构调整；加强职责范围内的节能减排调度；研究制定实施煤改气、煤改电工程的政策措施；向县大气办提供市重点建设项目、战略性新兴产业、现代服务业企业、市先进制造业名单；加大工业企业料堆扬尘污染防治工作的督导检查；完成县大气办交办的其他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5" w:type="dxa"/>
            <w:bottom w:w="0" w:type="dxa"/>
            <w:right w:w="15" w:type="dxa"/>
          </w:tblCellMar>
        </w:tblPrEx>
        <w:trPr>
          <w:cantSplit/>
          <w:trHeight w:val="2342" w:hRule="atLeast"/>
          <w:jc w:val="center"/>
        </w:trPr>
        <w:tc>
          <w:tcPr>
            <w:tcW w:w="1065" w:type="dxa"/>
            <w:noWrap/>
            <w:vAlign w:val="center"/>
          </w:tcPr>
          <w:p>
            <w:pPr>
              <w:spacing w:line="420" w:lineRule="exact"/>
              <w:jc w:val="center"/>
              <w:textAlignment w:val="center"/>
              <w:rPr>
                <w:rFonts w:ascii="仿宋" w:hAnsi="仿宋" w:eastAsia="仿宋" w:cs="仿宋"/>
                <w:sz w:val="28"/>
                <w:szCs w:val="28"/>
              </w:rPr>
            </w:pPr>
            <w:r>
              <w:rPr>
                <w:rFonts w:hint="eastAsia" w:ascii="仿宋" w:hAnsi="仿宋" w:eastAsia="仿宋" w:cs="仿宋"/>
                <w:sz w:val="28"/>
                <w:szCs w:val="28"/>
              </w:rPr>
              <w:t>5</w:t>
            </w:r>
          </w:p>
        </w:tc>
        <w:tc>
          <w:tcPr>
            <w:tcW w:w="2365" w:type="dxa"/>
            <w:noWrap/>
            <w:vAlign w:val="center"/>
          </w:tcPr>
          <w:p>
            <w:pPr>
              <w:spacing w:line="420" w:lineRule="exact"/>
              <w:jc w:val="center"/>
              <w:textAlignment w:val="center"/>
              <w:rPr>
                <w:rFonts w:ascii="仿宋" w:hAnsi="仿宋" w:eastAsia="仿宋" w:cs="仿宋"/>
                <w:sz w:val="28"/>
                <w:szCs w:val="28"/>
              </w:rPr>
            </w:pPr>
            <w:r>
              <w:rPr>
                <w:rFonts w:hint="eastAsia" w:ascii="仿宋" w:hAnsi="仿宋" w:eastAsia="仿宋" w:cs="仿宋"/>
                <w:sz w:val="28"/>
                <w:szCs w:val="28"/>
              </w:rPr>
              <w:t>公安局</w:t>
            </w:r>
          </w:p>
        </w:tc>
        <w:tc>
          <w:tcPr>
            <w:tcW w:w="10354" w:type="dxa"/>
            <w:noWrap/>
            <w:vAlign w:val="center"/>
          </w:tcPr>
          <w:p>
            <w:pPr>
              <w:adjustRightInd w:val="0"/>
              <w:snapToGrid w:val="0"/>
              <w:spacing w:line="420" w:lineRule="exact"/>
              <w:ind w:left="52" w:leftChars="25" w:right="52" w:rightChars="25"/>
              <w:textAlignment w:val="center"/>
              <w:rPr>
                <w:rFonts w:ascii="仿宋" w:hAnsi="仿宋" w:eastAsia="仿宋" w:cs="仿宋"/>
                <w:sz w:val="28"/>
                <w:szCs w:val="28"/>
              </w:rPr>
            </w:pPr>
            <w:r>
              <w:rPr>
                <w:rFonts w:hint="eastAsia" w:ascii="仿宋" w:hAnsi="仿宋" w:eastAsia="仿宋" w:cs="仿宋"/>
                <w:sz w:val="28"/>
                <w:szCs w:val="28"/>
              </w:rPr>
              <w:t>编制本部门《重污染天气应急响应专项实施方案》；按照红色橙色预警要求，通过媒体及时告知公众采取的措施，并达到预案要求的限行比例；加大对渣土车、砂石车等违反规定上路行驶的检查执法力度；加大对重型运输车辆的过程管控，严禁国四及以下车辆（除民生保障类）进入城区；对响应措施落实情况进行督导检查。</w:t>
            </w:r>
            <w:r>
              <w:rPr>
                <w:rFonts w:hint="eastAsia" w:ascii="仿宋_GB2312" w:hAnsi="仿宋" w:eastAsia="仿宋_GB2312" w:cs="仿宋_GB2312"/>
                <w:sz w:val="28"/>
                <w:szCs w:val="28"/>
              </w:rPr>
              <w:t>完成县大气办交办的其他事项。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5" w:type="dxa"/>
            <w:bottom w:w="0" w:type="dxa"/>
            <w:right w:w="15" w:type="dxa"/>
          </w:tblCellMar>
        </w:tblPrEx>
        <w:trPr>
          <w:cantSplit/>
          <w:trHeight w:val="2175" w:hRule="atLeast"/>
          <w:jc w:val="center"/>
        </w:trPr>
        <w:tc>
          <w:tcPr>
            <w:tcW w:w="1065" w:type="dxa"/>
            <w:noWrap/>
            <w:vAlign w:val="center"/>
          </w:tcPr>
          <w:p>
            <w:pPr>
              <w:spacing w:line="420" w:lineRule="exact"/>
              <w:jc w:val="center"/>
              <w:textAlignment w:val="center"/>
              <w:rPr>
                <w:rFonts w:ascii="仿宋" w:hAnsi="仿宋" w:eastAsia="仿宋" w:cs="仿宋"/>
                <w:sz w:val="28"/>
                <w:szCs w:val="28"/>
              </w:rPr>
            </w:pPr>
            <w:r>
              <w:rPr>
                <w:rFonts w:hint="eastAsia" w:ascii="仿宋" w:hAnsi="仿宋" w:eastAsia="仿宋" w:cs="仿宋"/>
                <w:sz w:val="28"/>
                <w:szCs w:val="28"/>
              </w:rPr>
              <w:t>6</w:t>
            </w:r>
          </w:p>
        </w:tc>
        <w:tc>
          <w:tcPr>
            <w:tcW w:w="2365" w:type="dxa"/>
            <w:noWrap/>
            <w:vAlign w:val="center"/>
          </w:tcPr>
          <w:p>
            <w:pPr>
              <w:spacing w:line="420" w:lineRule="exact"/>
              <w:jc w:val="center"/>
              <w:textAlignment w:val="center"/>
              <w:rPr>
                <w:rFonts w:ascii="仿宋" w:hAnsi="仿宋" w:eastAsia="仿宋" w:cs="仿宋"/>
                <w:sz w:val="28"/>
                <w:szCs w:val="28"/>
              </w:rPr>
            </w:pPr>
            <w:r>
              <w:rPr>
                <w:rFonts w:hint="eastAsia" w:ascii="仿宋" w:hAnsi="仿宋" w:eastAsia="仿宋" w:cs="仿宋"/>
                <w:sz w:val="28"/>
                <w:szCs w:val="28"/>
              </w:rPr>
              <w:t>住建局</w:t>
            </w:r>
          </w:p>
        </w:tc>
        <w:tc>
          <w:tcPr>
            <w:tcW w:w="10354" w:type="dxa"/>
            <w:noWrap/>
            <w:vAlign w:val="center"/>
          </w:tcPr>
          <w:p>
            <w:pPr>
              <w:adjustRightInd w:val="0"/>
              <w:snapToGrid w:val="0"/>
              <w:spacing w:line="420" w:lineRule="exact"/>
              <w:ind w:left="52" w:leftChars="25" w:right="52" w:rightChars="25"/>
              <w:textAlignment w:val="center"/>
              <w:rPr>
                <w:rFonts w:ascii="仿宋" w:hAnsi="仿宋" w:eastAsia="仿宋" w:cs="仿宋"/>
                <w:sz w:val="28"/>
                <w:szCs w:val="28"/>
              </w:rPr>
            </w:pPr>
            <w:r>
              <w:rPr>
                <w:rFonts w:hint="eastAsia" w:ascii="仿宋" w:hAnsi="仿宋" w:eastAsia="仿宋" w:cs="仿宋"/>
                <w:sz w:val="28"/>
                <w:szCs w:val="28"/>
              </w:rPr>
              <w:t>编制本部门《重污染天气应急响应专项实施方案》；负责修订重污染天气扬尘源减排清单；负责房屋建筑施工工地、搅拌站等重污染天气应急响应措施的落实及督导检查；指导施工工地编制重污染天气应急响应“一场一策”，对建筑施工工地派专人值守，制定巡视制度；完成县大气办交办的其他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5" w:type="dxa"/>
            <w:bottom w:w="0" w:type="dxa"/>
            <w:right w:w="15" w:type="dxa"/>
          </w:tblCellMar>
        </w:tblPrEx>
        <w:trPr>
          <w:cantSplit/>
          <w:trHeight w:val="1550" w:hRule="atLeast"/>
          <w:jc w:val="center"/>
        </w:trPr>
        <w:tc>
          <w:tcPr>
            <w:tcW w:w="1065" w:type="dxa"/>
            <w:noWrap/>
            <w:vAlign w:val="center"/>
          </w:tcPr>
          <w:p>
            <w:pPr>
              <w:spacing w:line="420" w:lineRule="exact"/>
              <w:jc w:val="center"/>
              <w:textAlignment w:val="center"/>
              <w:rPr>
                <w:rFonts w:ascii="仿宋" w:hAnsi="仿宋" w:eastAsia="仿宋" w:cs="仿宋"/>
                <w:sz w:val="28"/>
                <w:szCs w:val="28"/>
              </w:rPr>
            </w:pPr>
            <w:r>
              <w:rPr>
                <w:rFonts w:hint="eastAsia" w:ascii="仿宋" w:hAnsi="仿宋" w:eastAsia="仿宋" w:cs="仿宋"/>
                <w:sz w:val="28"/>
                <w:szCs w:val="28"/>
              </w:rPr>
              <w:t>7</w:t>
            </w:r>
          </w:p>
        </w:tc>
        <w:tc>
          <w:tcPr>
            <w:tcW w:w="2365" w:type="dxa"/>
            <w:noWrap/>
            <w:vAlign w:val="center"/>
          </w:tcPr>
          <w:p>
            <w:pPr>
              <w:spacing w:line="420" w:lineRule="exact"/>
              <w:jc w:val="center"/>
              <w:textAlignment w:val="center"/>
              <w:rPr>
                <w:rFonts w:ascii="仿宋" w:hAnsi="仿宋" w:eastAsia="仿宋" w:cs="仿宋"/>
                <w:sz w:val="28"/>
                <w:szCs w:val="28"/>
              </w:rPr>
            </w:pPr>
            <w:r>
              <w:rPr>
                <w:rFonts w:hint="eastAsia" w:ascii="仿宋" w:hAnsi="仿宋" w:eastAsia="仿宋" w:cs="仿宋"/>
                <w:sz w:val="28"/>
                <w:szCs w:val="28"/>
              </w:rPr>
              <w:t>执法局</w:t>
            </w:r>
          </w:p>
        </w:tc>
        <w:tc>
          <w:tcPr>
            <w:tcW w:w="10354" w:type="dxa"/>
            <w:noWrap/>
            <w:vAlign w:val="center"/>
          </w:tcPr>
          <w:p>
            <w:pPr>
              <w:spacing w:line="420" w:lineRule="exact"/>
              <w:ind w:left="52" w:leftChars="25" w:right="52" w:rightChars="25"/>
              <w:textAlignment w:val="center"/>
              <w:rPr>
                <w:rFonts w:ascii="仿宋" w:hAnsi="仿宋" w:eastAsia="仿宋" w:cs="仿宋"/>
                <w:sz w:val="28"/>
                <w:szCs w:val="28"/>
              </w:rPr>
            </w:pPr>
            <w:r>
              <w:rPr>
                <w:rFonts w:hint="eastAsia" w:ascii="仿宋" w:hAnsi="仿宋" w:eastAsia="仿宋" w:cs="仿宋"/>
                <w:sz w:val="28"/>
                <w:szCs w:val="28"/>
              </w:rPr>
              <w:t>编制本部门《重污染天气应急响应专项实施方案》；负责</w:t>
            </w:r>
            <w:r>
              <w:rPr>
                <w:rFonts w:hint="eastAsia" w:ascii="仿宋" w:hAnsi="仿宋" w:eastAsia="仿宋" w:cs="仿宋"/>
                <w:sz w:val="28"/>
                <w:szCs w:val="28"/>
                <w:lang w:eastAsia="zh-CN"/>
              </w:rPr>
              <w:t>督导检查所有</w:t>
            </w:r>
            <w:r>
              <w:rPr>
                <w:rFonts w:hint="eastAsia" w:ascii="仿宋" w:hAnsi="仿宋" w:eastAsia="仿宋" w:cs="仿宋"/>
                <w:sz w:val="28"/>
                <w:szCs w:val="28"/>
              </w:rPr>
              <w:t>烧烤</w:t>
            </w:r>
            <w:r>
              <w:rPr>
                <w:rFonts w:hint="eastAsia" w:ascii="仿宋" w:hAnsi="仿宋" w:eastAsia="仿宋" w:cs="仿宋"/>
                <w:sz w:val="28"/>
                <w:szCs w:val="28"/>
                <w:lang w:eastAsia="zh-CN"/>
              </w:rPr>
              <w:t>行为、</w:t>
            </w:r>
            <w:r>
              <w:rPr>
                <w:rFonts w:hint="eastAsia" w:ascii="仿宋" w:hAnsi="仿宋" w:eastAsia="仿宋" w:cs="仿宋"/>
                <w:sz w:val="28"/>
                <w:szCs w:val="28"/>
              </w:rPr>
              <w:t>露天焚烧垃圾、生物质等行为；制定城市道路施工工地抑尘措施和巡视制度，并派专人值守，制定</w:t>
            </w:r>
            <w:r>
              <w:rPr>
                <w:rFonts w:hint="eastAsia" w:ascii="仿宋" w:hAnsi="仿宋" w:eastAsia="仿宋" w:cs="仿宋"/>
                <w:sz w:val="28"/>
                <w:szCs w:val="28"/>
                <w:lang w:eastAsia="zh-CN"/>
              </w:rPr>
              <w:t>城建界</w:t>
            </w:r>
            <w:r>
              <w:rPr>
                <w:rFonts w:hint="eastAsia" w:ascii="仿宋" w:hAnsi="仿宋" w:eastAsia="仿宋" w:cs="仿宋"/>
                <w:sz w:val="28"/>
                <w:szCs w:val="28"/>
              </w:rPr>
              <w:t>道路保洁、洒水的应急措施；对建筑和生活垃圾运输车辆进行密闭、覆盖管理，杜绝扬撒遗漏现象；完成县大气办交办的</w:t>
            </w:r>
            <w:r>
              <w:rPr>
                <w:rFonts w:hint="eastAsia" w:ascii="仿宋" w:hAnsi="仿宋" w:eastAsia="仿宋" w:cs="仿宋"/>
                <w:sz w:val="28"/>
                <w:szCs w:val="28"/>
                <w:lang w:eastAsia="zh-CN"/>
              </w:rPr>
              <w:t>其他</w:t>
            </w:r>
            <w:r>
              <w:rPr>
                <w:rFonts w:hint="eastAsia" w:ascii="仿宋" w:hAnsi="仿宋" w:eastAsia="仿宋" w:cs="仿宋"/>
                <w:sz w:val="28"/>
                <w:szCs w:val="28"/>
              </w:rPr>
              <w:t>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5" w:type="dxa"/>
            <w:bottom w:w="0" w:type="dxa"/>
            <w:right w:w="15" w:type="dxa"/>
          </w:tblCellMar>
        </w:tblPrEx>
        <w:trPr>
          <w:cantSplit/>
          <w:jc w:val="center"/>
        </w:trPr>
        <w:tc>
          <w:tcPr>
            <w:tcW w:w="1065" w:type="dxa"/>
            <w:noWrap/>
            <w:vAlign w:val="center"/>
          </w:tcPr>
          <w:p>
            <w:pPr>
              <w:spacing w:line="420" w:lineRule="exact"/>
              <w:jc w:val="center"/>
              <w:textAlignment w:val="center"/>
              <w:rPr>
                <w:rFonts w:ascii="仿宋" w:hAnsi="仿宋" w:eastAsia="仿宋" w:cs="仿宋"/>
                <w:sz w:val="28"/>
                <w:szCs w:val="28"/>
              </w:rPr>
            </w:pPr>
            <w:r>
              <w:rPr>
                <w:rFonts w:hint="eastAsia" w:ascii="仿宋" w:hAnsi="仿宋" w:eastAsia="仿宋" w:cs="仿宋"/>
                <w:sz w:val="28"/>
                <w:szCs w:val="28"/>
              </w:rPr>
              <w:t>8</w:t>
            </w:r>
          </w:p>
        </w:tc>
        <w:tc>
          <w:tcPr>
            <w:tcW w:w="2365" w:type="dxa"/>
            <w:noWrap/>
            <w:vAlign w:val="center"/>
          </w:tcPr>
          <w:p>
            <w:pPr>
              <w:spacing w:line="420" w:lineRule="exact"/>
              <w:jc w:val="center"/>
              <w:textAlignment w:val="center"/>
              <w:rPr>
                <w:rFonts w:ascii="仿宋" w:hAnsi="仿宋" w:eastAsia="仿宋" w:cs="仿宋"/>
                <w:sz w:val="28"/>
                <w:szCs w:val="28"/>
              </w:rPr>
            </w:pPr>
            <w:r>
              <w:rPr>
                <w:rFonts w:hint="eastAsia" w:ascii="仿宋" w:hAnsi="仿宋" w:eastAsia="仿宋" w:cs="仿宋"/>
                <w:sz w:val="28"/>
                <w:szCs w:val="28"/>
              </w:rPr>
              <w:t>交通局</w:t>
            </w:r>
          </w:p>
        </w:tc>
        <w:tc>
          <w:tcPr>
            <w:tcW w:w="10354" w:type="dxa"/>
            <w:noWrap/>
            <w:vAlign w:val="center"/>
          </w:tcPr>
          <w:p>
            <w:pPr>
              <w:spacing w:line="400" w:lineRule="exact"/>
              <w:ind w:left="52" w:leftChars="25" w:right="52" w:rightChars="25"/>
              <w:textAlignment w:val="center"/>
              <w:rPr>
                <w:rFonts w:ascii="仿宋" w:hAnsi="仿宋" w:eastAsia="仿宋" w:cs="仿宋"/>
                <w:sz w:val="28"/>
                <w:szCs w:val="28"/>
              </w:rPr>
            </w:pPr>
            <w:r>
              <w:rPr>
                <w:rFonts w:hint="eastAsia" w:ascii="仿宋" w:hAnsi="仿宋" w:eastAsia="仿宋" w:cs="仿宋"/>
                <w:sz w:val="28"/>
                <w:szCs w:val="28"/>
              </w:rPr>
              <w:t>编制</w:t>
            </w:r>
            <w:r>
              <w:rPr>
                <w:rFonts w:hint="eastAsia" w:ascii="仿宋" w:hAnsi="仿宋" w:eastAsia="仿宋" w:cs="仿宋"/>
                <w:sz w:val="28"/>
                <w:szCs w:val="28"/>
                <w:lang w:eastAsia="zh-CN"/>
              </w:rPr>
              <w:t>本部门</w:t>
            </w:r>
            <w:r>
              <w:rPr>
                <w:rFonts w:hint="eastAsia" w:ascii="仿宋" w:hAnsi="仿宋" w:eastAsia="仿宋" w:cs="仿宋"/>
                <w:sz w:val="28"/>
                <w:szCs w:val="28"/>
              </w:rPr>
              <w:t>《重污染天气应急响应专项实施方案》；负责国省干</w:t>
            </w:r>
            <w:r>
              <w:rPr>
                <w:rFonts w:hint="eastAsia" w:ascii="仿宋" w:hAnsi="仿宋" w:eastAsia="仿宋" w:cs="仿宋"/>
                <w:sz w:val="28"/>
                <w:szCs w:val="28"/>
                <w:lang w:eastAsia="zh-CN"/>
              </w:rPr>
              <w:t>道</w:t>
            </w:r>
            <w:r>
              <w:rPr>
                <w:rFonts w:hint="eastAsia" w:ascii="仿宋" w:hAnsi="仿宋" w:eastAsia="仿宋" w:cs="仿宋"/>
                <w:sz w:val="28"/>
                <w:szCs w:val="28"/>
              </w:rPr>
              <w:t>公路施工扬尘及本系统以柴油为燃料的非道路工程机械污染治理；制定国、省干道重点区域洒水降尘措施和巡视制度，并派专人值守，严禁在国省</w:t>
            </w:r>
            <w:r>
              <w:rPr>
                <w:rFonts w:hint="eastAsia" w:ascii="仿宋" w:hAnsi="仿宋" w:eastAsia="仿宋" w:cs="仿宋"/>
                <w:sz w:val="28"/>
                <w:szCs w:val="28"/>
                <w:lang w:eastAsia="zh-CN"/>
              </w:rPr>
              <w:t>干道</w:t>
            </w:r>
            <w:r>
              <w:rPr>
                <w:rFonts w:hint="eastAsia" w:ascii="仿宋" w:hAnsi="仿宋" w:eastAsia="仿宋" w:cs="仿宋"/>
                <w:sz w:val="28"/>
                <w:szCs w:val="28"/>
              </w:rPr>
              <w:t>两侧公路用地内露天焚烧；完成县大气办交办的其他事项。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5" w:type="dxa"/>
            <w:bottom w:w="0" w:type="dxa"/>
            <w:right w:w="15" w:type="dxa"/>
          </w:tblCellMar>
        </w:tblPrEx>
        <w:trPr>
          <w:cantSplit/>
          <w:jc w:val="center"/>
        </w:trPr>
        <w:tc>
          <w:tcPr>
            <w:tcW w:w="1065" w:type="dxa"/>
            <w:noWrap/>
            <w:vAlign w:val="center"/>
          </w:tcPr>
          <w:p>
            <w:pPr>
              <w:spacing w:line="420" w:lineRule="exact"/>
              <w:jc w:val="center"/>
              <w:textAlignment w:val="center"/>
              <w:rPr>
                <w:rFonts w:ascii="仿宋" w:hAnsi="仿宋" w:eastAsia="仿宋" w:cs="仿宋"/>
                <w:sz w:val="28"/>
                <w:szCs w:val="28"/>
              </w:rPr>
            </w:pPr>
            <w:r>
              <w:rPr>
                <w:rFonts w:hint="eastAsia" w:ascii="仿宋" w:hAnsi="仿宋" w:eastAsia="仿宋" w:cs="仿宋"/>
                <w:sz w:val="28"/>
                <w:szCs w:val="28"/>
              </w:rPr>
              <w:t>9</w:t>
            </w:r>
          </w:p>
        </w:tc>
        <w:tc>
          <w:tcPr>
            <w:tcW w:w="2365" w:type="dxa"/>
            <w:noWrap/>
            <w:vAlign w:val="center"/>
          </w:tcPr>
          <w:p>
            <w:pPr>
              <w:spacing w:line="420" w:lineRule="exact"/>
              <w:jc w:val="center"/>
              <w:textAlignment w:val="center"/>
              <w:rPr>
                <w:rFonts w:ascii="仿宋" w:hAnsi="仿宋" w:eastAsia="仿宋" w:cs="仿宋"/>
                <w:sz w:val="28"/>
                <w:szCs w:val="28"/>
              </w:rPr>
            </w:pPr>
            <w:r>
              <w:rPr>
                <w:rFonts w:hint="eastAsia" w:ascii="仿宋" w:hAnsi="仿宋" w:eastAsia="仿宋" w:cs="仿宋"/>
                <w:sz w:val="28"/>
                <w:szCs w:val="28"/>
              </w:rPr>
              <w:t>财政局</w:t>
            </w:r>
          </w:p>
        </w:tc>
        <w:tc>
          <w:tcPr>
            <w:tcW w:w="10354" w:type="dxa"/>
            <w:noWrap/>
            <w:vAlign w:val="center"/>
          </w:tcPr>
          <w:p>
            <w:pPr>
              <w:adjustRightInd w:val="0"/>
              <w:snapToGrid w:val="0"/>
              <w:spacing w:line="400" w:lineRule="exact"/>
              <w:ind w:left="52" w:leftChars="25" w:right="52" w:rightChars="25"/>
              <w:textAlignment w:val="center"/>
              <w:rPr>
                <w:rFonts w:ascii="仿宋" w:hAnsi="仿宋" w:eastAsia="仿宋" w:cs="仿宋"/>
                <w:sz w:val="28"/>
                <w:szCs w:val="28"/>
              </w:rPr>
            </w:pPr>
            <w:r>
              <w:rPr>
                <w:rFonts w:hint="eastAsia" w:ascii="仿宋_GB2312" w:hAnsi="仿宋" w:eastAsia="仿宋_GB2312" w:cs="仿宋_GB2312"/>
                <w:sz w:val="28"/>
                <w:szCs w:val="28"/>
              </w:rPr>
              <w:t>加大重污染天气应急工作资金投入力度，为重污染天气监测、预警、应急处置与救援、监督检查，以及基础设施建设、运行和维护，应急技术支持和应急演练等各项工作提供资金保障；</w:t>
            </w:r>
            <w:r>
              <w:rPr>
                <w:rFonts w:hint="eastAsia" w:ascii="仿宋_GB2312" w:hAnsi="仿宋" w:eastAsia="仿宋_GB2312" w:cs="仿宋_GB2312"/>
                <w:sz w:val="28"/>
                <w:szCs w:val="28"/>
                <w:lang w:eastAsia="zh-CN"/>
              </w:rPr>
              <w:t>完成</w:t>
            </w:r>
            <w:r>
              <w:rPr>
                <w:rFonts w:hint="eastAsia" w:ascii="仿宋_GB2312" w:hAnsi="仿宋" w:eastAsia="仿宋_GB2312" w:cs="仿宋_GB2312"/>
                <w:sz w:val="28"/>
                <w:szCs w:val="28"/>
              </w:rPr>
              <w:t>县大气办交办的其他事项。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5" w:type="dxa"/>
            <w:bottom w:w="0" w:type="dxa"/>
            <w:right w:w="15" w:type="dxa"/>
          </w:tblCellMar>
        </w:tblPrEx>
        <w:trPr>
          <w:cantSplit/>
          <w:jc w:val="center"/>
        </w:trPr>
        <w:tc>
          <w:tcPr>
            <w:tcW w:w="1065" w:type="dxa"/>
            <w:noWrap/>
            <w:vAlign w:val="center"/>
          </w:tcPr>
          <w:p>
            <w:pPr>
              <w:spacing w:line="420" w:lineRule="exact"/>
              <w:jc w:val="center"/>
              <w:textAlignment w:val="center"/>
              <w:rPr>
                <w:rFonts w:ascii="仿宋" w:hAnsi="仿宋" w:eastAsia="仿宋" w:cs="仿宋"/>
                <w:sz w:val="28"/>
                <w:szCs w:val="28"/>
              </w:rPr>
            </w:pPr>
            <w:r>
              <w:rPr>
                <w:rFonts w:hint="eastAsia" w:ascii="仿宋" w:hAnsi="仿宋" w:eastAsia="仿宋" w:cs="仿宋"/>
                <w:sz w:val="28"/>
                <w:szCs w:val="28"/>
              </w:rPr>
              <w:t>10</w:t>
            </w:r>
          </w:p>
        </w:tc>
        <w:tc>
          <w:tcPr>
            <w:tcW w:w="2365" w:type="dxa"/>
            <w:noWrap/>
            <w:vAlign w:val="center"/>
          </w:tcPr>
          <w:p>
            <w:pPr>
              <w:spacing w:line="420" w:lineRule="exact"/>
              <w:jc w:val="center"/>
              <w:textAlignment w:val="center"/>
              <w:rPr>
                <w:rFonts w:ascii="仿宋" w:hAnsi="仿宋" w:eastAsia="仿宋" w:cs="仿宋"/>
                <w:sz w:val="28"/>
                <w:szCs w:val="28"/>
              </w:rPr>
            </w:pPr>
            <w:r>
              <w:rPr>
                <w:rFonts w:hint="eastAsia" w:ascii="仿宋" w:hAnsi="仿宋" w:eastAsia="仿宋" w:cs="仿宋"/>
                <w:sz w:val="28"/>
                <w:szCs w:val="28"/>
              </w:rPr>
              <w:t>自然资源和规划局</w:t>
            </w:r>
          </w:p>
        </w:tc>
        <w:tc>
          <w:tcPr>
            <w:tcW w:w="10354" w:type="dxa"/>
            <w:noWrap/>
            <w:vAlign w:val="center"/>
          </w:tcPr>
          <w:p>
            <w:pPr>
              <w:adjustRightInd w:val="0"/>
              <w:snapToGrid w:val="0"/>
              <w:spacing w:line="400" w:lineRule="exact"/>
              <w:ind w:left="52" w:leftChars="25" w:right="52" w:rightChars="25"/>
              <w:textAlignment w:val="center"/>
              <w:rPr>
                <w:rFonts w:ascii="仿宋" w:hAnsi="仿宋" w:eastAsia="仿宋" w:cs="仿宋"/>
                <w:sz w:val="28"/>
                <w:szCs w:val="28"/>
              </w:rPr>
            </w:pPr>
            <w:r>
              <w:rPr>
                <w:rFonts w:hint="eastAsia" w:ascii="仿宋" w:hAnsi="仿宋" w:eastAsia="仿宋" w:cs="仿宋"/>
                <w:sz w:val="28"/>
                <w:szCs w:val="28"/>
              </w:rPr>
              <w:t>编制本部门《重污染天气应急响应实施方案》；负责重污染天气期间露天矿山的停（限）产工作的落实及督导检查；完成县大气办交办的其他事项。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5" w:type="dxa"/>
            <w:bottom w:w="0" w:type="dxa"/>
            <w:right w:w="15" w:type="dxa"/>
          </w:tblCellMar>
        </w:tblPrEx>
        <w:trPr>
          <w:cantSplit/>
          <w:jc w:val="center"/>
        </w:trPr>
        <w:tc>
          <w:tcPr>
            <w:tcW w:w="1065" w:type="dxa"/>
            <w:noWrap/>
            <w:vAlign w:val="center"/>
          </w:tcPr>
          <w:p>
            <w:pPr>
              <w:spacing w:line="420" w:lineRule="exact"/>
              <w:jc w:val="center"/>
              <w:textAlignment w:val="center"/>
              <w:rPr>
                <w:rFonts w:ascii="仿宋" w:hAnsi="仿宋" w:eastAsia="仿宋" w:cs="仿宋"/>
                <w:sz w:val="28"/>
                <w:szCs w:val="28"/>
              </w:rPr>
            </w:pPr>
            <w:r>
              <w:rPr>
                <w:rFonts w:hint="eastAsia" w:ascii="仿宋" w:hAnsi="仿宋" w:eastAsia="仿宋" w:cs="仿宋"/>
                <w:sz w:val="28"/>
                <w:szCs w:val="28"/>
              </w:rPr>
              <w:t>11</w:t>
            </w:r>
          </w:p>
        </w:tc>
        <w:tc>
          <w:tcPr>
            <w:tcW w:w="2365" w:type="dxa"/>
            <w:noWrap/>
            <w:vAlign w:val="center"/>
          </w:tcPr>
          <w:p>
            <w:pPr>
              <w:spacing w:line="420" w:lineRule="exact"/>
              <w:jc w:val="center"/>
              <w:textAlignment w:val="center"/>
              <w:rPr>
                <w:rFonts w:ascii="仿宋" w:hAnsi="仿宋" w:eastAsia="仿宋" w:cs="仿宋"/>
                <w:sz w:val="28"/>
                <w:szCs w:val="28"/>
              </w:rPr>
            </w:pPr>
            <w:r>
              <w:rPr>
                <w:rFonts w:hint="eastAsia" w:ascii="仿宋" w:hAnsi="仿宋" w:eastAsia="仿宋" w:cs="仿宋"/>
                <w:sz w:val="28"/>
                <w:szCs w:val="28"/>
              </w:rPr>
              <w:t>教育</w:t>
            </w:r>
            <w:r>
              <w:rPr>
                <w:rFonts w:hint="eastAsia" w:ascii="仿宋" w:hAnsi="仿宋" w:eastAsia="仿宋" w:cs="仿宋"/>
                <w:sz w:val="28"/>
                <w:szCs w:val="28"/>
                <w:lang w:eastAsia="zh-CN"/>
              </w:rPr>
              <w:t>和体育局</w:t>
            </w:r>
          </w:p>
        </w:tc>
        <w:tc>
          <w:tcPr>
            <w:tcW w:w="10354" w:type="dxa"/>
            <w:noWrap/>
            <w:vAlign w:val="center"/>
          </w:tcPr>
          <w:p>
            <w:pPr>
              <w:adjustRightInd w:val="0"/>
              <w:snapToGrid w:val="0"/>
              <w:spacing w:line="400" w:lineRule="exact"/>
              <w:ind w:left="52" w:leftChars="25" w:right="52" w:rightChars="25"/>
              <w:textAlignment w:val="center"/>
              <w:rPr>
                <w:rFonts w:ascii="仿宋" w:hAnsi="仿宋" w:eastAsia="仿宋" w:cs="仿宋"/>
                <w:sz w:val="28"/>
                <w:szCs w:val="28"/>
              </w:rPr>
            </w:pPr>
            <w:r>
              <w:rPr>
                <w:rFonts w:hint="eastAsia" w:ascii="仿宋" w:hAnsi="仿宋" w:eastAsia="仿宋" w:cs="仿宋"/>
                <w:sz w:val="28"/>
                <w:szCs w:val="28"/>
              </w:rPr>
              <w:t>编制</w:t>
            </w:r>
            <w:r>
              <w:rPr>
                <w:rFonts w:hint="eastAsia" w:ascii="仿宋" w:hAnsi="仿宋" w:eastAsia="仿宋" w:cs="仿宋"/>
                <w:sz w:val="28"/>
                <w:szCs w:val="28"/>
                <w:lang w:eastAsia="zh-CN"/>
              </w:rPr>
              <w:t>本部门</w:t>
            </w:r>
            <w:r>
              <w:rPr>
                <w:rFonts w:hint="eastAsia" w:ascii="仿宋" w:hAnsi="仿宋" w:eastAsia="仿宋" w:cs="仿宋"/>
                <w:sz w:val="28"/>
                <w:szCs w:val="28"/>
              </w:rPr>
              <w:t>《重污染天气应急响应专项实施方案》，在重污染天气期间组织本县教育机构实施减少或停止户外活动、按照市教育局要求实施停课等措施。完成县大气办交办的其他事项。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5" w:type="dxa"/>
            <w:bottom w:w="0" w:type="dxa"/>
            <w:right w:w="15" w:type="dxa"/>
          </w:tblCellMar>
        </w:tblPrEx>
        <w:trPr>
          <w:cantSplit/>
          <w:jc w:val="center"/>
        </w:trPr>
        <w:tc>
          <w:tcPr>
            <w:tcW w:w="1065" w:type="dxa"/>
            <w:noWrap/>
            <w:vAlign w:val="center"/>
          </w:tcPr>
          <w:p>
            <w:pPr>
              <w:spacing w:line="420" w:lineRule="exact"/>
              <w:jc w:val="center"/>
              <w:textAlignment w:val="center"/>
              <w:rPr>
                <w:rFonts w:ascii="仿宋" w:hAnsi="仿宋" w:eastAsia="仿宋" w:cs="仿宋"/>
                <w:sz w:val="28"/>
                <w:szCs w:val="28"/>
              </w:rPr>
            </w:pPr>
            <w:r>
              <w:rPr>
                <w:rFonts w:hint="eastAsia" w:ascii="仿宋" w:hAnsi="仿宋" w:eastAsia="仿宋" w:cs="仿宋"/>
                <w:sz w:val="28"/>
                <w:szCs w:val="28"/>
              </w:rPr>
              <w:t>12</w:t>
            </w:r>
          </w:p>
        </w:tc>
        <w:tc>
          <w:tcPr>
            <w:tcW w:w="2365" w:type="dxa"/>
            <w:noWrap/>
            <w:vAlign w:val="center"/>
          </w:tcPr>
          <w:p>
            <w:pPr>
              <w:spacing w:line="420" w:lineRule="exact"/>
              <w:jc w:val="center"/>
              <w:textAlignment w:val="center"/>
              <w:rPr>
                <w:rFonts w:ascii="仿宋" w:hAnsi="仿宋" w:eastAsia="仿宋" w:cs="仿宋"/>
                <w:sz w:val="28"/>
                <w:szCs w:val="28"/>
              </w:rPr>
            </w:pPr>
            <w:r>
              <w:rPr>
                <w:rFonts w:hint="eastAsia" w:ascii="仿宋" w:hAnsi="仿宋" w:eastAsia="仿宋" w:cs="仿宋"/>
                <w:sz w:val="28"/>
                <w:szCs w:val="28"/>
              </w:rPr>
              <w:t>卫健局</w:t>
            </w:r>
          </w:p>
        </w:tc>
        <w:tc>
          <w:tcPr>
            <w:tcW w:w="10354" w:type="dxa"/>
            <w:noWrap/>
            <w:vAlign w:val="center"/>
          </w:tcPr>
          <w:p>
            <w:pPr>
              <w:adjustRightInd w:val="0"/>
              <w:snapToGrid w:val="0"/>
              <w:spacing w:line="400" w:lineRule="exact"/>
              <w:ind w:left="52" w:leftChars="25" w:right="52" w:rightChars="25"/>
              <w:textAlignment w:val="center"/>
              <w:rPr>
                <w:rFonts w:ascii="仿宋" w:hAnsi="仿宋" w:eastAsia="仿宋" w:cs="仿宋"/>
                <w:sz w:val="28"/>
                <w:szCs w:val="28"/>
              </w:rPr>
            </w:pPr>
            <w:r>
              <w:rPr>
                <w:rFonts w:hint="eastAsia" w:ascii="仿宋" w:hAnsi="仿宋" w:eastAsia="仿宋" w:cs="仿宋"/>
                <w:sz w:val="28"/>
                <w:szCs w:val="28"/>
              </w:rPr>
              <w:t>完成县大气办交办的其他事项。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5" w:type="dxa"/>
            <w:bottom w:w="0" w:type="dxa"/>
            <w:right w:w="15" w:type="dxa"/>
          </w:tblCellMar>
        </w:tblPrEx>
        <w:trPr>
          <w:cantSplit/>
          <w:jc w:val="center"/>
        </w:trPr>
        <w:tc>
          <w:tcPr>
            <w:tcW w:w="1065" w:type="dxa"/>
            <w:noWrap/>
            <w:vAlign w:val="center"/>
          </w:tcPr>
          <w:p>
            <w:pPr>
              <w:spacing w:line="420" w:lineRule="exact"/>
              <w:jc w:val="center"/>
              <w:textAlignment w:val="center"/>
              <w:rPr>
                <w:rFonts w:ascii="仿宋" w:hAnsi="仿宋" w:eastAsia="仿宋" w:cs="仿宋"/>
                <w:sz w:val="28"/>
                <w:szCs w:val="28"/>
              </w:rPr>
            </w:pPr>
            <w:r>
              <w:rPr>
                <w:rFonts w:hint="eastAsia" w:ascii="仿宋" w:hAnsi="仿宋" w:eastAsia="仿宋" w:cs="仿宋"/>
                <w:sz w:val="28"/>
                <w:szCs w:val="28"/>
              </w:rPr>
              <w:t>13</w:t>
            </w:r>
          </w:p>
        </w:tc>
        <w:tc>
          <w:tcPr>
            <w:tcW w:w="2365" w:type="dxa"/>
            <w:noWrap/>
            <w:vAlign w:val="center"/>
          </w:tcPr>
          <w:p>
            <w:pPr>
              <w:spacing w:line="420" w:lineRule="exact"/>
              <w:jc w:val="center"/>
              <w:textAlignment w:val="center"/>
              <w:rPr>
                <w:rFonts w:ascii="仿宋" w:hAnsi="仿宋" w:eastAsia="仿宋" w:cs="仿宋"/>
                <w:sz w:val="28"/>
                <w:szCs w:val="28"/>
              </w:rPr>
            </w:pPr>
            <w:r>
              <w:rPr>
                <w:rFonts w:hint="eastAsia" w:ascii="仿宋" w:hAnsi="仿宋" w:eastAsia="仿宋" w:cs="仿宋"/>
                <w:color w:val="auto"/>
                <w:sz w:val="28"/>
                <w:szCs w:val="28"/>
              </w:rPr>
              <w:t>市场监管局</w:t>
            </w:r>
          </w:p>
        </w:tc>
        <w:tc>
          <w:tcPr>
            <w:tcW w:w="10354" w:type="dxa"/>
            <w:noWrap/>
            <w:vAlign w:val="center"/>
          </w:tcPr>
          <w:p>
            <w:pPr>
              <w:adjustRightInd w:val="0"/>
              <w:snapToGrid w:val="0"/>
              <w:spacing w:line="400" w:lineRule="exact"/>
              <w:ind w:left="52" w:leftChars="25" w:right="52" w:rightChars="25"/>
              <w:textAlignment w:val="center"/>
              <w:rPr>
                <w:rFonts w:ascii="仿宋" w:hAnsi="仿宋" w:eastAsia="仿宋" w:cs="仿宋"/>
                <w:sz w:val="28"/>
                <w:szCs w:val="28"/>
              </w:rPr>
            </w:pPr>
            <w:r>
              <w:rPr>
                <w:rFonts w:hint="eastAsia" w:ascii="仿宋" w:hAnsi="仿宋" w:eastAsia="仿宋" w:cs="仿宋"/>
                <w:sz w:val="28"/>
                <w:szCs w:val="28"/>
              </w:rPr>
              <w:t>编制本部门《重污染天气应急响应实施方案》；重污染天气期间，加大对煤炭和油品质量的监督检查，严格源头控制，杜绝生产和使用不符合国家和地方标准的油品和煤炭；</w:t>
            </w:r>
            <w:r>
              <w:rPr>
                <w:rFonts w:hint="eastAsia" w:ascii="仿宋" w:hAnsi="仿宋" w:eastAsia="仿宋" w:cs="仿宋"/>
                <w:sz w:val="28"/>
                <w:szCs w:val="28"/>
                <w:lang w:eastAsia="zh-CN"/>
              </w:rPr>
              <w:t>负责</w:t>
            </w:r>
            <w:r>
              <w:rPr>
                <w:rFonts w:hint="eastAsia" w:ascii="仿宋" w:hAnsi="仿宋" w:eastAsia="仿宋" w:cs="仿宋"/>
                <w:sz w:val="28"/>
                <w:szCs w:val="28"/>
              </w:rPr>
              <w:t>餐饮行业油烟治理设施的巡查检查；完成县大气办交办的其他事项。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5" w:type="dxa"/>
            <w:bottom w:w="0" w:type="dxa"/>
            <w:right w:w="15" w:type="dxa"/>
          </w:tblCellMar>
        </w:tblPrEx>
        <w:trPr>
          <w:cantSplit/>
          <w:jc w:val="center"/>
        </w:trPr>
        <w:tc>
          <w:tcPr>
            <w:tcW w:w="1065" w:type="dxa"/>
            <w:noWrap/>
            <w:vAlign w:val="center"/>
          </w:tcPr>
          <w:p>
            <w:pPr>
              <w:spacing w:line="420" w:lineRule="exact"/>
              <w:jc w:val="center"/>
              <w:textAlignment w:val="center"/>
              <w:rPr>
                <w:rFonts w:ascii="仿宋" w:hAnsi="仿宋" w:eastAsia="仿宋" w:cs="仿宋"/>
                <w:sz w:val="28"/>
                <w:szCs w:val="28"/>
              </w:rPr>
            </w:pPr>
            <w:r>
              <w:rPr>
                <w:rFonts w:hint="eastAsia" w:ascii="仿宋" w:hAnsi="仿宋" w:eastAsia="仿宋" w:cs="仿宋"/>
                <w:sz w:val="28"/>
                <w:szCs w:val="28"/>
              </w:rPr>
              <w:t>14</w:t>
            </w:r>
          </w:p>
        </w:tc>
        <w:tc>
          <w:tcPr>
            <w:tcW w:w="2365" w:type="dxa"/>
            <w:noWrap/>
            <w:vAlign w:val="center"/>
          </w:tcPr>
          <w:p>
            <w:pPr>
              <w:spacing w:line="420" w:lineRule="exact"/>
              <w:jc w:val="center"/>
              <w:textAlignment w:val="center"/>
              <w:rPr>
                <w:rFonts w:ascii="仿宋" w:hAnsi="仿宋" w:eastAsia="仿宋" w:cs="仿宋"/>
                <w:sz w:val="28"/>
                <w:szCs w:val="28"/>
              </w:rPr>
            </w:pPr>
            <w:r>
              <w:rPr>
                <w:rFonts w:hint="eastAsia" w:ascii="仿宋" w:hAnsi="仿宋" w:eastAsia="仿宋" w:cs="仿宋"/>
                <w:sz w:val="28"/>
                <w:szCs w:val="28"/>
              </w:rPr>
              <w:t>农业农村局</w:t>
            </w:r>
          </w:p>
        </w:tc>
        <w:tc>
          <w:tcPr>
            <w:tcW w:w="10354" w:type="dxa"/>
            <w:noWrap/>
            <w:vAlign w:val="center"/>
          </w:tcPr>
          <w:p>
            <w:pPr>
              <w:adjustRightInd w:val="0"/>
              <w:snapToGrid w:val="0"/>
              <w:spacing w:line="420" w:lineRule="exact"/>
              <w:ind w:left="52" w:leftChars="25" w:right="52" w:rightChars="25"/>
              <w:textAlignment w:val="center"/>
              <w:rPr>
                <w:rFonts w:ascii="仿宋" w:hAnsi="仿宋" w:eastAsia="仿宋" w:cs="仿宋"/>
                <w:sz w:val="28"/>
                <w:szCs w:val="28"/>
              </w:rPr>
            </w:pPr>
            <w:r>
              <w:rPr>
                <w:rFonts w:hint="eastAsia" w:ascii="仿宋" w:hAnsi="仿宋" w:eastAsia="仿宋" w:cs="仿宋"/>
                <w:sz w:val="28"/>
                <w:szCs w:val="28"/>
              </w:rPr>
              <w:t>编制本部门《重污染天气应急响应专项实施方案》；重污染天气应急期间，配合生态环境分局对全县秸秆焚烧进行督导；完成县大气办交办的其他事项。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5" w:type="dxa"/>
            <w:bottom w:w="0" w:type="dxa"/>
            <w:right w:w="15" w:type="dxa"/>
          </w:tblCellMar>
        </w:tblPrEx>
        <w:trPr>
          <w:cantSplit/>
          <w:jc w:val="center"/>
        </w:trPr>
        <w:tc>
          <w:tcPr>
            <w:tcW w:w="1065" w:type="dxa"/>
            <w:noWrap/>
            <w:vAlign w:val="center"/>
          </w:tcPr>
          <w:p>
            <w:pPr>
              <w:spacing w:line="420" w:lineRule="exact"/>
              <w:jc w:val="center"/>
              <w:textAlignment w:val="center"/>
              <w:rPr>
                <w:rFonts w:ascii="仿宋" w:hAnsi="仿宋" w:eastAsia="仿宋" w:cs="仿宋"/>
                <w:sz w:val="28"/>
                <w:szCs w:val="28"/>
              </w:rPr>
            </w:pPr>
            <w:r>
              <w:rPr>
                <w:rFonts w:hint="eastAsia" w:ascii="仿宋" w:hAnsi="仿宋" w:eastAsia="仿宋" w:cs="仿宋"/>
                <w:sz w:val="28"/>
                <w:szCs w:val="28"/>
              </w:rPr>
              <w:t>15</w:t>
            </w:r>
          </w:p>
        </w:tc>
        <w:tc>
          <w:tcPr>
            <w:tcW w:w="2365" w:type="dxa"/>
            <w:noWrap/>
            <w:vAlign w:val="center"/>
          </w:tcPr>
          <w:p>
            <w:pPr>
              <w:spacing w:line="480" w:lineRule="exact"/>
              <w:jc w:val="center"/>
              <w:textAlignment w:val="center"/>
              <w:rPr>
                <w:rFonts w:ascii="仿宋" w:hAnsi="仿宋" w:eastAsia="仿宋" w:cs="仿宋"/>
                <w:sz w:val="28"/>
                <w:szCs w:val="28"/>
              </w:rPr>
            </w:pPr>
            <w:r>
              <w:rPr>
                <w:rFonts w:hint="eastAsia" w:ascii="仿宋" w:hAnsi="仿宋" w:eastAsia="仿宋" w:cs="仿宋"/>
                <w:sz w:val="28"/>
                <w:szCs w:val="28"/>
              </w:rPr>
              <w:t>水利局</w:t>
            </w:r>
          </w:p>
        </w:tc>
        <w:tc>
          <w:tcPr>
            <w:tcW w:w="10354" w:type="dxa"/>
            <w:noWrap/>
            <w:vAlign w:val="center"/>
          </w:tcPr>
          <w:p>
            <w:pPr>
              <w:adjustRightInd w:val="0"/>
              <w:snapToGrid w:val="0"/>
              <w:spacing w:line="440" w:lineRule="exact"/>
              <w:ind w:left="52" w:leftChars="25" w:right="52" w:rightChars="25"/>
              <w:textAlignment w:val="center"/>
              <w:rPr>
                <w:rFonts w:ascii="仿宋" w:hAnsi="仿宋" w:eastAsia="仿宋" w:cs="仿宋"/>
                <w:sz w:val="28"/>
                <w:szCs w:val="28"/>
              </w:rPr>
            </w:pPr>
            <w:r>
              <w:rPr>
                <w:rFonts w:hint="eastAsia" w:ascii="仿宋" w:hAnsi="仿宋" w:eastAsia="仿宋" w:cs="仿宋"/>
                <w:sz w:val="28"/>
                <w:szCs w:val="28"/>
              </w:rPr>
              <w:t>编制本部门《重污染天气应急响应实施方案》；主要负责督导重污染天气期间水利工程扬尘治理，派专人值守，制定巡视制度；对河道、湖泊、岸滩露天焚烧监督检查；</w:t>
            </w:r>
          </w:p>
          <w:p>
            <w:pPr>
              <w:adjustRightInd w:val="0"/>
              <w:snapToGrid w:val="0"/>
              <w:spacing w:line="440" w:lineRule="exact"/>
              <w:ind w:right="52" w:rightChars="25"/>
              <w:textAlignment w:val="center"/>
              <w:rPr>
                <w:rFonts w:ascii="仿宋" w:hAnsi="仿宋" w:eastAsia="仿宋" w:cs="仿宋"/>
                <w:sz w:val="28"/>
                <w:szCs w:val="28"/>
              </w:rPr>
            </w:pPr>
            <w:r>
              <w:rPr>
                <w:rFonts w:hint="eastAsia" w:ascii="仿宋" w:hAnsi="仿宋" w:eastAsia="仿宋" w:cs="仿宋"/>
                <w:sz w:val="28"/>
                <w:szCs w:val="28"/>
              </w:rPr>
              <w:t>完成县大气办交办的其他事项。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5" w:type="dxa"/>
            <w:bottom w:w="0" w:type="dxa"/>
            <w:right w:w="15" w:type="dxa"/>
          </w:tblCellMar>
        </w:tblPrEx>
        <w:trPr>
          <w:cantSplit/>
          <w:jc w:val="center"/>
        </w:trPr>
        <w:tc>
          <w:tcPr>
            <w:tcW w:w="1065" w:type="dxa"/>
            <w:noWrap/>
            <w:vAlign w:val="center"/>
          </w:tcPr>
          <w:p>
            <w:pPr>
              <w:spacing w:line="420" w:lineRule="exact"/>
              <w:jc w:val="center"/>
              <w:textAlignment w:val="center"/>
              <w:rPr>
                <w:rFonts w:ascii="仿宋" w:hAnsi="仿宋" w:eastAsia="仿宋" w:cs="仿宋"/>
                <w:sz w:val="28"/>
                <w:szCs w:val="28"/>
              </w:rPr>
            </w:pPr>
            <w:r>
              <w:rPr>
                <w:rFonts w:hint="eastAsia" w:ascii="仿宋" w:hAnsi="仿宋" w:eastAsia="仿宋" w:cs="仿宋"/>
                <w:sz w:val="28"/>
                <w:szCs w:val="28"/>
              </w:rPr>
              <w:t>17</w:t>
            </w:r>
          </w:p>
        </w:tc>
        <w:tc>
          <w:tcPr>
            <w:tcW w:w="2365" w:type="dxa"/>
            <w:noWrap/>
            <w:vAlign w:val="center"/>
          </w:tcPr>
          <w:p>
            <w:pPr>
              <w:spacing w:line="420" w:lineRule="exact"/>
              <w:jc w:val="center"/>
              <w:textAlignment w:val="center"/>
              <w:rPr>
                <w:rFonts w:ascii="仿宋" w:hAnsi="仿宋" w:eastAsia="仿宋" w:cs="仿宋"/>
                <w:sz w:val="28"/>
                <w:szCs w:val="28"/>
              </w:rPr>
            </w:pPr>
            <w:r>
              <w:rPr>
                <w:rFonts w:hint="eastAsia" w:ascii="仿宋" w:hAnsi="仿宋" w:eastAsia="仿宋" w:cs="仿宋"/>
                <w:sz w:val="28"/>
                <w:szCs w:val="28"/>
              </w:rPr>
              <w:t>各乡镇政府</w:t>
            </w:r>
          </w:p>
        </w:tc>
        <w:tc>
          <w:tcPr>
            <w:tcW w:w="10354" w:type="dxa"/>
            <w:noWrap/>
            <w:vAlign w:val="center"/>
          </w:tcPr>
          <w:p>
            <w:pPr>
              <w:spacing w:line="420" w:lineRule="exact"/>
              <w:ind w:left="52" w:leftChars="25" w:right="52" w:rightChars="25"/>
              <w:textAlignment w:val="center"/>
              <w:rPr>
                <w:rFonts w:ascii="仿宋" w:hAnsi="仿宋" w:eastAsia="仿宋" w:cs="仿宋"/>
                <w:sz w:val="28"/>
                <w:szCs w:val="28"/>
              </w:rPr>
            </w:pPr>
            <w:r>
              <w:rPr>
                <w:rFonts w:hint="eastAsia" w:ascii="仿宋" w:hAnsi="仿宋" w:eastAsia="仿宋" w:cs="仿宋"/>
                <w:sz w:val="28"/>
                <w:szCs w:val="28"/>
              </w:rPr>
              <w:t>编制</w:t>
            </w:r>
            <w:r>
              <w:rPr>
                <w:rFonts w:hint="eastAsia" w:ascii="仿宋" w:hAnsi="仿宋" w:eastAsia="仿宋" w:cs="仿宋"/>
                <w:sz w:val="28"/>
                <w:szCs w:val="28"/>
                <w:lang w:eastAsia="zh-CN"/>
              </w:rPr>
              <w:t>本辖区</w:t>
            </w:r>
            <w:r>
              <w:rPr>
                <w:rFonts w:hint="eastAsia" w:ascii="仿宋" w:hAnsi="仿宋" w:eastAsia="仿宋" w:cs="仿宋"/>
                <w:sz w:val="28"/>
                <w:szCs w:val="28"/>
              </w:rPr>
              <w:t>《重污染天气应急响应实施方案》，组织对本辖区内工业企业、工地应急响应工作落实情况进行督导巡查；加大秸秆禁烧巡查监管力度，严禁露天焚烧秸秆；加强农村地区“散煤”取暖管控。完成县大气办交办的其他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5" w:type="dxa"/>
            <w:bottom w:w="0" w:type="dxa"/>
            <w:right w:w="15" w:type="dxa"/>
          </w:tblCellMar>
        </w:tblPrEx>
        <w:trPr>
          <w:cantSplit/>
          <w:jc w:val="center"/>
        </w:trPr>
        <w:tc>
          <w:tcPr>
            <w:tcW w:w="1065" w:type="dxa"/>
            <w:noWrap/>
            <w:vAlign w:val="center"/>
          </w:tcPr>
          <w:p>
            <w:pPr>
              <w:spacing w:line="420" w:lineRule="exact"/>
              <w:jc w:val="center"/>
              <w:textAlignment w:val="center"/>
              <w:rPr>
                <w:rFonts w:ascii="仿宋" w:hAnsi="仿宋" w:eastAsia="仿宋" w:cs="仿宋"/>
                <w:sz w:val="28"/>
                <w:szCs w:val="28"/>
              </w:rPr>
            </w:pPr>
            <w:r>
              <w:rPr>
                <w:rFonts w:hint="eastAsia" w:ascii="仿宋" w:hAnsi="仿宋" w:eastAsia="仿宋" w:cs="仿宋"/>
                <w:sz w:val="28"/>
                <w:szCs w:val="28"/>
              </w:rPr>
              <w:t>18</w:t>
            </w:r>
          </w:p>
        </w:tc>
        <w:tc>
          <w:tcPr>
            <w:tcW w:w="2365" w:type="dxa"/>
            <w:noWrap/>
            <w:vAlign w:val="center"/>
          </w:tcPr>
          <w:p>
            <w:pPr>
              <w:spacing w:line="480" w:lineRule="exact"/>
              <w:jc w:val="center"/>
              <w:textAlignment w:val="center"/>
              <w:rPr>
                <w:rFonts w:ascii="仿宋" w:hAnsi="仿宋" w:eastAsia="仿宋" w:cs="仿宋"/>
                <w:sz w:val="28"/>
                <w:szCs w:val="28"/>
              </w:rPr>
            </w:pPr>
            <w:r>
              <w:rPr>
                <w:rFonts w:hint="eastAsia" w:ascii="仿宋" w:hAnsi="仿宋" w:eastAsia="仿宋" w:cs="仿宋"/>
                <w:sz w:val="28"/>
                <w:szCs w:val="28"/>
              </w:rPr>
              <w:t>供电公司</w:t>
            </w:r>
          </w:p>
        </w:tc>
        <w:tc>
          <w:tcPr>
            <w:tcW w:w="10354" w:type="dxa"/>
            <w:noWrap/>
            <w:vAlign w:val="center"/>
          </w:tcPr>
          <w:p>
            <w:pPr>
              <w:spacing w:line="420" w:lineRule="exact"/>
              <w:ind w:left="52" w:leftChars="25" w:right="52" w:rightChars="25"/>
              <w:textAlignment w:val="center"/>
              <w:rPr>
                <w:rFonts w:ascii="仿宋" w:hAnsi="仿宋" w:eastAsia="仿宋" w:cs="仿宋"/>
                <w:sz w:val="28"/>
                <w:szCs w:val="28"/>
              </w:rPr>
            </w:pPr>
            <w:r>
              <w:rPr>
                <w:rFonts w:hint="eastAsia" w:ascii="仿宋" w:hAnsi="仿宋" w:eastAsia="仿宋" w:cs="仿宋"/>
                <w:sz w:val="28"/>
                <w:szCs w:val="28"/>
              </w:rPr>
              <w:t>编制本部门《重污染天气应急响应专项实施方案》，负责对限产、停产企业供电管控，对关停取缔企业采取停电措施。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5" w:type="dxa"/>
            <w:bottom w:w="0" w:type="dxa"/>
            <w:right w:w="15" w:type="dxa"/>
          </w:tblCellMar>
        </w:tblPrEx>
        <w:trPr>
          <w:cantSplit/>
          <w:jc w:val="center"/>
        </w:trPr>
        <w:tc>
          <w:tcPr>
            <w:tcW w:w="1065" w:type="dxa"/>
            <w:noWrap/>
            <w:vAlign w:val="center"/>
          </w:tcPr>
          <w:p>
            <w:pPr>
              <w:spacing w:line="420" w:lineRule="exact"/>
              <w:jc w:val="center"/>
              <w:textAlignment w:val="center"/>
              <w:rPr>
                <w:rFonts w:ascii="仿宋" w:hAnsi="仿宋" w:eastAsia="仿宋" w:cs="仿宋"/>
                <w:sz w:val="28"/>
                <w:szCs w:val="28"/>
              </w:rPr>
            </w:pPr>
            <w:r>
              <w:rPr>
                <w:rFonts w:hint="eastAsia" w:ascii="仿宋" w:hAnsi="仿宋" w:eastAsia="仿宋" w:cs="仿宋"/>
                <w:sz w:val="28"/>
                <w:szCs w:val="28"/>
              </w:rPr>
              <w:t>19</w:t>
            </w:r>
          </w:p>
        </w:tc>
        <w:tc>
          <w:tcPr>
            <w:tcW w:w="2365" w:type="dxa"/>
            <w:noWrap/>
            <w:vAlign w:val="center"/>
          </w:tcPr>
          <w:p>
            <w:pPr>
              <w:spacing w:line="480" w:lineRule="exact"/>
              <w:jc w:val="center"/>
              <w:textAlignment w:val="center"/>
              <w:rPr>
                <w:rFonts w:ascii="仿宋" w:hAnsi="仿宋" w:eastAsia="仿宋" w:cs="仿宋"/>
                <w:sz w:val="28"/>
                <w:szCs w:val="28"/>
              </w:rPr>
            </w:pPr>
            <w:r>
              <w:rPr>
                <w:rFonts w:hint="eastAsia" w:ascii="仿宋" w:hAnsi="仿宋" w:eastAsia="仿宋" w:cs="仿宋"/>
                <w:sz w:val="28"/>
                <w:szCs w:val="28"/>
              </w:rPr>
              <w:t>各通信公司</w:t>
            </w:r>
          </w:p>
        </w:tc>
        <w:tc>
          <w:tcPr>
            <w:tcW w:w="10354" w:type="dxa"/>
            <w:noWrap/>
            <w:vAlign w:val="center"/>
          </w:tcPr>
          <w:p>
            <w:pPr>
              <w:spacing w:line="420" w:lineRule="exact"/>
              <w:ind w:left="52" w:leftChars="25" w:right="52" w:rightChars="25"/>
              <w:textAlignment w:val="center"/>
              <w:rPr>
                <w:rFonts w:ascii="仿宋" w:hAnsi="仿宋" w:eastAsia="仿宋" w:cs="仿宋"/>
                <w:sz w:val="28"/>
                <w:szCs w:val="28"/>
              </w:rPr>
            </w:pPr>
            <w:r>
              <w:rPr>
                <w:rFonts w:hint="eastAsia" w:ascii="仿宋" w:hAnsi="仿宋" w:eastAsia="仿宋" w:cs="仿宋"/>
                <w:sz w:val="28"/>
                <w:szCs w:val="28"/>
              </w:rPr>
              <w:t>配合县委宣传部做好应急响应期间健康防护、建议性减排措施等信息发布工作。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5" w:type="dxa"/>
            <w:bottom w:w="0" w:type="dxa"/>
            <w:right w:w="15" w:type="dxa"/>
          </w:tblCellMar>
        </w:tblPrEx>
        <w:trPr>
          <w:cantSplit/>
          <w:jc w:val="center"/>
        </w:trPr>
        <w:tc>
          <w:tcPr>
            <w:tcW w:w="1065" w:type="dxa"/>
            <w:noWrap/>
            <w:vAlign w:val="center"/>
          </w:tcPr>
          <w:p>
            <w:pPr>
              <w:spacing w:line="420" w:lineRule="exact"/>
              <w:jc w:val="center"/>
              <w:textAlignment w:val="center"/>
              <w:rPr>
                <w:rFonts w:ascii="仿宋" w:hAnsi="仿宋" w:eastAsia="仿宋" w:cs="仿宋"/>
                <w:sz w:val="28"/>
                <w:szCs w:val="28"/>
              </w:rPr>
            </w:pPr>
            <w:r>
              <w:rPr>
                <w:rFonts w:hint="eastAsia" w:ascii="仿宋" w:hAnsi="仿宋" w:eastAsia="仿宋" w:cs="仿宋"/>
                <w:sz w:val="28"/>
                <w:szCs w:val="28"/>
              </w:rPr>
              <w:t>20</w:t>
            </w:r>
          </w:p>
        </w:tc>
        <w:tc>
          <w:tcPr>
            <w:tcW w:w="2365" w:type="dxa"/>
            <w:noWrap/>
            <w:vAlign w:val="center"/>
          </w:tcPr>
          <w:p>
            <w:pPr>
              <w:spacing w:line="480" w:lineRule="exact"/>
              <w:jc w:val="center"/>
              <w:textAlignment w:val="center"/>
              <w:rPr>
                <w:rFonts w:ascii="仿宋" w:hAnsi="仿宋" w:eastAsia="仿宋" w:cs="仿宋"/>
                <w:sz w:val="28"/>
                <w:szCs w:val="28"/>
              </w:rPr>
            </w:pPr>
            <w:r>
              <w:rPr>
                <w:rFonts w:hint="eastAsia" w:ascii="仿宋" w:hAnsi="仿宋" w:eastAsia="仿宋" w:cs="仿宋"/>
                <w:sz w:val="28"/>
                <w:szCs w:val="28"/>
              </w:rPr>
              <w:t>其他部门</w:t>
            </w:r>
          </w:p>
        </w:tc>
        <w:tc>
          <w:tcPr>
            <w:tcW w:w="10354" w:type="dxa"/>
            <w:noWrap/>
            <w:vAlign w:val="center"/>
          </w:tcPr>
          <w:p>
            <w:pPr>
              <w:spacing w:line="420" w:lineRule="exact"/>
              <w:ind w:left="52" w:leftChars="25" w:right="52" w:rightChars="25"/>
              <w:textAlignment w:val="center"/>
              <w:rPr>
                <w:rFonts w:ascii="仿宋" w:hAnsi="仿宋" w:eastAsia="仿宋" w:cs="仿宋"/>
                <w:sz w:val="28"/>
                <w:szCs w:val="28"/>
              </w:rPr>
            </w:pPr>
            <w:r>
              <w:rPr>
                <w:rFonts w:hint="eastAsia" w:ascii="仿宋" w:hAnsi="仿宋" w:eastAsia="仿宋" w:cs="仿宋"/>
                <w:sz w:val="28"/>
                <w:szCs w:val="28"/>
              </w:rPr>
              <w:t>完成县大气办交办的事项。</w:t>
            </w:r>
          </w:p>
        </w:tc>
      </w:tr>
    </w:tbl>
    <w:p/>
    <w:p>
      <w:pPr>
        <w:widowControl/>
        <w:shd w:val="clear" w:color="auto" w:fill="FFFFFF"/>
        <w:spacing w:line="600" w:lineRule="atLeast"/>
        <w:rPr>
          <w:rFonts w:ascii="仿宋" w:hAnsi="仿宋" w:eastAsia="仿宋" w:cs="仿宋"/>
          <w:kern w:val="0"/>
          <w:sz w:val="32"/>
          <w:szCs w:val="32"/>
        </w:rPr>
      </w:pPr>
    </w:p>
    <w:sectPr>
      <w:pgSz w:w="16838" w:h="11906" w:orient="landscape"/>
      <w:pgMar w:top="1797" w:right="1440" w:bottom="1797" w:left="1440" w:header="851" w:footer="992" w:gutter="0"/>
      <w:pgNumType w:fmt="decimal"/>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w:pict>
        <v:shape id="_x0000_s1027" o:spid="_x0000_s1027" o:spt="202" type="#_x0000_t202" style="position:absolute;left:0pt;margin-top:0pt;height:144pt;width:144pt;mso-position-horizontal:inside;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8"/>
                  <w:rPr>
                    <w:rFonts w:hint="eastAsia" w:asciiTheme="majorEastAsia" w:hAnsiTheme="majorEastAsia" w:eastAsiaTheme="majorEastAsia" w:cstheme="majorEastAsia"/>
                    <w:sz w:val="28"/>
                    <w:szCs w:val="28"/>
                    <w:lang w:val="en-US" w:eastAsia="zh-CN"/>
                  </w:rPr>
                </w:pPr>
                <w:r>
                  <w:rPr>
                    <w:rFonts w:hint="eastAsia" w:asciiTheme="majorEastAsia" w:hAnsiTheme="majorEastAsia" w:eastAsiaTheme="majorEastAsia" w:cstheme="majorEastAsia"/>
                    <w:sz w:val="28"/>
                    <w:szCs w:val="28"/>
                    <w:lang w:eastAsia="zh-CN"/>
                  </w:rPr>
                  <w:t>—</w:t>
                </w:r>
                <w:r>
                  <w:rPr>
                    <w:rFonts w:hint="eastAsia" w:asciiTheme="majorEastAsia" w:hAnsiTheme="majorEastAsia" w:eastAsiaTheme="majorEastAsia" w:cstheme="majorEastAsia"/>
                    <w:sz w:val="28"/>
                    <w:szCs w:val="28"/>
                    <w:lang w:val="en-US" w:eastAsia="zh-CN"/>
                  </w:rPr>
                  <w:t xml:space="preserve"> </w:t>
                </w: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- 1 -</w:t>
                </w:r>
                <w:r>
                  <w:rPr>
                    <w:rFonts w:hint="eastAsia" w:asciiTheme="majorEastAsia" w:hAnsiTheme="majorEastAsia" w:eastAsiaTheme="majorEastAsia" w:cstheme="majorEastAsia"/>
                    <w:sz w:val="28"/>
                    <w:szCs w:val="28"/>
                    <w:lang w:eastAsia="zh-CN"/>
                  </w:rPr>
                  <w:fldChar w:fldCharType="end"/>
                </w:r>
                <w:r>
                  <w:rPr>
                    <w:rFonts w:hint="eastAsia" w:asciiTheme="majorEastAsia" w:hAnsiTheme="majorEastAsia" w:eastAsiaTheme="majorEastAsia" w:cstheme="majorEastAsia"/>
                    <w:sz w:val="28"/>
                    <w:szCs w:val="28"/>
                    <w:lang w:val="en-US" w:eastAsia="zh-CN"/>
                  </w:rPr>
                  <w:t xml:space="preserve"> —</w:t>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210FA7"/>
    <w:multiLevelType w:val="singleLevel"/>
    <w:tmpl w:val="70210FA7"/>
    <w:lvl w:ilvl="0" w:tentative="0">
      <w:start w:val="1"/>
      <w:numFmt w:val="decimal"/>
      <w:suff w:val="nothing"/>
      <w:lvlText w:val="（%1）"/>
      <w:lvlJc w:val="left"/>
    </w:lvl>
  </w:abstractNum>
  <w:abstractNum w:abstractNumId="1">
    <w:nsid w:val="77EBD9C6"/>
    <w:multiLevelType w:val="singleLevel"/>
    <w:tmpl w:val="77EBD9C6"/>
    <w:lvl w:ilvl="0" w:tentative="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54675E"/>
    <w:rsid w:val="00001150"/>
    <w:rsid w:val="000156AD"/>
    <w:rsid w:val="00074C16"/>
    <w:rsid w:val="000E24E1"/>
    <w:rsid w:val="00126A41"/>
    <w:rsid w:val="0012749A"/>
    <w:rsid w:val="001321BF"/>
    <w:rsid w:val="00163107"/>
    <w:rsid w:val="00165C0C"/>
    <w:rsid w:val="001816FC"/>
    <w:rsid w:val="001825D5"/>
    <w:rsid w:val="001E0ABD"/>
    <w:rsid w:val="0021195A"/>
    <w:rsid w:val="00232AFE"/>
    <w:rsid w:val="00234A41"/>
    <w:rsid w:val="00256C69"/>
    <w:rsid w:val="00256F62"/>
    <w:rsid w:val="00291A9D"/>
    <w:rsid w:val="002C06E8"/>
    <w:rsid w:val="00343A89"/>
    <w:rsid w:val="003954D0"/>
    <w:rsid w:val="004519D7"/>
    <w:rsid w:val="00455AA4"/>
    <w:rsid w:val="004C1FEC"/>
    <w:rsid w:val="004C38BA"/>
    <w:rsid w:val="0054675E"/>
    <w:rsid w:val="0055606A"/>
    <w:rsid w:val="005A7C5A"/>
    <w:rsid w:val="005D063B"/>
    <w:rsid w:val="005D0C17"/>
    <w:rsid w:val="005F40B9"/>
    <w:rsid w:val="00601317"/>
    <w:rsid w:val="006C3B97"/>
    <w:rsid w:val="006F2A43"/>
    <w:rsid w:val="007067FB"/>
    <w:rsid w:val="00713123"/>
    <w:rsid w:val="00760C3A"/>
    <w:rsid w:val="007B6901"/>
    <w:rsid w:val="00822BCD"/>
    <w:rsid w:val="00823E2C"/>
    <w:rsid w:val="00843369"/>
    <w:rsid w:val="0088532F"/>
    <w:rsid w:val="00947694"/>
    <w:rsid w:val="00A35D93"/>
    <w:rsid w:val="00A43463"/>
    <w:rsid w:val="00A453B1"/>
    <w:rsid w:val="00A70C12"/>
    <w:rsid w:val="00A71809"/>
    <w:rsid w:val="00A719E4"/>
    <w:rsid w:val="00A84E2F"/>
    <w:rsid w:val="00AB4ED6"/>
    <w:rsid w:val="00B25674"/>
    <w:rsid w:val="00B55072"/>
    <w:rsid w:val="00B736C6"/>
    <w:rsid w:val="00B85CC2"/>
    <w:rsid w:val="00B908EF"/>
    <w:rsid w:val="00BA2F61"/>
    <w:rsid w:val="00C6523B"/>
    <w:rsid w:val="00C84069"/>
    <w:rsid w:val="00CA03AE"/>
    <w:rsid w:val="00CD4E5E"/>
    <w:rsid w:val="00D259D9"/>
    <w:rsid w:val="00D6759D"/>
    <w:rsid w:val="00D9487C"/>
    <w:rsid w:val="00DC067A"/>
    <w:rsid w:val="00DC3C35"/>
    <w:rsid w:val="00E37B93"/>
    <w:rsid w:val="00E619AD"/>
    <w:rsid w:val="00EB490D"/>
    <w:rsid w:val="00F56741"/>
    <w:rsid w:val="00F75EB6"/>
    <w:rsid w:val="00FC4146"/>
    <w:rsid w:val="00FE17A5"/>
    <w:rsid w:val="013E1B37"/>
    <w:rsid w:val="02D04BEE"/>
    <w:rsid w:val="03A256B8"/>
    <w:rsid w:val="03C835A8"/>
    <w:rsid w:val="043D4D1D"/>
    <w:rsid w:val="046A3E47"/>
    <w:rsid w:val="048451C2"/>
    <w:rsid w:val="055C0A7B"/>
    <w:rsid w:val="05976EF9"/>
    <w:rsid w:val="06FB4EF3"/>
    <w:rsid w:val="0954257F"/>
    <w:rsid w:val="099111A9"/>
    <w:rsid w:val="0A0A3A72"/>
    <w:rsid w:val="0A3506C5"/>
    <w:rsid w:val="0AFC17F6"/>
    <w:rsid w:val="0C567FF6"/>
    <w:rsid w:val="0C732813"/>
    <w:rsid w:val="0C954B06"/>
    <w:rsid w:val="0D3B7625"/>
    <w:rsid w:val="0FD9568C"/>
    <w:rsid w:val="0FFD4723"/>
    <w:rsid w:val="110E2B7C"/>
    <w:rsid w:val="121D148E"/>
    <w:rsid w:val="12D923C8"/>
    <w:rsid w:val="13A670C6"/>
    <w:rsid w:val="14144585"/>
    <w:rsid w:val="148E409C"/>
    <w:rsid w:val="15B77DD6"/>
    <w:rsid w:val="15F14CA1"/>
    <w:rsid w:val="16A00259"/>
    <w:rsid w:val="1724594F"/>
    <w:rsid w:val="17BA2C4E"/>
    <w:rsid w:val="183C0579"/>
    <w:rsid w:val="18557986"/>
    <w:rsid w:val="18657A35"/>
    <w:rsid w:val="18733355"/>
    <w:rsid w:val="18C519F1"/>
    <w:rsid w:val="19FF130F"/>
    <w:rsid w:val="1A0156A7"/>
    <w:rsid w:val="1B1E1094"/>
    <w:rsid w:val="1C507392"/>
    <w:rsid w:val="1CC45F6E"/>
    <w:rsid w:val="1DB10320"/>
    <w:rsid w:val="20133CE0"/>
    <w:rsid w:val="202223C5"/>
    <w:rsid w:val="20D47A85"/>
    <w:rsid w:val="22A04FE1"/>
    <w:rsid w:val="246F4CA0"/>
    <w:rsid w:val="25AC3003"/>
    <w:rsid w:val="25CB0F19"/>
    <w:rsid w:val="25D67245"/>
    <w:rsid w:val="269E75FE"/>
    <w:rsid w:val="26BA67A5"/>
    <w:rsid w:val="27545EA5"/>
    <w:rsid w:val="27EE0CAF"/>
    <w:rsid w:val="285C07E4"/>
    <w:rsid w:val="2AB12EE3"/>
    <w:rsid w:val="2B8816E3"/>
    <w:rsid w:val="2C957DA0"/>
    <w:rsid w:val="2CD67BC9"/>
    <w:rsid w:val="2CD817BB"/>
    <w:rsid w:val="2CFF0686"/>
    <w:rsid w:val="2D40752F"/>
    <w:rsid w:val="2EEB1D28"/>
    <w:rsid w:val="2FD707B3"/>
    <w:rsid w:val="30641ECB"/>
    <w:rsid w:val="30650859"/>
    <w:rsid w:val="310461CF"/>
    <w:rsid w:val="319117DF"/>
    <w:rsid w:val="329A6324"/>
    <w:rsid w:val="32A01552"/>
    <w:rsid w:val="32D27EAE"/>
    <w:rsid w:val="33190FC6"/>
    <w:rsid w:val="33297EBE"/>
    <w:rsid w:val="33633B74"/>
    <w:rsid w:val="33685418"/>
    <w:rsid w:val="33C57380"/>
    <w:rsid w:val="341A6E09"/>
    <w:rsid w:val="342D01DD"/>
    <w:rsid w:val="34B20E38"/>
    <w:rsid w:val="34D83A48"/>
    <w:rsid w:val="35EB4C5D"/>
    <w:rsid w:val="367B59C6"/>
    <w:rsid w:val="377F605F"/>
    <w:rsid w:val="37A251BB"/>
    <w:rsid w:val="381F6CE4"/>
    <w:rsid w:val="38802D04"/>
    <w:rsid w:val="38C544A4"/>
    <w:rsid w:val="396E704F"/>
    <w:rsid w:val="39A85BEF"/>
    <w:rsid w:val="39F66344"/>
    <w:rsid w:val="3A06218C"/>
    <w:rsid w:val="3A561F17"/>
    <w:rsid w:val="3CA7042A"/>
    <w:rsid w:val="3D4743A5"/>
    <w:rsid w:val="3DDB2076"/>
    <w:rsid w:val="3E5454D3"/>
    <w:rsid w:val="3EA2073F"/>
    <w:rsid w:val="43364FD8"/>
    <w:rsid w:val="433A7E94"/>
    <w:rsid w:val="43816552"/>
    <w:rsid w:val="441247F3"/>
    <w:rsid w:val="44E23FA3"/>
    <w:rsid w:val="477A51A5"/>
    <w:rsid w:val="479436A1"/>
    <w:rsid w:val="486F704D"/>
    <w:rsid w:val="488806CC"/>
    <w:rsid w:val="4A323C8E"/>
    <w:rsid w:val="4A3474C5"/>
    <w:rsid w:val="4A3A14DD"/>
    <w:rsid w:val="4B396143"/>
    <w:rsid w:val="4B6C55EB"/>
    <w:rsid w:val="4BB24D3C"/>
    <w:rsid w:val="4DAD384C"/>
    <w:rsid w:val="4ED66DCE"/>
    <w:rsid w:val="4F6567CE"/>
    <w:rsid w:val="4FE438C6"/>
    <w:rsid w:val="51874DAF"/>
    <w:rsid w:val="52267262"/>
    <w:rsid w:val="524C5A5B"/>
    <w:rsid w:val="528328A7"/>
    <w:rsid w:val="52CA65D2"/>
    <w:rsid w:val="5318286B"/>
    <w:rsid w:val="53A87714"/>
    <w:rsid w:val="53B042ED"/>
    <w:rsid w:val="53B36A68"/>
    <w:rsid w:val="53C36FC1"/>
    <w:rsid w:val="53D80558"/>
    <w:rsid w:val="53F50E70"/>
    <w:rsid w:val="540526FE"/>
    <w:rsid w:val="55512831"/>
    <w:rsid w:val="55896677"/>
    <w:rsid w:val="570C3F6E"/>
    <w:rsid w:val="587A6C80"/>
    <w:rsid w:val="5A0D7A24"/>
    <w:rsid w:val="5B13412F"/>
    <w:rsid w:val="5B192A5D"/>
    <w:rsid w:val="5BCC3F06"/>
    <w:rsid w:val="5DA541FD"/>
    <w:rsid w:val="5DB87EA1"/>
    <w:rsid w:val="5E110072"/>
    <w:rsid w:val="5E305D6A"/>
    <w:rsid w:val="5E7D0414"/>
    <w:rsid w:val="5F0546CD"/>
    <w:rsid w:val="601233B7"/>
    <w:rsid w:val="60695B3C"/>
    <w:rsid w:val="607E36E7"/>
    <w:rsid w:val="60903EB8"/>
    <w:rsid w:val="619B3FD5"/>
    <w:rsid w:val="622E1FD1"/>
    <w:rsid w:val="623D7391"/>
    <w:rsid w:val="624315B1"/>
    <w:rsid w:val="63131163"/>
    <w:rsid w:val="63467B75"/>
    <w:rsid w:val="638D39D3"/>
    <w:rsid w:val="63A5367A"/>
    <w:rsid w:val="640D0C21"/>
    <w:rsid w:val="646559DF"/>
    <w:rsid w:val="64DF3E7A"/>
    <w:rsid w:val="65757BFD"/>
    <w:rsid w:val="657B0B23"/>
    <w:rsid w:val="65A250FE"/>
    <w:rsid w:val="67DD6F8D"/>
    <w:rsid w:val="67F56EE7"/>
    <w:rsid w:val="68153CBC"/>
    <w:rsid w:val="68A3616E"/>
    <w:rsid w:val="68C50CC4"/>
    <w:rsid w:val="696A01D2"/>
    <w:rsid w:val="69860978"/>
    <w:rsid w:val="6A637293"/>
    <w:rsid w:val="6B3E7012"/>
    <w:rsid w:val="6BAC549D"/>
    <w:rsid w:val="6C3344CD"/>
    <w:rsid w:val="6C4744F8"/>
    <w:rsid w:val="6CE52FCB"/>
    <w:rsid w:val="6CF330D6"/>
    <w:rsid w:val="6EC8680F"/>
    <w:rsid w:val="6F4B5FE7"/>
    <w:rsid w:val="70560B93"/>
    <w:rsid w:val="70814679"/>
    <w:rsid w:val="710737AD"/>
    <w:rsid w:val="712075F2"/>
    <w:rsid w:val="747A1533"/>
    <w:rsid w:val="74C840AB"/>
    <w:rsid w:val="753529EE"/>
    <w:rsid w:val="75EE7D8B"/>
    <w:rsid w:val="76115DFB"/>
    <w:rsid w:val="762633E0"/>
    <w:rsid w:val="76FB5BF4"/>
    <w:rsid w:val="77490FD2"/>
    <w:rsid w:val="77EF0B65"/>
    <w:rsid w:val="787143BE"/>
    <w:rsid w:val="78EA6700"/>
    <w:rsid w:val="79F551E5"/>
    <w:rsid w:val="7A0C0BB0"/>
    <w:rsid w:val="7A315C8A"/>
    <w:rsid w:val="7A507CC7"/>
    <w:rsid w:val="7B806E63"/>
    <w:rsid w:val="7BE73FBC"/>
    <w:rsid w:val="7C1B6F18"/>
    <w:rsid w:val="7D606578"/>
    <w:rsid w:val="7DC96AE5"/>
    <w:rsid w:val="7E332FA5"/>
    <w:rsid w:val="7EC457D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link w:val="13"/>
    <w:qFormat/>
    <w:uiPriority w:val="9"/>
    <w:pPr>
      <w:keepNext/>
      <w:keepLines/>
      <w:spacing w:before="340" w:after="330" w:line="578" w:lineRule="auto"/>
      <w:outlineLvl w:val="0"/>
    </w:pPr>
    <w:rPr>
      <w:b/>
      <w:bCs/>
      <w:kern w:val="44"/>
      <w:sz w:val="44"/>
      <w:szCs w:val="44"/>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Calibri" w:hAnsi="Calibri" w:eastAsia="宋体" w:cs="Times New Roman"/>
      <w:color w:val="000000"/>
      <w:sz w:val="24"/>
      <w:szCs w:val="22"/>
      <w:lang w:val="en-US" w:eastAsia="zh-CN" w:bidi="ar-SA"/>
    </w:rPr>
  </w:style>
  <w:style w:type="paragraph" w:styleId="4">
    <w:name w:val="annotation text"/>
    <w:basedOn w:val="1"/>
    <w:link w:val="20"/>
    <w:semiHidden/>
    <w:unhideWhenUsed/>
    <w:qFormat/>
    <w:uiPriority w:val="99"/>
    <w:pPr>
      <w:widowControl/>
      <w:spacing w:before="100" w:beforeAutospacing="1" w:after="100" w:afterAutospacing="1"/>
      <w:jc w:val="left"/>
    </w:pPr>
    <w:rPr>
      <w:rFonts w:ascii="宋体" w:hAnsi="宋体" w:cs="宋体"/>
      <w:kern w:val="0"/>
      <w:sz w:val="24"/>
      <w:szCs w:val="24"/>
    </w:rPr>
  </w:style>
  <w:style w:type="paragraph" w:styleId="5">
    <w:name w:val="Body Text"/>
    <w:basedOn w:val="1"/>
    <w:link w:val="21"/>
    <w:semiHidden/>
    <w:unhideWhenUsed/>
    <w:qFormat/>
    <w:uiPriority w:val="99"/>
    <w:pPr>
      <w:spacing w:after="120"/>
    </w:pPr>
  </w:style>
  <w:style w:type="paragraph" w:styleId="6">
    <w:name w:val="Body Text Indent"/>
    <w:basedOn w:val="1"/>
    <w:link w:val="16"/>
    <w:qFormat/>
    <w:uiPriority w:val="99"/>
    <w:pPr>
      <w:spacing w:after="120"/>
      <w:ind w:left="420" w:leftChars="200"/>
    </w:pPr>
    <w:rPr>
      <w:rFonts w:ascii="Times New Roman" w:hAnsi="Times New Roman"/>
      <w:szCs w:val="20"/>
    </w:rPr>
  </w:style>
  <w:style w:type="paragraph" w:styleId="7">
    <w:name w:val="Balloon Text"/>
    <w:basedOn w:val="1"/>
    <w:link w:val="17"/>
    <w:semiHidden/>
    <w:unhideWhenUsed/>
    <w:qFormat/>
    <w:uiPriority w:val="99"/>
    <w:rPr>
      <w:sz w:val="18"/>
      <w:szCs w:val="18"/>
    </w:rPr>
  </w:style>
  <w:style w:type="paragraph" w:styleId="8">
    <w:name w:val="footer"/>
    <w:basedOn w:val="1"/>
    <w:link w:val="15"/>
    <w:unhideWhenUsed/>
    <w:qFormat/>
    <w:uiPriority w:val="99"/>
    <w:pPr>
      <w:tabs>
        <w:tab w:val="center" w:pos="4153"/>
        <w:tab w:val="right" w:pos="8306"/>
      </w:tabs>
      <w:snapToGrid w:val="0"/>
      <w:jc w:val="left"/>
    </w:pPr>
    <w:rPr>
      <w:sz w:val="18"/>
      <w:szCs w:val="18"/>
    </w:rPr>
  </w:style>
  <w:style w:type="paragraph" w:styleId="9">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character" w:styleId="12">
    <w:name w:val="Hyperlink"/>
    <w:basedOn w:val="11"/>
    <w:unhideWhenUsed/>
    <w:qFormat/>
    <w:uiPriority w:val="99"/>
    <w:rPr>
      <w:color w:val="0000FF" w:themeColor="hyperlink"/>
      <w:u w:val="single"/>
    </w:rPr>
  </w:style>
  <w:style w:type="character" w:customStyle="1" w:styleId="13">
    <w:name w:val="标题 1 Char"/>
    <w:basedOn w:val="11"/>
    <w:link w:val="3"/>
    <w:qFormat/>
    <w:uiPriority w:val="9"/>
    <w:rPr>
      <w:rFonts w:ascii="Calibri" w:hAnsi="Calibri" w:eastAsia="宋体" w:cs="Times New Roman"/>
      <w:b/>
      <w:bCs/>
      <w:kern w:val="44"/>
      <w:sz w:val="44"/>
      <w:szCs w:val="44"/>
    </w:rPr>
  </w:style>
  <w:style w:type="character" w:customStyle="1" w:styleId="14">
    <w:name w:val="页眉 Char"/>
    <w:basedOn w:val="11"/>
    <w:link w:val="9"/>
    <w:qFormat/>
    <w:uiPriority w:val="99"/>
    <w:rPr>
      <w:sz w:val="18"/>
      <w:szCs w:val="18"/>
    </w:rPr>
  </w:style>
  <w:style w:type="character" w:customStyle="1" w:styleId="15">
    <w:name w:val="页脚 Char"/>
    <w:basedOn w:val="11"/>
    <w:link w:val="8"/>
    <w:qFormat/>
    <w:uiPriority w:val="99"/>
    <w:rPr>
      <w:sz w:val="18"/>
      <w:szCs w:val="18"/>
    </w:rPr>
  </w:style>
  <w:style w:type="character" w:customStyle="1" w:styleId="16">
    <w:name w:val="正文文本缩进 Char"/>
    <w:basedOn w:val="11"/>
    <w:link w:val="6"/>
    <w:qFormat/>
    <w:uiPriority w:val="99"/>
    <w:rPr>
      <w:rFonts w:ascii="Times New Roman" w:hAnsi="Times New Roman" w:eastAsia="宋体" w:cs="Times New Roman"/>
      <w:szCs w:val="20"/>
    </w:rPr>
  </w:style>
  <w:style w:type="character" w:customStyle="1" w:styleId="17">
    <w:name w:val="批注框文本 Char"/>
    <w:basedOn w:val="11"/>
    <w:link w:val="7"/>
    <w:semiHidden/>
    <w:qFormat/>
    <w:uiPriority w:val="99"/>
    <w:rPr>
      <w:rFonts w:ascii="Calibri" w:hAnsi="Calibri" w:eastAsia="宋体" w:cs="Times New Roman"/>
      <w:sz w:val="18"/>
      <w:szCs w:val="18"/>
    </w:rPr>
  </w:style>
  <w:style w:type="paragraph" w:customStyle="1" w:styleId="18">
    <w:name w:val="p0"/>
    <w:basedOn w:val="1"/>
    <w:qFormat/>
    <w:uiPriority w:val="99"/>
    <w:pPr>
      <w:widowControl/>
      <w:spacing w:before="100" w:beforeAutospacing="1" w:after="100" w:afterAutospacing="1"/>
      <w:jc w:val="left"/>
    </w:pPr>
    <w:rPr>
      <w:rFonts w:ascii="宋体" w:hAnsi="宋体" w:cs="宋体"/>
      <w:kern w:val="0"/>
      <w:sz w:val="24"/>
      <w:szCs w:val="24"/>
    </w:rPr>
  </w:style>
  <w:style w:type="character" w:customStyle="1" w:styleId="19">
    <w:name w:val="apple-converted-space"/>
    <w:basedOn w:val="11"/>
    <w:qFormat/>
    <w:uiPriority w:val="0"/>
  </w:style>
  <w:style w:type="character" w:customStyle="1" w:styleId="20">
    <w:name w:val="批注文字 Char"/>
    <w:basedOn w:val="11"/>
    <w:link w:val="4"/>
    <w:semiHidden/>
    <w:qFormat/>
    <w:uiPriority w:val="99"/>
    <w:rPr>
      <w:rFonts w:ascii="宋体" w:hAnsi="宋体" w:eastAsia="宋体" w:cs="宋体"/>
      <w:kern w:val="0"/>
      <w:sz w:val="24"/>
      <w:szCs w:val="24"/>
    </w:rPr>
  </w:style>
  <w:style w:type="character" w:customStyle="1" w:styleId="21">
    <w:name w:val="正文文本 Char"/>
    <w:basedOn w:val="11"/>
    <w:link w:val="5"/>
    <w:semiHidden/>
    <w:qFormat/>
    <w:uiPriority w:val="99"/>
    <w:rPr>
      <w:rFonts w:ascii="Calibri" w:hAnsi="Calibri" w:eastAsia="宋体" w:cs="Times New Roman"/>
    </w:rPr>
  </w:style>
  <w:style w:type="paragraph" w:customStyle="1" w:styleId="22">
    <w:name w:val="p17"/>
    <w:basedOn w:val="1"/>
    <w:qFormat/>
    <w:uiPriority w:val="99"/>
    <w:pPr>
      <w:widowControl/>
      <w:spacing w:before="100" w:after="100"/>
      <w:jc w:val="left"/>
    </w:pPr>
    <w:rPr>
      <w:rFonts w:ascii="宋体" w:hAnsi="宋体" w:cs="宋体" w:eastAsiaTheme="minorEastAsia"/>
      <w:color w:val="000000"/>
      <w:kern w:val="0"/>
      <w:sz w:val="24"/>
      <w:szCs w:val="24"/>
    </w:rPr>
  </w:style>
  <w:style w:type="paragraph" w:styleId="23">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7"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D374640-8D11-45D3-BA16-FD7E221948CE}">
  <ds:schemaRefs/>
</ds:datastoreItem>
</file>

<file path=docProps/app.xml><?xml version="1.0" encoding="utf-8"?>
<Properties xmlns="http://schemas.openxmlformats.org/officeDocument/2006/extended-properties" xmlns:vt="http://schemas.openxmlformats.org/officeDocument/2006/docPropsVTypes">
  <Template>Normal</Template>
  <Pages>34</Pages>
  <Words>3163</Words>
  <Characters>18033</Characters>
  <Lines>150</Lines>
  <Paragraphs>42</Paragraphs>
  <TotalTime>19</TotalTime>
  <ScaleCrop>false</ScaleCrop>
  <LinksUpToDate>false</LinksUpToDate>
  <CharactersWithSpaces>21154</CharactersWithSpaces>
  <Application>WPS Office_11.1.0.9145_F1E327BC-269C-435d-A152-05C5408002CA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2019-10-25T07:49:00Z</dcterms:created>
  <dc:creator>luda-</dc:creator>
  <cp:lastModifiedBy>Stig</cp:lastModifiedBy>
  <cp:lastPrinted>2019-11-19T03:35:28Z</cp:lastPrinted>
  <dcterms:modified xsi:type="dcterms:W3CDTF">2019-11-19T05:41:56Z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